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A Comparative Study of Quantitative Biomarkers and Morphological-Pathophysiological Classification</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Removed claims that median score convergence near 50 constitutes evidence of biological equivalence across devices (see Reviewer 2, Comment 1).</w:t>
      </w:r>
      <w:r>
        <w:t xml:space="preserve"> </w:t>
      </w:r>
      <w:r>
        <w:t xml:space="preserve">2. Softened language regarding “pathophysiological classification” and clinical decision-making (see Reviewer 2, Comment 3).</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intra-observer optional if available), and the need for multi-center external validation.</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fully agree.</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as follows.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(radius corresponding to 24 µm;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Our implementation follows the ImageJ Auto Local Threshold (Phansalkar) convention used in the original macro, facilitating reproducibility.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agree that several interpretive claims in the original submission were stronger than the evidence allowed. We have undertaken additional analyses where feasible and have substantially tempered the conclusions.</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without reservation. Mapping each stratum’s median to 50 is by construction; therefore median values near 50 after normalization cannot be interpreted as empirical proof of biological equivalence across devices. Indeed, re-analysis of the primary batch CSVs (n = 112) shows that, despite median-anchored scaling,</w:t>
      </w:r>
      <w:r>
        <w:t xml:space="preserve"> </w:t>
      </w:r>
      <w:r>
        <w:rPr>
          <w:b/>
          <w:bCs/>
        </w:rPr>
        <w:t xml:space="preserve">Caliber Uniformity Score</w:t>
      </w:r>
      <w:r>
        <w:t xml:space="preserve"> </w:t>
      </w:r>
      <w:r>
        <w:t xml:space="preserve">and</w:t>
      </w:r>
      <w:r>
        <w:t xml:space="preserve"> </w:t>
      </w:r>
      <w:r>
        <w:rPr>
          <w:b/>
          <w:bCs/>
        </w:rPr>
        <w:t xml:space="preserve">Maturity Index</w:t>
      </w:r>
      <w:r>
        <w:t xml:space="preserve"> </w:t>
      </w:r>
      <w:r>
        <w:t xml:space="preserve">retain significant between-stratum differences with non-negligible effect sizes (see Comment 5). This strengthens the Reviewer’s point: medians near 50 are a mathematical consequence of the transform and do</w:t>
      </w:r>
      <w:r>
        <w:t xml:space="preserve"> </w:t>
      </w:r>
      <w:r>
        <w:rPr>
          <w:b/>
          <w:bCs/>
        </w:rPr>
        <w:t xml:space="preserve">not</w:t>
      </w:r>
      <w:r>
        <w:t xml:space="preserve"> </w:t>
      </w:r>
      <w:r>
        <w:t xml:space="preserve">imply that scores are biologically comparable across devices/FOV strata.</w:t>
      </w:r>
    </w:p>
    <w:p>
      <w:pPr>
        <w:pStyle w:val="BodyText"/>
      </w:pPr>
      <w:r>
        <w:rPr>
          <w:b/>
          <w:bCs/>
        </w:rPr>
        <w:t xml:space="preserve">Changes made:</w:t>
      </w:r>
      <w:r>
        <w:t xml:space="preserve"> </w:t>
      </w:r>
      <w:r>
        <w:t xml:space="preserve">- Abstract, Results (“Convergence of Standardized Scores…”), and Discussion have been rewritten to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(Table 2); (ii) consistency of PCA structure (PC1 loadings and explained variance) across strata; (iii) within-stratum score distributions by morphological category after expert comparison (revised analyses).</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required.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fully disclosed in Methods and/or Supplementary Table S1.</w:t>
      </w:r>
    </w:p>
    <w:p>
      <w:pPr>
        <w:pStyle w:val="FirstParagraph"/>
      </w:pPr>
      <w:r>
        <w:t xml:space="preserve">We interpret this modest-to-moderate κ as partly reflecting</w:t>
      </w:r>
      <w:r>
        <w:t xml:space="preserve"> </w:t>
      </w:r>
      <w:r>
        <w:rPr>
          <w:b/>
          <w:bCs/>
        </w:rPr>
        <w:t xml:space="preserve">limitations of subjective, human categorical OCTA morphological grading</w:t>
      </w:r>
      <w:r>
        <w:t xml:space="preserve">, rather than as solely indicating algorithmic failure. Qualitative pattern labels (e.g., Medusa, Seafan, tangled/medusa-like descriptors) are used clinically but remain partly descriptive and ambiguous in the OCTA literature (Tew et al.,</w:t>
      </w:r>
      <w:r>
        <w:t xml:space="preserve"> </w:t>
      </w:r>
      <w:r>
        <w:rPr>
          <w:i/>
          <w:iCs/>
        </w:rPr>
        <w:t xml:space="preserve">Clin Experiment Ophthalmol</w:t>
      </w:r>
      <w:r>
        <w:t xml:space="preserve"> </w:t>
      </w:r>
      <w:r>
        <w:t xml:space="preserve">2020; already cited in the manuscript). Related work similarly indicates that</w:t>
      </w:r>
      <w:r>
        <w:t xml:space="preserve"> </w:t>
      </w:r>
      <w:r>
        <w:rPr>
          <w:b/>
          <w:bCs/>
        </w:rPr>
        <w:t xml:space="preserve">qualitative</w:t>
      </w:r>
      <w:r>
        <w:t xml:space="preserve"> </w:t>
      </w:r>
      <w:r>
        <w:t xml:space="preserve">assessments can be less reliable across raters than</w:t>
      </w:r>
      <w:r>
        <w:t xml:space="preserve"> </w:t>
      </w:r>
      <w:r>
        <w:rPr>
          <w:b/>
          <w:bCs/>
        </w:rPr>
        <w:t xml:space="preserve">quantitative</w:t>
      </w:r>
      <w:r>
        <w:t xml:space="preserve"> </w:t>
      </w:r>
      <w:r>
        <w:t xml:space="preserve">OCTA metrics (Shah et al.,</w:t>
      </w:r>
      <w:r>
        <w:t xml:space="preserve"> </w:t>
      </w:r>
      <w:r>
        <w:rPr>
          <w:i/>
          <w:iCs/>
        </w:rPr>
        <w:t xml:space="preserve">Transl Vis Sci Technol</w:t>
      </w:r>
      <w:r>
        <w:t xml:space="preserve"> </w:t>
      </w:r>
      <w:r>
        <w:t xml:space="preserve">2023). Categorical MNV typing between fluorescein angiography– and OCT-based systems likewise shows only moderate agreement (Deák et al.,</w:t>
      </w:r>
      <w:r>
        <w:t xml:space="preserve"> </w:t>
      </w:r>
      <w:r>
        <w:rPr>
          <w:i/>
          <w:iCs/>
        </w:rPr>
        <w:t xml:space="preserve">Sci Rep</w:t>
      </w:r>
      <w:r>
        <w:t xml:space="preserve"> </w:t>
      </w:r>
      <w:r>
        <w:t xml:space="preserve">2025; κ approximately 0.46–0.58 for major type correspondences), underscoring the inherent subjectivity of morphology-based categorical labels even among trained readers.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w:t>
      </w:r>
      <w:r>
        <w:t xml:space="preserve"> </w:t>
      </w:r>
      <w:r>
        <w:rPr>
          <w:b/>
          <w:bCs/>
        </w:rPr>
        <w:t xml:space="preserve">reduce rater-dependent ambiguity</w:t>
      </w:r>
      <w:r>
        <w:t xml:space="preserve"> </w:t>
      </w:r>
      <w:r>
        <w:t xml:space="preserve">inherent in purely descriptive human grading. In that sense, modest expert–algorithm agreement</w:t>
      </w:r>
      <w:r>
        <w:t xml:space="preserve"> </w:t>
      </w:r>
      <w:r>
        <w:rPr>
          <w:b/>
          <w:bCs/>
        </w:rPr>
        <w:t xml:space="preserve">motivates</w:t>
      </w:r>
      <w:r>
        <w:t xml:space="preserve"> </w:t>
      </w:r>
      <w:r>
        <w:t xml:space="preserve">rather than undermines the methodological rationale of the system: to make morphological categories reproducible and transparent relative to purely visual labels.</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reported in Comment 4; n=46); (c) for the small-FOV stratum, some automated subtypes were score-rederived from disclosed classifier rules when the batch CSV lacked a Subtype column; (d) we do</w:t>
      </w:r>
      <w:r>
        <w:t xml:space="preserve"> </w:t>
      </w:r>
      <w:r>
        <w:rPr>
          <w:b/>
          <w:bCs/>
        </w:rPr>
        <w:t xml:space="preserve">not</w:t>
      </w:r>
      <w:r>
        <w:t xml:space="preserve"> </w:t>
      </w:r>
      <w:r>
        <w:t xml:space="preserve">claim that the algorithm replaces expert judgment—we report agreement, disclose thresholds, and claim only that quantitative operational definitions improve transparency and reproducibility</w:t>
      </w:r>
      <w:r>
        <w:t xml:space="preserve"> </w:t>
      </w:r>
      <w:r>
        <w:rPr>
          <w:i/>
          <w:iCs/>
        </w:rPr>
        <w:t xml:space="preserve">relative to purely descriptive labels</w:t>
      </w:r>
      <w:r>
        <w:t xml:space="preserve">.</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2025;15:87576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throughout, including the title, Abstract, Methods, Results, Discussion, and Conclusion.</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Removed or softened statements implying improved clinical decision-making or prognostic stratification pending outcome-linked studies.</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must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(the original analyst [YY] plus two external examiners [Inoue, Osada]) who each performed freehand ROI delineation on the same set of lesions (</w:t>
      </w:r>
      <w:r>
        <w:rPr>
          <w:b/>
          <w:bCs/>
        </w:rPr>
        <w:t xml:space="preserve">n = 46</w:t>
      </w:r>
      <w:r>
        <w:t xml:space="preserve"> </w:t>
      </w:r>
      <w:r>
        <w:t xml:space="preserve">complete cases matched across all three observers), with subsequent fully automated processing unchanged. We report</w:t>
      </w:r>
      <w:r>
        <w:t xml:space="preserve"> </w:t>
      </w:r>
      <w:r>
        <w:rPr>
          <w:b/>
          <w:bCs/>
        </w:rPr>
        <w:t xml:space="preserve">multi-rater ICCs</w:t>
      </w:r>
      <w:r>
        <w:t xml:space="preserve"> </w:t>
      </w:r>
      <w:r>
        <w:t xml:space="preserve">(two-way random-effects, absolute agreement, single measures — ICC(2,1); Shrout &amp; Fleiss / McGraw &amp; Wong) for lesion area and for Network Complexity Score, Caliber Uniformity Score, and Maturity Index, with pairwise ICCs and a multilevel variance-component ICC as complementary summaries.</w:t>
      </w:r>
    </w:p>
    <w:p>
      <w:pPr>
        <w:pStyle w:val="BodyText"/>
      </w:pPr>
      <w:r>
        <w:rPr>
          <w:b/>
          <w:bCs/>
        </w:rPr>
        <w:t xml:space="preserve">Primary results (3-rater ICC(2,1),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Network Complexity Score</w:t>
            </w:r>
          </w:p>
        </w:tc>
        <w:tc>
          <w:tcPr/>
          <w:p>
            <w:pPr>
              <w:pStyle w:val="Compact"/>
            </w:pPr>
            <w:r>
              <w:t xml:space="preserve">0.807</w:t>
            </w:r>
          </w:p>
        </w:tc>
        <w:tc>
          <w:tcPr/>
          <w:p>
            <w:pPr>
              <w:pStyle w:val="Compact"/>
            </w:pPr>
            <w:r>
              <w:t xml:space="preserve">0.660–0.890</w:t>
            </w:r>
          </w:p>
        </w:tc>
      </w:tr>
      <w:tr>
        <w:tc>
          <w:tcPr/>
          <w:p>
            <w:pPr>
              <w:pStyle w:val="Compact"/>
            </w:pPr>
            <w:r>
              <w:t xml:space="preserve">Caliber Uniformity Score</w:t>
            </w:r>
          </w:p>
        </w:tc>
        <w:tc>
          <w:tcPr/>
          <w:p>
            <w:pPr>
              <w:pStyle w:val="Compact"/>
            </w:pPr>
            <w:r>
              <w:t xml:space="preserve">0.434</w:t>
            </w:r>
          </w:p>
        </w:tc>
        <w:tc>
          <w:tcPr/>
          <w:p>
            <w:pPr>
              <w:pStyle w:val="Compact"/>
            </w:pPr>
            <w:r>
              <w:t xml:space="preserve">0.260–0.610</w:t>
            </w:r>
          </w:p>
        </w:tc>
      </w:tr>
      <w:tr>
        <w:tc>
          <w:tcPr/>
          <w:p>
            <w:pPr>
              <w:pStyle w:val="Compact"/>
            </w:pPr>
            <w:r>
              <w:t xml:space="preserve">Maturity Index</w:t>
            </w:r>
          </w:p>
        </w:tc>
        <w:tc>
          <w:tcPr/>
          <w:p>
            <w:pPr>
              <w:pStyle w:val="Compact"/>
            </w:pPr>
            <w:r>
              <w:t xml:space="preserve">0.659</w:t>
            </w:r>
          </w:p>
        </w:tc>
        <w:tc>
          <w:tcPr/>
          <w:p>
            <w:pPr>
              <w:pStyle w:val="Compact"/>
            </w:pPr>
            <w:r>
              <w:t xml:space="preserve">0.510–0.780</w:t>
            </w:r>
          </w:p>
        </w:tc>
      </w:tr>
    </w:tbl>
    <w:p>
      <w:pPr>
        <w:pStyle w:val="BodyText"/>
      </w:pPr>
      <w:r>
        <w:t xml:space="preserve">Lesion area and Network Complexity showed good-to-excellent inter-observer agreement; Maturity Index showed moderate-to-good agreement; Caliber Uniformity was moderate and more sensitive to ROI variability. Variance-component ICC_case (σ²_case / [σ²_case + σ²_observer + σ²_error]) yielded the same point estimates (0.859 / 0.807 / 0.434 / 0.659), indicating that residual and observer components together explain the remaining variance—largest for Caliber Uniformity.</w:t>
      </w:r>
    </w:p>
    <w:p>
      <w:pPr>
        <w:pStyle w:val="BodyText"/>
      </w:pPr>
      <w:r>
        <w:t xml:space="preserve">As a sensitivity analysis on the 20 most cross-observer–concordant cases (lowest mean z-scored rater range across metrics), ICC(2,1) was 0.864 / 0.950 / 0.852 / 0.924 for area / complexity / caliber uniformity / maturity (details:</w:t>
      </w:r>
      <w:r>
        <w:t xml:space="preserve"> </w:t>
      </w:r>
      <w:r>
        <w:rPr>
          <w:rStyle w:val="VerbatimChar"/>
        </w:rPr>
        <w:t xml:space="preserve">icc/icc_multirater_results_subset20.md</w:t>
      </w:r>
      <w:r>
        <w:t xml:space="preserve">); these do not replace the primary n=46 estimates above.</w:t>
      </w:r>
    </w:p>
    <w:p>
      <w:pPr>
        <w:pStyle w:val="BodyText"/>
      </w:pPr>
      <w:r>
        <w:rPr>
          <w:b/>
          <w:bCs/>
        </w:rPr>
        <w:t xml:space="preserve">Intra-observer</w:t>
      </w:r>
      <w:r>
        <w:t xml:space="preserve"> </w:t>
      </w:r>
      <w:r>
        <w:t xml:space="preserve">(same-operator test–retest) reproducibility was not completed within the revision timeline and is acknowledged as a limitation; the primary reproducibility claim for this revision is the three-observer inter-observer ICC above.</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equivalence—and, on re-analysis of the primary git batch CSVs (commit</w:t>
      </w:r>
      <w:r>
        <w:t xml:space="preserve"> </w:t>
      </w:r>
      <w:r>
        <w:rPr>
          <w:rStyle w:val="VerbatimChar"/>
        </w:rPr>
        <w:t xml:space="preserve">1e5d202</w:t>
      </w:r>
      <w:r>
        <w:t xml:space="preserve">; n = 112: large = 49, small = 33, small_3mm = 30), not all between-stratum Kruskal–Wallis tests were non-significant.</w:t>
      </w:r>
    </w:p>
    <w:p>
      <w:pPr>
        <w:pStyle w:val="BodyText"/>
      </w:pPr>
      <w:r>
        <w:t xml:space="preserve">We now report Kruskal–Wallis H, p, and ε² with bootstrap 95% CIs (10 000 within-stratum resamples; seed</w:t>
      </w:r>
      <w:r>
        <w:t xml:space="preserve"> </w:t>
      </w:r>
      <w:r>
        <w:rPr>
          <w:rStyle w:val="VerbatimChar"/>
        </w:rPr>
        <w:t xml:space="preserve">20260727</w:t>
      </w:r>
      <w:r>
        <w:t xml:space="preserve">):</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Network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w:t>
            </w:r>
          </w:p>
        </w:tc>
        <w:tc>
          <w:tcPr/>
          <w:p>
            <w:pPr>
              <w:pStyle w:val="Compact"/>
            </w:pPr>
            <w:r>
              <w:t xml:space="preserve">27.713</w:t>
            </w:r>
          </w:p>
        </w:tc>
        <w:tc>
          <w:tcPr/>
          <w:p>
            <w:pPr>
              <w:pStyle w:val="Compact"/>
            </w:pPr>
            <w:r>
              <w:t xml:space="preserve">9.6×10⁻⁷</w:t>
            </w:r>
          </w:p>
        </w:tc>
        <w:tc>
          <w:tcPr/>
          <w:p>
            <w:pPr>
              <w:pStyle w:val="Compact"/>
            </w:pPr>
            <w:r>
              <w:t xml:space="preserve">0.2359</w:t>
            </w:r>
          </w:p>
        </w:tc>
        <w:tc>
          <w:tcPr/>
          <w:p>
            <w:pPr>
              <w:pStyle w:val="Compact"/>
            </w:pPr>
            <w:r>
              <w:t xml:space="preserve">0.1121–0.3959</w:t>
            </w:r>
          </w:p>
        </w:tc>
        <w:tc>
          <w:tcPr/>
          <w:p>
            <w:pPr>
              <w:pStyle w:val="Compact"/>
            </w:pPr>
            <w:r>
              <w:t xml:space="preserve">66.4 / 56.7 / 58.9</w:t>
            </w:r>
          </w:p>
        </w:tc>
      </w:tr>
      <w:tr>
        <w:tc>
          <w:tcPr/>
          <w:p>
            <w:pPr>
              <w:pStyle w:val="Compact"/>
            </w:pPr>
            <w:r>
              <w:t xml:space="preserve">Maturity Index</w:t>
            </w:r>
          </w:p>
        </w:tc>
        <w:tc>
          <w:tcPr/>
          <w:p>
            <w:pPr>
              <w:pStyle w:val="Compact"/>
            </w:pPr>
            <w:r>
              <w:t xml:space="preserve">28.690</w:t>
            </w:r>
          </w:p>
        </w:tc>
        <w:tc>
          <w:tcPr/>
          <w:p>
            <w:pPr>
              <w:pStyle w:val="Compact"/>
            </w:pPr>
            <w:r>
              <w:t xml:space="preserve">5.89×10⁻⁷</w:t>
            </w:r>
          </w:p>
        </w:tc>
        <w:tc>
          <w:tcPr/>
          <w:p>
            <w:pPr>
              <w:pStyle w:val="Compact"/>
            </w:pPr>
            <w:r>
              <w:t xml:space="preserve">0.2449</w:t>
            </w:r>
          </w:p>
        </w:tc>
        <w:tc>
          <w:tcPr/>
          <w:p>
            <w:pPr>
              <w:pStyle w:val="Compact"/>
            </w:pPr>
            <w:r>
              <w:t xml:space="preserve">0.1224–0.4078</w:t>
            </w:r>
          </w:p>
        </w:tc>
        <w:tc>
          <w:tcPr/>
          <w:p>
            <w:pPr>
              <w:pStyle w:val="Compact"/>
            </w:pPr>
            <w:r>
              <w:t xml:space="preserve">57.5 / 52.4 / 52.8</w:t>
            </w:r>
          </w:p>
        </w:tc>
      </w:tr>
    </w:tbl>
    <w:p>
      <w:pPr>
        <w:pStyle w:val="BodyText"/>
      </w:pPr>
      <w:r>
        <w:rPr>
          <w:b/>
          <w:bCs/>
        </w:rPr>
        <w:t xml:space="preserve">Interpretation:</w:t>
      </w:r>
      <w:r>
        <w:t xml:space="preserve"> </w:t>
      </w:r>
      <w:r>
        <w:t xml:space="preserve">Network Complexity does not differ across strata (p ≈ 0.43; ε² ≈ 0, negligible). In contrast, Caliber Uniformity and Maturity Index show significant between-stratum differences (both p &lt; 0.001) with medium-to-large ε² (≈ 0.24). Thus the original “all Kruskal–Wallis non-significant → scores comparable across devices” framing was incorrect and has been withdrawn. Median-anchored normalization places each stratum’s median near 50 by design, but does</w:t>
      </w:r>
      <w:r>
        <w:t xml:space="preserve"> </w:t>
      </w:r>
      <w:r>
        <w:rPr>
          <w:b/>
          <w:bCs/>
        </w:rPr>
        <w:t xml:space="preserve">not</w:t>
      </w:r>
      <w:r>
        <w:t xml:space="preserve"> </w:t>
      </w:r>
      <w:r>
        <w:t xml:space="preserve">eliminate between-stratum differences or establish biological equivalence—consistent with, and strengthening, Comments 1 and 5.</w:t>
      </w:r>
    </w:p>
    <w:p>
      <w:pPr>
        <w:pStyle w:val="BodyText"/>
      </w:pPr>
      <w:r>
        <w:rPr>
          <w:b/>
          <w:bCs/>
        </w:rPr>
        <w:t xml:space="preserve">Changes made:</w:t>
      </w:r>
      <w:r>
        <w:t xml:space="preserve"> </w:t>
      </w:r>
      <w:r>
        <w:t xml:space="preserve">- Removed “statistically indistinguishable / therefore comparable” and “all KW non-significant” language.</w:t>
      </w:r>
      <w:r>
        <w:t xml:space="preserve"> </w:t>
      </w:r>
      <w:r>
        <w:t xml:space="preserve">- Added ε² with bootstrap CIs alongside Kruskal–Wallis statistics (revised Table 3 / Results).</w:t>
      </w:r>
      <w:r>
        <w:t xml:space="preserve"> </w:t>
      </w:r>
      <w:r>
        <w:t xml:space="preserve">- Explicitly report that Complexity is NS whereas Caliber Uniformity and Maturity Index differ across strata with non-negligible effect sizes.</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arbitrary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 tables, and figure legends now use these names consistently. Where “stability” appears conceptually, it is explicitly linked to caliber uniformity.</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Tree-in-bud, Glomerular, Seafan, Medusa). They have been removed from Table 5 / the comparative biomarker table (or clearly labeled as literature-only descriptors if retained for historical comparison). Table 4 and the classification Methods are now fully aligned.</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Table 2 legend has been corrected.</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framed via Tew/Shah/Deák/Gan/Hsu as motivating quantitative operationalization (not undermining it); confusion matrix in Suppl</w:t>
            </w:r>
          </w:p>
        </w:tc>
      </w:tr>
      <w:tr>
        <w:tc>
          <w:tcPr/>
          <w:p>
            <w:pPr>
              <w:pStyle w:val="Compact"/>
            </w:pPr>
            <w:r>
              <w:t xml:space="preserve">Inter-observer multi-rater ICC (3 operators, n=46; area + scores)</w:t>
            </w:r>
          </w:p>
        </w:tc>
        <w:tc>
          <w:tcPr/>
          <w:p>
            <w:pPr>
              <w:pStyle w:val="Compact"/>
            </w:pPr>
            <w:r>
              <w:t xml:space="preserve">Done — ICC(2,1): area 0.859 (0.680–0.930); complexity 0.807 (0.660–0.890); caliber 0.434 (0.260–0.610); maturity 0.659 (0.510–0.780);</w:t>
            </w:r>
            <w:r>
              <w:t xml:space="preserve"> </w:t>
            </w:r>
            <w:r>
              <w:rPr>
                <w:rStyle w:val="VerbatimChar"/>
              </w:rPr>
              <w:t xml:space="preserve">icc/icc_multirater_results.md</w:t>
            </w:r>
          </w:p>
        </w:tc>
      </w:tr>
      <w:tr>
        <w:tc>
          <w:tcPr/>
          <w:p>
            <w:pPr>
              <w:pStyle w:val="Compact"/>
            </w:pPr>
            <w:r>
              <w:t xml:space="preserve">Effect sizes (+ CIs) for between-stratum standardized scores</w:t>
            </w:r>
          </w:p>
        </w:tc>
        <w:tc>
          <w:tcPr/>
          <w:p>
            <w:pPr>
              <w:pStyle w:val="Compact"/>
            </w:pPr>
            <w:r>
              <w:t xml:space="preserve">Added — Complexity NS (ε²≈0); Caliber Uniformity &amp; Maturity Index significant (ε²≈0.24); not “all KW NS”</w:t>
            </w:r>
          </w:p>
        </w:tc>
      </w:tr>
      <w:tr>
        <w:tc>
          <w:tcPr/>
          <w:p>
            <w:pPr>
              <w:pStyle w:val="Compact"/>
            </w:pPr>
            <w:r>
              <w:t xml:space="preserve">Softening of pathophysiology language;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(optional); longitudinal clinical anchors; full baseline demographics</w:t>
            </w:r>
          </w:p>
        </w:tc>
        <w:tc>
          <w:tcPr/>
          <w:p>
            <w:pPr>
              <w:pStyle w:val="Compact"/>
            </w:pPr>
            <w:r>
              <w:t xml:space="preserve">Intra-observer optional/limitation if unavailable;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2026-07-30T08:28:29Z</dcterms:created>
  <dcterms:modified xsi:type="dcterms:W3CDTF">2026-07-30T08:28:29Z</dcterms:modified>
</cp:coreProperties>
</file>

<file path=docProps/custom.xml><?xml version="1.0" encoding="utf-8"?>
<Properties xmlns="http://schemas.openxmlformats.org/officeDocument/2006/custom-properties" xmlns:vt="http://schemas.openxmlformats.org/officeDocument/2006/docPropsVTypes"/>
</file>