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3E753" w14:textId="4853D977" w:rsidR="00BB22F1" w:rsidRPr="00BB22F1" w:rsidRDefault="00BB22F1" w:rsidP="00BB22F1">
      <w:pPr>
        <w:spacing w:line="480" w:lineRule="auto"/>
        <w:rPr>
          <w:rFonts w:ascii="Arial" w:hAnsi="Arial" w:cs="Arial"/>
        </w:rPr>
      </w:pPr>
      <w:r w:rsidRPr="00BB22F1">
        <w:rPr>
          <w:rFonts w:ascii="Arial" w:hAnsi="Arial" w:cs="Arial"/>
        </w:rPr>
        <w:t>Novel Semi-Automated System for Multi-Dimensional Analysis of Macular Neovascularization: A Comparative Study of Quantitative Biomarkers and Morphological-Pathophysiological Classification</w:t>
      </w:r>
    </w:p>
    <w:p w14:paraId="06F352DE" w14:textId="77777777" w:rsidR="00EE25ED" w:rsidRDefault="00EE25ED" w:rsidP="00BB22F1">
      <w:pPr>
        <w:spacing w:line="480" w:lineRule="auto"/>
        <w:rPr>
          <w:rFonts w:ascii="Arial" w:hAnsi="Arial" w:cs="Arial"/>
        </w:rPr>
      </w:pPr>
    </w:p>
    <w:p w14:paraId="59AD6B17" w14:textId="4E4E962D" w:rsidR="003E7654" w:rsidRDefault="003E7654" w:rsidP="00BB22F1">
      <w:pPr>
        <w:spacing w:line="480" w:lineRule="auto"/>
        <w:rPr>
          <w:rFonts w:ascii="Arial" w:hAnsi="Arial" w:cs="Arial"/>
        </w:rPr>
      </w:pPr>
      <w:r>
        <w:rPr>
          <w:rFonts w:ascii="Arial" w:hAnsi="Arial" w:cs="Arial"/>
        </w:rPr>
        <w:t xml:space="preserve">Yasuo Yanagi, Maiko Maruyama-Inoue, Tatsuya Inoue and Kazuaki </w:t>
      </w:r>
      <w:proofErr w:type="spellStart"/>
      <w:r>
        <w:rPr>
          <w:rFonts w:ascii="Arial" w:hAnsi="Arial" w:cs="Arial"/>
        </w:rPr>
        <w:t>Kadonosono</w:t>
      </w:r>
      <w:proofErr w:type="spellEnd"/>
    </w:p>
    <w:p w14:paraId="232D7ACB" w14:textId="77777777" w:rsidR="003E7654" w:rsidRDefault="003E7654" w:rsidP="00BB22F1">
      <w:pPr>
        <w:spacing w:line="480" w:lineRule="auto"/>
        <w:rPr>
          <w:rFonts w:ascii="Arial" w:hAnsi="Arial" w:cs="Arial"/>
        </w:rPr>
      </w:pPr>
    </w:p>
    <w:p w14:paraId="3348DB4F" w14:textId="561400FC" w:rsidR="003E7654" w:rsidRDefault="001B49F6" w:rsidP="00FD5962">
      <w:pPr>
        <w:spacing w:line="480" w:lineRule="auto"/>
        <w:rPr>
          <w:rFonts w:ascii="Arial" w:hAnsi="Arial" w:cs="Arial"/>
        </w:rPr>
      </w:pPr>
      <w:r>
        <w:rPr>
          <w:rFonts w:ascii="Arial" w:hAnsi="Arial" w:cs="Arial"/>
        </w:rPr>
        <w:t>Dep</w:t>
      </w:r>
      <w:r w:rsidR="00D4259D" w:rsidRPr="00D4259D">
        <w:rPr>
          <w:rFonts w:ascii="Arial" w:hAnsi="Arial" w:cs="Arial"/>
        </w:rPr>
        <w:t xml:space="preserve">artment of Ophthalmology and Micro-Technology, Yokohama City University, 4-57 </w:t>
      </w:r>
      <w:proofErr w:type="spellStart"/>
      <w:r w:rsidR="00D4259D" w:rsidRPr="00D4259D">
        <w:rPr>
          <w:rFonts w:ascii="Arial" w:hAnsi="Arial" w:cs="Arial"/>
        </w:rPr>
        <w:t>Urafune</w:t>
      </w:r>
      <w:proofErr w:type="spellEnd"/>
      <w:r w:rsidR="00D4259D" w:rsidRPr="00D4259D">
        <w:rPr>
          <w:rFonts w:ascii="Arial" w:hAnsi="Arial" w:cs="Arial"/>
        </w:rPr>
        <w:t>, Minami-</w:t>
      </w:r>
      <w:proofErr w:type="spellStart"/>
      <w:r w:rsidR="00D4259D" w:rsidRPr="00D4259D">
        <w:rPr>
          <w:rFonts w:ascii="Arial" w:hAnsi="Arial" w:cs="Arial"/>
        </w:rPr>
        <w:t>ku</w:t>
      </w:r>
      <w:proofErr w:type="spellEnd"/>
      <w:r w:rsidR="00D4259D" w:rsidRPr="00D4259D">
        <w:rPr>
          <w:rFonts w:ascii="Arial" w:hAnsi="Arial" w:cs="Arial"/>
        </w:rPr>
        <w:t>, Yokohama, Kanagawa, 232-0024, Japan.</w:t>
      </w:r>
    </w:p>
    <w:p w14:paraId="3F375A30" w14:textId="77777777" w:rsidR="00D4259D" w:rsidRDefault="00D4259D" w:rsidP="00FD5962">
      <w:pPr>
        <w:spacing w:line="480" w:lineRule="auto"/>
        <w:rPr>
          <w:rFonts w:ascii="Arial" w:hAnsi="Arial" w:cs="Arial"/>
        </w:rPr>
      </w:pPr>
    </w:p>
    <w:p w14:paraId="196518C9" w14:textId="7614D63D" w:rsidR="0023470D" w:rsidRDefault="003E7654" w:rsidP="00BB22F1">
      <w:pPr>
        <w:spacing w:line="480" w:lineRule="auto"/>
        <w:rPr>
          <w:rFonts w:ascii="Arial" w:hAnsi="Arial" w:cs="Arial"/>
        </w:rPr>
      </w:pPr>
      <w:r>
        <w:rPr>
          <w:rFonts w:ascii="Arial" w:hAnsi="Arial" w:cs="Arial"/>
        </w:rPr>
        <w:t>Correspondence to be addressed to</w:t>
      </w:r>
    </w:p>
    <w:p w14:paraId="7E873391" w14:textId="0D67616E" w:rsidR="003E7654" w:rsidRDefault="003E7654" w:rsidP="00BB22F1">
      <w:pPr>
        <w:spacing w:line="480" w:lineRule="auto"/>
        <w:rPr>
          <w:rFonts w:ascii="Arial" w:hAnsi="Arial" w:cs="Arial"/>
        </w:rPr>
      </w:pPr>
      <w:r>
        <w:rPr>
          <w:rFonts w:ascii="Arial" w:hAnsi="Arial" w:cs="Arial"/>
        </w:rPr>
        <w:t>Yasuo Yanagi</w:t>
      </w:r>
    </w:p>
    <w:p w14:paraId="1A8F1081" w14:textId="45ED58F1" w:rsidR="00CE347D" w:rsidRDefault="00CE347D" w:rsidP="00BB22F1">
      <w:pPr>
        <w:spacing w:line="480" w:lineRule="auto"/>
        <w:rPr>
          <w:rFonts w:ascii="Arial" w:hAnsi="Arial" w:cs="Arial"/>
        </w:rPr>
      </w:pPr>
      <w:r>
        <w:rPr>
          <w:rFonts w:ascii="Arial" w:hAnsi="Arial" w:cs="Arial"/>
        </w:rPr>
        <w:t>yanagi.yas.wu@yokohama-cu.ac.jp</w:t>
      </w:r>
    </w:p>
    <w:p w14:paraId="533C678A" w14:textId="77777777" w:rsidR="003E7654" w:rsidRPr="00FD5962" w:rsidRDefault="003E7654" w:rsidP="003E7654">
      <w:pPr>
        <w:spacing w:line="480" w:lineRule="auto"/>
        <w:rPr>
          <w:rFonts w:ascii="Arial" w:hAnsi="Arial" w:cs="Arial"/>
        </w:rPr>
      </w:pPr>
      <w:r w:rsidRPr="00FD5962">
        <w:rPr>
          <w:rFonts w:ascii="Arial" w:hAnsi="Arial" w:cs="Arial"/>
        </w:rPr>
        <w:t>Department of Ophthalmology and Micro-technology,</w:t>
      </w:r>
      <w:r>
        <w:rPr>
          <w:rFonts w:ascii="Arial" w:hAnsi="Arial" w:cs="Arial"/>
        </w:rPr>
        <w:t xml:space="preserve"> </w:t>
      </w:r>
      <w:r w:rsidRPr="00FD5962">
        <w:rPr>
          <w:rFonts w:ascii="Arial" w:hAnsi="Arial" w:cs="Arial"/>
        </w:rPr>
        <w:t>Graduate School of Medicine, Yokohama City University, Yokohama, Japan</w:t>
      </w:r>
    </w:p>
    <w:p w14:paraId="01A7D44B" w14:textId="77777777" w:rsidR="003E7654" w:rsidRPr="003E7654" w:rsidRDefault="003E7654" w:rsidP="00BB22F1">
      <w:pPr>
        <w:spacing w:line="480" w:lineRule="auto"/>
        <w:rPr>
          <w:rFonts w:ascii="Arial" w:hAnsi="Arial" w:cs="Arial"/>
        </w:rPr>
      </w:pPr>
    </w:p>
    <w:p w14:paraId="7D187269" w14:textId="77777777" w:rsidR="0023470D" w:rsidRDefault="0023470D">
      <w:pPr>
        <w:widowControl/>
        <w:rPr>
          <w:rFonts w:ascii="Arial" w:hAnsi="Arial" w:cs="Arial"/>
        </w:rPr>
      </w:pPr>
      <w:r>
        <w:rPr>
          <w:rFonts w:ascii="Arial" w:hAnsi="Arial" w:cs="Arial"/>
        </w:rPr>
        <w:br w:type="page"/>
      </w:r>
    </w:p>
    <w:p w14:paraId="74E6B7B8" w14:textId="77777777" w:rsidR="000D4790" w:rsidRDefault="0023470D" w:rsidP="000D4790">
      <w:pPr>
        <w:spacing w:line="480" w:lineRule="auto"/>
        <w:rPr>
          <w:rFonts w:ascii="Arial" w:hAnsi="Arial" w:cs="Arial"/>
        </w:rPr>
      </w:pPr>
      <w:r w:rsidRPr="00ED4477">
        <w:rPr>
          <w:rFonts w:ascii="Arial" w:hAnsi="Arial" w:cs="Arial"/>
        </w:rPr>
        <w:lastRenderedPageBreak/>
        <w:t>Conflict of Interest</w:t>
      </w:r>
      <w:r w:rsidRPr="00ED4477">
        <w:rPr>
          <w:rFonts w:ascii="Arial" w:hAnsi="Arial" w:cs="Arial"/>
        </w:rPr>
        <w:br/>
      </w:r>
      <w:r w:rsidR="00226092" w:rsidRPr="00226092">
        <w:rPr>
          <w:rFonts w:ascii="Arial" w:hAnsi="Arial" w:cs="Arial"/>
        </w:rPr>
        <w:t>Y. Yanagi</w:t>
      </w:r>
      <w:r w:rsidR="00664F05">
        <w:rPr>
          <w:rFonts w:ascii="Arial" w:hAnsi="Arial" w:cs="Arial"/>
        </w:rPr>
        <w:t xml:space="preserve"> </w:t>
      </w:r>
      <w:r w:rsidR="00226092" w:rsidRPr="00226092">
        <w:rPr>
          <w:rFonts w:ascii="Arial" w:hAnsi="Arial" w:cs="Arial"/>
        </w:rPr>
        <w:t xml:space="preserve">Consultant/Speaker for Astellas Pharmaceutical, Bayer </w:t>
      </w:r>
      <w:proofErr w:type="spellStart"/>
      <w:r w:rsidR="00226092" w:rsidRPr="00226092">
        <w:rPr>
          <w:rFonts w:ascii="Arial" w:hAnsi="Arial" w:cs="Arial"/>
        </w:rPr>
        <w:t>Yakuhin</w:t>
      </w:r>
      <w:proofErr w:type="spellEnd"/>
      <w:r w:rsidR="00226092" w:rsidRPr="00226092">
        <w:rPr>
          <w:rFonts w:ascii="Arial" w:hAnsi="Arial" w:cs="Arial"/>
        </w:rPr>
        <w:t xml:space="preserve"> Ltd, Roche/Chugai</w:t>
      </w:r>
      <w:r w:rsidR="00664F05">
        <w:rPr>
          <w:rFonts w:ascii="Arial" w:hAnsi="Arial" w:cs="Arial"/>
        </w:rPr>
        <w:t xml:space="preserve"> </w:t>
      </w:r>
      <w:r w:rsidR="00226092" w:rsidRPr="00226092">
        <w:rPr>
          <w:rFonts w:ascii="Arial" w:hAnsi="Arial" w:cs="Arial"/>
        </w:rPr>
        <w:t>Pharmaceutical Co., Ltd., Novartis Pharma K.K., Boehringer Ingelheim Co., Ltd.,</w:t>
      </w:r>
      <w:r w:rsidR="00664F05">
        <w:rPr>
          <w:rFonts w:ascii="Arial" w:hAnsi="Arial" w:cs="Arial"/>
        </w:rPr>
        <w:t xml:space="preserve"> </w:t>
      </w:r>
      <w:r w:rsidR="00226092" w:rsidRPr="00226092">
        <w:rPr>
          <w:rFonts w:ascii="Arial" w:hAnsi="Arial" w:cs="Arial"/>
        </w:rPr>
        <w:t>Santen Pharmaceutical Co., Ltd., Senju Pharmaceutical Co.</w:t>
      </w:r>
      <w:r w:rsidR="008C5FF6">
        <w:rPr>
          <w:rFonts w:ascii="Arial" w:hAnsi="Arial" w:cs="Arial"/>
        </w:rPr>
        <w:t xml:space="preserve"> </w:t>
      </w:r>
    </w:p>
    <w:p w14:paraId="234C71CC" w14:textId="77777777" w:rsidR="000D4790" w:rsidRDefault="000D4790" w:rsidP="000D4790">
      <w:pPr>
        <w:spacing w:line="480" w:lineRule="auto"/>
        <w:rPr>
          <w:rFonts w:ascii="Arial" w:hAnsi="Arial" w:cs="Arial"/>
        </w:rPr>
      </w:pPr>
    </w:p>
    <w:p w14:paraId="48A3BA6F" w14:textId="01D402B9" w:rsidR="000D4790" w:rsidRDefault="000D4790" w:rsidP="000D4790">
      <w:pPr>
        <w:spacing w:line="480" w:lineRule="auto"/>
        <w:rPr>
          <w:rFonts w:ascii="Arial" w:hAnsi="Arial" w:cs="Arial"/>
        </w:rPr>
      </w:pPr>
      <w:r w:rsidRPr="000D4790">
        <w:rPr>
          <w:rFonts w:ascii="Arial" w:hAnsi="Arial" w:cs="Arial"/>
        </w:rPr>
        <w:t>Funding Declaration</w:t>
      </w:r>
      <w:r w:rsidR="00664F05">
        <w:rPr>
          <w:rFonts w:ascii="Arial" w:hAnsi="Arial" w:cs="Arial"/>
        </w:rPr>
        <w:t>:</w:t>
      </w:r>
      <w:r w:rsidR="0023470D" w:rsidRPr="00ED4477">
        <w:rPr>
          <w:rFonts w:ascii="Arial" w:hAnsi="Arial" w:cs="Arial"/>
        </w:rPr>
        <w:t xml:space="preserve"> </w:t>
      </w:r>
    </w:p>
    <w:p w14:paraId="44705BCA" w14:textId="76A65BFE" w:rsidR="0023470D" w:rsidRPr="00ED4477" w:rsidRDefault="0023470D" w:rsidP="005C513C">
      <w:pPr>
        <w:spacing w:line="480" w:lineRule="auto"/>
        <w:rPr>
          <w:rFonts w:ascii="Arial" w:hAnsi="Arial" w:cs="Arial"/>
        </w:rPr>
      </w:pPr>
      <w:r w:rsidRPr="00ED4477">
        <w:rPr>
          <w:rFonts w:ascii="Arial" w:hAnsi="Arial" w:cs="Arial"/>
        </w:rPr>
        <w:t xml:space="preserve">Micron Co., Ltd. </w:t>
      </w:r>
      <w:r w:rsidR="005C513C">
        <w:rPr>
          <w:rFonts w:ascii="Arial" w:hAnsi="Arial" w:cs="Arial"/>
        </w:rPr>
        <w:t>provided</w:t>
      </w:r>
      <w:r w:rsidR="005C513C" w:rsidRPr="005C513C">
        <w:rPr>
          <w:rFonts w:ascii="Arial" w:hAnsi="Arial" w:cs="Arial"/>
        </w:rPr>
        <w:t xml:space="preserve"> funding support</w:t>
      </w:r>
      <w:r w:rsidRPr="00ED4477">
        <w:rPr>
          <w:rFonts w:ascii="Arial" w:hAnsi="Arial" w:cs="Arial"/>
        </w:rPr>
        <w:t xml:space="preserve"> to the development of the image analysis system.</w:t>
      </w:r>
    </w:p>
    <w:p w14:paraId="257E290E" w14:textId="77777777" w:rsidR="0023470D" w:rsidRPr="00ED4477" w:rsidRDefault="0023470D" w:rsidP="0023470D">
      <w:pPr>
        <w:spacing w:line="480" w:lineRule="auto"/>
        <w:rPr>
          <w:rFonts w:ascii="Arial" w:hAnsi="Arial" w:cs="Arial"/>
        </w:rPr>
      </w:pPr>
      <w:r w:rsidRPr="00ED4477">
        <w:rPr>
          <w:rFonts w:ascii="Arial" w:hAnsi="Arial" w:cs="Arial"/>
        </w:rPr>
        <w:t> </w:t>
      </w:r>
    </w:p>
    <w:p w14:paraId="06B6641C" w14:textId="01E41BEC" w:rsidR="00BB22F1" w:rsidRDefault="0050322F" w:rsidP="00BB22F1">
      <w:pPr>
        <w:spacing w:line="480" w:lineRule="auto"/>
        <w:rPr>
          <w:rFonts w:ascii="Arial" w:hAnsi="Arial" w:cs="Arial"/>
        </w:rPr>
      </w:pPr>
      <w:r w:rsidRPr="0050322F">
        <w:rPr>
          <w:rFonts w:ascii="Arial" w:hAnsi="Arial" w:cs="Arial"/>
        </w:rPr>
        <w:t>Y.Y. wrote the main manuscript text and T.I. and M. I. prepared figure. All authors reviewed the manuscript.</w:t>
      </w:r>
    </w:p>
    <w:p w14:paraId="4C1C5C91" w14:textId="77777777" w:rsidR="00CE347D" w:rsidRDefault="00CE347D" w:rsidP="00BB22F1">
      <w:pPr>
        <w:spacing w:line="480" w:lineRule="auto"/>
        <w:rPr>
          <w:rFonts w:ascii="Arial" w:hAnsi="Arial" w:cs="Arial"/>
        </w:rPr>
      </w:pPr>
    </w:p>
    <w:p w14:paraId="6FEF6D14" w14:textId="77777777" w:rsidR="00CE347D" w:rsidRPr="00BB22F1" w:rsidRDefault="00CE347D" w:rsidP="00BB22F1">
      <w:pPr>
        <w:spacing w:line="480" w:lineRule="auto"/>
        <w:rPr>
          <w:rFonts w:ascii="Arial" w:hAnsi="Arial" w:cs="Arial"/>
        </w:rPr>
      </w:pPr>
    </w:p>
    <w:p w14:paraId="52A99C83" w14:textId="77777777" w:rsidR="00BB22F1" w:rsidRPr="00BB22F1" w:rsidRDefault="00BB22F1" w:rsidP="00BB22F1">
      <w:pPr>
        <w:widowControl/>
        <w:spacing w:line="480" w:lineRule="auto"/>
        <w:rPr>
          <w:rFonts w:ascii="Arial" w:hAnsi="Arial" w:cs="Arial"/>
        </w:rPr>
      </w:pPr>
      <w:r w:rsidRPr="00BB22F1">
        <w:rPr>
          <w:rFonts w:ascii="Arial" w:hAnsi="Arial" w:cs="Arial"/>
        </w:rPr>
        <w:br w:type="page"/>
      </w:r>
    </w:p>
    <w:p w14:paraId="67CA2AD1" w14:textId="56749CA0" w:rsidR="00BB22F1" w:rsidRPr="00BB22F1" w:rsidRDefault="00BB22F1" w:rsidP="00BB22F1">
      <w:pPr>
        <w:spacing w:line="480" w:lineRule="auto"/>
        <w:rPr>
          <w:rFonts w:ascii="Arial" w:hAnsi="Arial" w:cs="Arial"/>
          <w:b/>
          <w:bCs/>
        </w:rPr>
      </w:pPr>
      <w:r w:rsidRPr="00BB22F1">
        <w:rPr>
          <w:rFonts w:ascii="Arial" w:hAnsi="Arial" w:cs="Arial"/>
          <w:b/>
          <w:bCs/>
        </w:rPr>
        <w:lastRenderedPageBreak/>
        <w:t>Abstract</w:t>
      </w:r>
    </w:p>
    <w:p w14:paraId="73FA9DC3" w14:textId="77777777" w:rsidR="00A56FDB" w:rsidRPr="00A56FDB" w:rsidRDefault="00A56FDB" w:rsidP="00A56FDB">
      <w:pPr>
        <w:spacing w:line="480" w:lineRule="auto"/>
        <w:rPr>
          <w:rFonts w:ascii="Arial" w:hAnsi="Arial" w:cs="Arial"/>
          <w:i/>
          <w:iCs/>
        </w:rPr>
      </w:pPr>
      <w:r w:rsidRPr="00A56FDB">
        <w:rPr>
          <w:rFonts w:ascii="Arial" w:hAnsi="Arial" w:cs="Arial"/>
          <w:i/>
          <w:iCs/>
        </w:rPr>
        <w:t>Purpose:</w:t>
      </w:r>
    </w:p>
    <w:p w14:paraId="7510E29B" w14:textId="3D6D648B" w:rsidR="00A56FDB" w:rsidRPr="00A56FDB" w:rsidRDefault="00A56FDB" w:rsidP="00A56FDB">
      <w:pPr>
        <w:spacing w:line="480" w:lineRule="auto"/>
        <w:rPr>
          <w:rFonts w:ascii="Arial" w:hAnsi="Arial" w:cs="Arial"/>
        </w:rPr>
      </w:pPr>
      <w:r w:rsidRPr="00A56FDB">
        <w:rPr>
          <w:rFonts w:ascii="Arial" w:hAnsi="Arial" w:cs="Arial"/>
        </w:rPr>
        <w:t xml:space="preserve">To introduce and validate a novel semi-automated ImageJ-based macro for comprehensive analysis of macular neovascularization (MNV) in OCTA images. The system is benchmarked against quantitative parameters from recent literature and provides novel biomarkers plus an automated morphological–pathophysiological classification that objectively distinguishes active, mature quiescent, transitional, and </w:t>
      </w:r>
      <w:proofErr w:type="spellStart"/>
      <w:r w:rsidRPr="00A56FDB">
        <w:rPr>
          <w:rFonts w:ascii="Arial" w:hAnsi="Arial" w:cs="Arial"/>
        </w:rPr>
        <w:t>arteriolarized</w:t>
      </w:r>
      <w:proofErr w:type="spellEnd"/>
      <w:r w:rsidRPr="00A56FDB">
        <w:rPr>
          <w:rFonts w:ascii="Arial" w:hAnsi="Arial" w:cs="Arial"/>
        </w:rPr>
        <w:t xml:space="preserve"> states.</w:t>
      </w:r>
    </w:p>
    <w:p w14:paraId="23D256E9" w14:textId="77777777" w:rsidR="00A56FDB" w:rsidRPr="00A56FDB" w:rsidRDefault="00A56FDB" w:rsidP="00A56FDB">
      <w:pPr>
        <w:spacing w:line="480" w:lineRule="auto"/>
        <w:rPr>
          <w:rFonts w:ascii="Arial" w:hAnsi="Arial" w:cs="Arial"/>
          <w:i/>
          <w:iCs/>
        </w:rPr>
      </w:pPr>
    </w:p>
    <w:p w14:paraId="575CF332" w14:textId="77777777" w:rsidR="00A56FDB" w:rsidRPr="00A56FDB" w:rsidRDefault="00A56FDB" w:rsidP="00A56FDB">
      <w:pPr>
        <w:spacing w:line="480" w:lineRule="auto"/>
        <w:rPr>
          <w:rFonts w:ascii="Arial" w:hAnsi="Arial" w:cs="Arial"/>
          <w:i/>
          <w:iCs/>
        </w:rPr>
      </w:pPr>
      <w:r w:rsidRPr="00A56FDB">
        <w:rPr>
          <w:rFonts w:ascii="Arial" w:hAnsi="Arial" w:cs="Arial"/>
          <w:i/>
          <w:iCs/>
        </w:rPr>
        <w:t>Methods:</w:t>
      </w:r>
    </w:p>
    <w:p w14:paraId="7F18AA89" w14:textId="3854986B" w:rsidR="00A56FDB" w:rsidRPr="00D40D12" w:rsidRDefault="00A56FDB" w:rsidP="00A56FDB">
      <w:pPr>
        <w:spacing w:line="480" w:lineRule="auto"/>
        <w:rPr>
          <w:rFonts w:ascii="Arial" w:hAnsi="Arial" w:cs="Arial"/>
        </w:rPr>
      </w:pPr>
      <w:r w:rsidRPr="00D40D12">
        <w:rPr>
          <w:rFonts w:ascii="Arial" w:hAnsi="Arial" w:cs="Arial"/>
        </w:rPr>
        <w:t xml:space="preserve">We developed an advanced image-processing pipeline incorporating hybrid multiscale vessel enhancement (Laplacian of Gaussian and </w:t>
      </w:r>
      <w:proofErr w:type="spellStart"/>
      <w:r w:rsidRPr="00D40D12">
        <w:rPr>
          <w:rFonts w:ascii="Arial" w:hAnsi="Arial" w:cs="Arial"/>
        </w:rPr>
        <w:t>tubeness</w:t>
      </w:r>
      <w:proofErr w:type="spellEnd"/>
      <w:r w:rsidRPr="00D40D12">
        <w:rPr>
          <w:rFonts w:ascii="Arial" w:hAnsi="Arial" w:cs="Arial"/>
        </w:rPr>
        <w:t xml:space="preserve"> filters), dynamic region-of-interest refinement, and boundary-branch exclusion. The system generates a Vascular Complexity Score and Vascular Stability Score (0–100), as well as automated classification into Medusa, </w:t>
      </w:r>
      <w:proofErr w:type="spellStart"/>
      <w:r w:rsidRPr="00D40D12">
        <w:rPr>
          <w:rFonts w:ascii="Arial" w:hAnsi="Arial" w:cs="Arial"/>
        </w:rPr>
        <w:t>Seafan</w:t>
      </w:r>
      <w:proofErr w:type="spellEnd"/>
      <w:r w:rsidRPr="00D40D12">
        <w:rPr>
          <w:rFonts w:ascii="Arial" w:hAnsi="Arial" w:cs="Arial"/>
        </w:rPr>
        <w:t xml:space="preserve">, Glomerular, Tree-in-bud, and Dead-tree patterns mapped to pathophysiological states using quantitative thresholds and published clinical criteria. A total of 112 MNV lesions imaged on three OCTA platforms (Zeiss </w:t>
      </w:r>
      <w:proofErr w:type="spellStart"/>
      <w:r w:rsidRPr="00D40D12">
        <w:rPr>
          <w:rFonts w:ascii="Arial" w:hAnsi="Arial" w:cs="Arial"/>
        </w:rPr>
        <w:t>PlexElite</w:t>
      </w:r>
      <w:proofErr w:type="spellEnd"/>
      <w:r w:rsidRPr="00D40D12">
        <w:rPr>
          <w:rFonts w:ascii="Arial" w:hAnsi="Arial" w:cs="Arial"/>
        </w:rPr>
        <w:t xml:space="preserve"> 6×6 mm, Zeiss HD 3×3 mm, </w:t>
      </w:r>
      <w:proofErr w:type="spellStart"/>
      <w:r w:rsidRPr="00D40D12">
        <w:rPr>
          <w:rFonts w:ascii="Arial" w:hAnsi="Arial" w:cs="Arial"/>
        </w:rPr>
        <w:t>Optovue</w:t>
      </w:r>
      <w:proofErr w:type="spellEnd"/>
      <w:r w:rsidRPr="00D40D12">
        <w:rPr>
          <w:rFonts w:ascii="Arial" w:hAnsi="Arial" w:cs="Arial"/>
        </w:rPr>
        <w:t xml:space="preserve"> Solix 6×6 mm) were analyzed.</w:t>
      </w:r>
    </w:p>
    <w:p w14:paraId="70533EA8" w14:textId="77777777" w:rsidR="00A56FDB" w:rsidRPr="00A56FDB" w:rsidRDefault="00A56FDB" w:rsidP="00A56FDB">
      <w:pPr>
        <w:spacing w:line="480" w:lineRule="auto"/>
        <w:rPr>
          <w:rFonts w:ascii="Arial" w:hAnsi="Arial" w:cs="Arial"/>
          <w:i/>
          <w:iCs/>
        </w:rPr>
      </w:pPr>
    </w:p>
    <w:p w14:paraId="44979AA8" w14:textId="77777777" w:rsidR="00A56FDB" w:rsidRPr="00A56FDB" w:rsidRDefault="00A56FDB" w:rsidP="00A56FDB">
      <w:pPr>
        <w:spacing w:line="480" w:lineRule="auto"/>
        <w:rPr>
          <w:rFonts w:ascii="Arial" w:hAnsi="Arial" w:cs="Arial"/>
          <w:i/>
          <w:iCs/>
        </w:rPr>
      </w:pPr>
      <w:r w:rsidRPr="00A56FDB">
        <w:rPr>
          <w:rFonts w:ascii="Arial" w:hAnsi="Arial" w:cs="Arial"/>
          <w:i/>
          <w:iCs/>
        </w:rPr>
        <w:t>Results:</w:t>
      </w:r>
    </w:p>
    <w:p w14:paraId="071500F7" w14:textId="77777777" w:rsidR="00A56FDB" w:rsidRPr="00D40D12" w:rsidRDefault="00A56FDB" w:rsidP="00A56FDB">
      <w:pPr>
        <w:spacing w:line="480" w:lineRule="auto"/>
        <w:rPr>
          <w:rFonts w:ascii="Arial" w:hAnsi="Arial" w:cs="Arial"/>
        </w:rPr>
      </w:pPr>
      <w:r w:rsidRPr="00D40D12">
        <w:rPr>
          <w:rFonts w:ascii="Arial" w:hAnsi="Arial" w:cs="Arial"/>
        </w:rPr>
        <w:t xml:space="preserve">Raw topological metrics differed substantially by device, precluding direct numerical comparison. Device-specific principal component analysis and piecewise-linear normalization yielded convergent Standardized Complexity, Caliber Uniformity, and Maturity scores (all medians ≈50, Kruskal–Wallis p≥0.276), indicating effective </w:t>
      </w:r>
      <w:r w:rsidRPr="00D40D12">
        <w:rPr>
          <w:rFonts w:ascii="Arial" w:hAnsi="Arial" w:cs="Arial"/>
        </w:rPr>
        <w:lastRenderedPageBreak/>
        <w:t>removal of device- and field-of-view–dependent scaling while preserving biological information. Automated morphological classification identified the full spectrum of MNV subtypes across all platforms, supporting cross-device robustness.</w:t>
      </w:r>
    </w:p>
    <w:p w14:paraId="4BD2C6B7" w14:textId="77777777" w:rsidR="00A56FDB" w:rsidRPr="00A56FDB" w:rsidRDefault="00A56FDB" w:rsidP="00A56FDB">
      <w:pPr>
        <w:spacing w:line="480" w:lineRule="auto"/>
        <w:rPr>
          <w:rFonts w:ascii="Arial" w:hAnsi="Arial" w:cs="Arial"/>
          <w:i/>
          <w:iCs/>
        </w:rPr>
      </w:pPr>
      <w:r w:rsidRPr="00A56FDB">
        <w:rPr>
          <w:rFonts w:ascii="Arial" w:hAnsi="Arial" w:cs="Arial"/>
          <w:i/>
          <w:iCs/>
        </w:rPr>
        <w:t>​</w:t>
      </w:r>
    </w:p>
    <w:p w14:paraId="701E4327" w14:textId="77777777" w:rsidR="00A56FDB" w:rsidRPr="00A56FDB" w:rsidRDefault="00A56FDB" w:rsidP="00A56FDB">
      <w:pPr>
        <w:spacing w:line="480" w:lineRule="auto"/>
        <w:rPr>
          <w:rFonts w:ascii="Arial" w:hAnsi="Arial" w:cs="Arial"/>
          <w:i/>
          <w:iCs/>
        </w:rPr>
      </w:pPr>
    </w:p>
    <w:p w14:paraId="540325DA" w14:textId="77777777" w:rsidR="00A56FDB" w:rsidRPr="00A56FDB" w:rsidRDefault="00A56FDB" w:rsidP="00A56FDB">
      <w:pPr>
        <w:spacing w:line="480" w:lineRule="auto"/>
        <w:rPr>
          <w:rFonts w:ascii="Arial" w:hAnsi="Arial" w:cs="Arial"/>
          <w:i/>
          <w:iCs/>
        </w:rPr>
      </w:pPr>
      <w:r w:rsidRPr="00A56FDB">
        <w:rPr>
          <w:rFonts w:ascii="Arial" w:hAnsi="Arial" w:cs="Arial"/>
          <w:i/>
          <w:iCs/>
        </w:rPr>
        <w:t>Conclusion:</w:t>
      </w:r>
    </w:p>
    <w:p w14:paraId="647721E0" w14:textId="17D0119C" w:rsidR="00BB22F1" w:rsidRPr="00D40D12" w:rsidRDefault="00A56FDB" w:rsidP="00A56FDB">
      <w:pPr>
        <w:spacing w:line="480" w:lineRule="auto"/>
        <w:rPr>
          <w:rFonts w:ascii="Arial" w:hAnsi="Arial" w:cs="Arial"/>
        </w:rPr>
      </w:pPr>
      <w:r w:rsidRPr="00D40D12">
        <w:rPr>
          <w:rFonts w:ascii="Arial" w:hAnsi="Arial" w:cs="Arial"/>
        </w:rPr>
        <w:t>This system provides a robust platform for standardized, device-independent quantification of MNV architecture. By integrating morphological patterns with quantitative biomarkers and automated pathophysiological classification, it enables objective differentiation of active angiogenesis from mature remodeling and may improve clinical decision-making and patient stratification in neovascular AMD.</w:t>
      </w:r>
    </w:p>
    <w:p w14:paraId="78E0D139" w14:textId="77777777" w:rsidR="007F4CD6" w:rsidRDefault="007F4CD6">
      <w:pPr>
        <w:widowControl/>
        <w:rPr>
          <w:rFonts w:ascii="Arial" w:hAnsi="Arial" w:cs="Arial"/>
        </w:rPr>
      </w:pPr>
      <w:r>
        <w:rPr>
          <w:rFonts w:ascii="Arial" w:hAnsi="Arial" w:cs="Arial"/>
        </w:rPr>
        <w:br w:type="page"/>
      </w:r>
    </w:p>
    <w:p w14:paraId="495B67C4" w14:textId="327FE6E8" w:rsidR="00BB22F1" w:rsidRPr="002103CE" w:rsidRDefault="00BB22F1" w:rsidP="00BB22F1">
      <w:pPr>
        <w:spacing w:line="480" w:lineRule="auto"/>
        <w:rPr>
          <w:rFonts w:ascii="Arial" w:hAnsi="Arial" w:cs="Arial"/>
          <w:b/>
          <w:bCs/>
        </w:rPr>
      </w:pPr>
      <w:r w:rsidRPr="002103CE">
        <w:rPr>
          <w:rFonts w:ascii="Arial" w:hAnsi="Arial" w:cs="Arial"/>
          <w:b/>
          <w:bCs/>
        </w:rPr>
        <w:lastRenderedPageBreak/>
        <w:t>Introduction</w:t>
      </w:r>
    </w:p>
    <w:p w14:paraId="52A8986D" w14:textId="00E9DF72" w:rsidR="00BB22F1" w:rsidRPr="00BB22F1" w:rsidRDefault="00BB22F1" w:rsidP="00234854">
      <w:pPr>
        <w:spacing w:line="480" w:lineRule="auto"/>
        <w:rPr>
          <w:rFonts w:ascii="Arial" w:hAnsi="Arial" w:cs="Arial"/>
        </w:rPr>
      </w:pPr>
      <w:r w:rsidRPr="00BB22F1">
        <w:rPr>
          <w:rFonts w:ascii="Arial" w:hAnsi="Arial" w:cs="Arial"/>
        </w:rPr>
        <w:t xml:space="preserve">Optical Coherence Tomography Angiography (OCT-A) has revolutionized the visualization of macular neovascularization (MNV) </w:t>
      </w:r>
      <w:r w:rsidR="005339D2">
        <w:rPr>
          <w:rFonts w:ascii="Arial" w:hAnsi="Arial" w:cs="Arial"/>
        </w:rPr>
        <w:fldChar w:fldCharType="begin"/>
      </w:r>
      <w:r w:rsidR="00220F58">
        <w:rPr>
          <w:rFonts w:ascii="Arial" w:hAnsi="Arial" w:cs="Arial"/>
        </w:rPr>
        <w:instrText xml:space="preserve"> ADDIN ZOTERO_ITEM CSL_CITATION {"citationID":"esfNy6qr","properties":{"unsorted":false,"formattedCitation":"\\super 1\\nosupersub{}","plainCitation":"1","noteIndex":0},"citationItems":[{"id":1225,"uris":["http://zotero.org/users/2658636/items/HAI2IMY8"],"itemData":{"id":1225,"type":"article-journal","abstract":"&lt;h4&gt;Background&lt;/h4&gt;To qualitatively and quantitatively evaluate the features of treatment-naïve flat irregular pigment epithelial detachment (FIPED)-associated choroidal neovascularization (CNV) in chronic central serous chorioretinopathy (CSC) using swept-source (SS) optical coherence tomography angiography (OCTA) before and after half-dose photodynamic therapy (PDT).&lt;h4&gt;Methods&lt;/h4&gt;Retrospective case series. The multimodal imaging data of the eyes with FIPED-associated CNV in chronic CSC were reviewed. The features of FIPED-associated CNVs were evaluated by SS-OCTA.&lt;h4&gt;Results&lt;/h4&gt;Records of twenty-one patients (21 eyes) were reviewed. The mean age was 56.62 ± 6.87 years. After half-dose PDT, all patients have improved best spectacle-corrected visual acuity from 0.49 at baseline to 0.25 at 6-month visit, and subfoveal choroidal thickness decreased with subretinal fluids absorbed. By OCTA, the features of CNV at baseline included long filamentous linear vessels (21/21), branching into other large mature vessels with rare anastomoses (21/21); and/or a 'dead tree' appearance at the vessel's termini (20/21); and no perilesional hypointense halo (21/21). Compared to those at baseline, the mean vessel density of CNV showed no significant change at 1-,3-,6-month follow-up, while the mean area of CNV was significantly larger at the 6-month follow-up (p = 0.013).&lt;h4&gt;Conclusions&lt;/h4&gt;OCT angiography allows to qualitatively and quantitatively evaluate CNV in chronic CSC. The features of FIPED-associated CNV on OCTA illustrated its quiescent characteristic and further guided therapy. Half-dose PDT showed favorable effects on chronic CSC complicated with FIPED-associated CNV.","container-title":"Eye","DOI":"10.1038/s41433-020-01345-5","journalAbbreviation":"Eye","page":"2871-2878","title":"OCTA evaluation of treatment-naïve flat irregular PED (FIPED)-associated CNV in chronic central serous chorioretinopathy before and after half-dose PDT.","volume":"35","author":[{"family":"Guo","given":"Jingli"},{"family":"Tang","given":"Wenyi"},{"family":"Xu","given":"Sisi"},{"family":"Liu","given":"Wei"},{"family":"Xu","given":"Gezhi"}],"issued":{"date-parts":[["2021"]]}}}],"schema":"https://github.com/citation-style-language/schema/raw/master/csl-citation.json"} </w:instrText>
      </w:r>
      <w:r w:rsidR="005339D2">
        <w:rPr>
          <w:rFonts w:ascii="Arial" w:hAnsi="Arial" w:cs="Arial"/>
        </w:rPr>
        <w:fldChar w:fldCharType="separate"/>
      </w:r>
      <w:r w:rsidR="00220F58" w:rsidRPr="00220F58">
        <w:rPr>
          <w:rFonts w:ascii="Arial" w:hAnsi="Arial" w:cs="Arial"/>
          <w:vertAlign w:val="superscript"/>
        </w:rPr>
        <w:t>1</w:t>
      </w:r>
      <w:r w:rsidR="005339D2">
        <w:rPr>
          <w:rFonts w:ascii="Arial" w:hAnsi="Arial" w:cs="Arial"/>
        </w:rPr>
        <w:fldChar w:fldCharType="end"/>
      </w:r>
      <w:r w:rsidRPr="00BB22F1">
        <w:rPr>
          <w:rFonts w:ascii="Arial" w:hAnsi="Arial" w:cs="Arial"/>
        </w:rPr>
        <w:t xml:space="preserve">. </w:t>
      </w:r>
      <w:r w:rsidR="00234854" w:rsidRPr="00234854">
        <w:rPr>
          <w:rFonts w:ascii="Arial" w:hAnsi="Arial" w:cs="Arial"/>
        </w:rPr>
        <w:t xml:space="preserve">Nevertheless, translating qualitative observations into objective quantitative metrics remains a considerable challenge. Although general-purpose tools such as </w:t>
      </w:r>
      <w:proofErr w:type="spellStart"/>
      <w:r w:rsidR="00234854" w:rsidRPr="00234854">
        <w:rPr>
          <w:rFonts w:ascii="Arial" w:hAnsi="Arial" w:cs="Arial"/>
        </w:rPr>
        <w:t>AngioTool</w:t>
      </w:r>
      <w:proofErr w:type="spellEnd"/>
      <w:r w:rsidR="00234854" w:rsidRPr="00234854">
        <w:rPr>
          <w:rFonts w:ascii="Arial" w:hAnsi="Arial" w:cs="Arial"/>
        </w:rPr>
        <w:t xml:space="preserve"> perform well with high-contrast immunofluorescence images</w:t>
      </w:r>
      <w:r w:rsidR="00234854">
        <w:rPr>
          <w:rFonts w:ascii="Arial" w:hAnsi="Arial" w:cs="Arial"/>
        </w:rPr>
        <w:t xml:space="preserve"> </w:t>
      </w:r>
      <w:r w:rsidR="00234854">
        <w:rPr>
          <w:rFonts w:ascii="Arial" w:hAnsi="Arial" w:cs="Arial"/>
        </w:rPr>
        <w:fldChar w:fldCharType="begin"/>
      </w:r>
      <w:r w:rsidR="00234854">
        <w:rPr>
          <w:rFonts w:ascii="Arial" w:hAnsi="Arial" w:cs="Arial"/>
        </w:rPr>
        <w:instrText xml:space="preserve"> ADDIN ZOTERO_ITEM CSL_CITATION {"citationID":"BKEUT42Y","properties":{"unsorted":false,"formattedCitation":"\\super 2\\nosupersub{}","plainCitation":"2","noteIndex":0},"citationItems":[{"id":4167,"uris":["http://zotero.org/users/2658636/items/YNFTLBS4"],"itemData":{"id":4167,"type":"article-journal","abstract":"Angiogenesis is the generation of mature vascular networks from pre-existing vessels. Angiogenesis is crucial during the organism' development, for wound healing and for the female reproductive cycle. Several murine experimental systems are well suited for studying developmental and pathological angiogenesis. They include the embryonic hindbrain, the post-natal retina and allantois explants. In these systems vascular networks are visualised by appropriate staining procedures followed by microscopical analysis. Nevertheless, quantitative assessment of angiogenesis is hampered by the lack of readily available, standardized metrics and software analysis tools. Non-automated protocols are being used widely and they are, in general, time - and labour intensive, prone to human error and do not permit computation of complex spatial metrics. We have developed a light-weight, user friendly software, AngioTool, which allows for quick, hands-off and reproducible quantification of vascular networks in microscopic images. AngioTool computes several morphological and spatial parameters including the area covered by a vascular network, the number of vessels, vessel length, vascular density and lacunarity. In addition, AngioTool calculates the so-called “branching index” (branch points / unit area), providing a measurement of the sprouting activity of a specimen of interest. We have validated AngioTool using images of embryonic murine hindbrains, post-natal retinas and allantois explants. AngioTool is open source and can be downloaded free of charge.","container-title":"PLOS ONE","DOI":"10.1371/journal.pone.0027385","ISSN":"1932-6203","issue":"11","journalAbbreviation":"PLOS ONE","language":"en","page":"e27385","publisher":"Public Library of Science","source":"PLoS Journals","title":"A Computational Tool for Quantitative Analysis of Vascular Networks","volume":"6","author":[{"family":"Zudaire","given":"Enrique"},{"family":"Gambardella","given":"Laure"},{"family":"Kurcz","given":"Christopher"},{"family":"Vermeren","given":"Sonja"}],"issued":{"date-parts":[["2011",11,16]]}}}],"schema":"https://github.com/citation-style-language/schema/raw/master/csl-citation.json"} </w:instrText>
      </w:r>
      <w:r w:rsidR="00234854">
        <w:rPr>
          <w:rFonts w:ascii="Arial" w:hAnsi="Arial" w:cs="Arial"/>
        </w:rPr>
        <w:fldChar w:fldCharType="separate"/>
      </w:r>
      <w:r w:rsidR="00234854" w:rsidRPr="0059775E">
        <w:rPr>
          <w:rFonts w:ascii="Arial" w:hAnsi="Arial" w:cs="Arial"/>
          <w:vertAlign w:val="superscript"/>
        </w:rPr>
        <w:t>2</w:t>
      </w:r>
      <w:r w:rsidR="00234854">
        <w:rPr>
          <w:rFonts w:ascii="Arial" w:hAnsi="Arial" w:cs="Arial"/>
        </w:rPr>
        <w:fldChar w:fldCharType="end"/>
      </w:r>
      <w:r w:rsidR="00234854" w:rsidRPr="00234854">
        <w:rPr>
          <w:rFonts w:ascii="Arial" w:hAnsi="Arial" w:cs="Arial"/>
        </w:rPr>
        <w:t>, they often struggle when applied to OCT-A data, which are typically low in contrast and prone to imaging artifacts</w:t>
      </w:r>
      <w:r w:rsidR="00234854">
        <w:rPr>
          <w:rFonts w:ascii="Arial" w:hAnsi="Arial" w:cs="Arial"/>
        </w:rPr>
        <w:t xml:space="preserve"> </w:t>
      </w:r>
      <w:bookmarkStart w:id="0" w:name="_Hlk224137772"/>
      <w:r w:rsidR="00234854">
        <w:rPr>
          <w:rFonts w:ascii="Arial" w:hAnsi="Arial" w:cs="Arial"/>
        </w:rPr>
        <w:fldChar w:fldCharType="begin"/>
      </w:r>
      <w:r w:rsidR="00015FE0">
        <w:rPr>
          <w:rFonts w:ascii="Arial" w:hAnsi="Arial" w:cs="Arial"/>
        </w:rPr>
        <w:instrText xml:space="preserve"> ADDIN ZOTERO_ITEM CSL_CITATION {"citationID":"GRomNpnN","properties":{"unsorted":false,"formattedCitation":"\\super 3\\uc0\\u8211{}5\\nosupersub{}","plainCitation":"3–5","noteIndex":0},"citationItems":[{"id":1230,"uris":["http://zotero.org/users/2658636/</w:instrText>
      </w:r>
      <w:r w:rsidR="00015FE0">
        <w:rPr>
          <w:rFonts w:ascii="Arial" w:hAnsi="Arial" w:cs="Arial" w:hint="eastAsia"/>
        </w:rPr>
        <w:instrText>items/PHZY96LL"],"itemData":{"id":1230,"type":"article-journal","abstract":"&lt;h4&gt;Purpose&lt;/h4&gt;To identify the changes in distinct vascular parameters of choroidal neovascularization (CNV) in eyes with treatment-na</w:instrText>
      </w:r>
      <w:r w:rsidR="00015FE0">
        <w:rPr>
          <w:rFonts w:ascii="Arial" w:hAnsi="Arial" w:cs="Arial" w:hint="eastAsia"/>
        </w:rPr>
        <w:instrText>茂</w:instrText>
      </w:r>
      <w:r w:rsidR="00015FE0">
        <w:rPr>
          <w:rFonts w:ascii="Arial" w:hAnsi="Arial" w:cs="Arial" w:hint="eastAsia"/>
        </w:rPr>
        <w:instrText>ve neovascular age-related macular degeneration (nAMD) during the primary response to anti-VEGF therapy using aflibercept.&lt;h4&gt;Methods&lt;/h4&gt;Patients were prospectively followed during the first 3</w:instrText>
      </w:r>
      <w:r w:rsidR="00015FE0">
        <w:rPr>
          <w:rFonts w:ascii="Arial" w:hAnsi="Arial" w:cs="Arial" w:hint="eastAsia"/>
        </w:rPr>
        <w:instrText>聽</w:instrText>
      </w:r>
      <w:r w:rsidR="00015FE0">
        <w:rPr>
          <w:rFonts w:ascii="Arial" w:hAnsi="Arial" w:cs="Arial" w:hint="eastAsia"/>
        </w:rPr>
        <w:instrText>months according to a standardized protocol with mandatory visits at days 7 and 14 after each anti-VEGF treatment up to day 90. Fourteen eyes were seen in addition at days 1 and 3 post-initial injection. Aflibercept was administered at baseline (BL), day 30 and 60. 6</w:instrText>
      </w:r>
      <w:r w:rsidR="00015FE0">
        <w:rPr>
          <w:rFonts w:ascii="Arial" w:hAnsi="Arial" w:cs="Arial" w:hint="eastAsia"/>
        </w:rPr>
        <w:instrText>聽脳聽</w:instrText>
      </w:r>
      <w:r w:rsidR="00015FE0">
        <w:rPr>
          <w:rFonts w:ascii="Arial" w:hAnsi="Arial" w:cs="Arial" w:hint="eastAsia"/>
        </w:rPr>
        <w:instrText>6mm SSOCTA (PlexElite, Zeiss) images were acquired. Using the semi-automated AngioTool, C</w:instrText>
      </w:r>
      <w:r w:rsidR="00015FE0">
        <w:rPr>
          <w:rFonts w:ascii="Arial" w:hAnsi="Arial" w:cs="Arial"/>
        </w:rPr>
        <w:instrText>NV area, vessel area, vessel density (VD), the number of junctions, junctions density, total vessel length, average vessel length, total number of endpoints and lacunarity were assessed.&lt;h4&gt;Results&lt;/h4&gt;Thirty-two consecutive patients presenting with treat</w:instrText>
      </w:r>
      <w:r w:rsidR="00015FE0">
        <w:rPr>
          <w:rFonts w:ascii="Arial" w:hAnsi="Arial" w:cs="Arial" w:hint="eastAsia"/>
        </w:rPr>
        <w:instrText>ment-na</w:instrText>
      </w:r>
      <w:r w:rsidR="00015FE0">
        <w:rPr>
          <w:rFonts w:ascii="Arial" w:hAnsi="Arial" w:cs="Arial" w:hint="eastAsia"/>
        </w:rPr>
        <w:instrText>茂</w:instrText>
      </w:r>
      <w:r w:rsidR="00015FE0">
        <w:rPr>
          <w:rFonts w:ascii="Arial" w:hAnsi="Arial" w:cs="Arial" w:hint="eastAsia"/>
        </w:rPr>
        <w:instrText>ve, SSOCTA-positive CNV lesions were included. Close follow-up showed a characteristic neovascular response curve with a dynamic decrease in lesion size within days and a reactive increase following 2</w:instrText>
      </w:r>
      <w:r w:rsidR="00015FE0">
        <w:rPr>
          <w:rFonts w:ascii="Arial" w:hAnsi="Arial" w:cs="Arial" w:hint="eastAsia"/>
        </w:rPr>
        <w:instrText>聽</w:instrText>
      </w:r>
      <w:r w:rsidR="00015FE0">
        <w:rPr>
          <w:rFonts w:ascii="Arial" w:hAnsi="Arial" w:cs="Arial" w:hint="eastAsia"/>
        </w:rPr>
        <w:instrText>weeks after initial treatment. An undulating p</w:instrText>
      </w:r>
      <w:r w:rsidR="00015FE0">
        <w:rPr>
          <w:rFonts w:ascii="Arial" w:hAnsi="Arial" w:cs="Arial"/>
        </w:rPr>
        <w:instrText xml:space="preserve">attern was seen for all neovascular parameters except for vascular density, with variable statistical significance. Due to a flattening of the therapeutic response as early as after the second treatment, CNV lesion size and most of the related parameters had an increase in activity above baseline values at the end of the loading phase. Lesion size was the leading feature of reactivation by a mean increase of 19.3% after three monthly aflibercept injections. Subgroup analysis based on lesion size revealed a significant correlation between best-corrected visual acuity and quantitative change in lesion size over time, but not baseline size.&lt;h4&gt;Conclusions&lt;/h4&gt;Using SSOCTA, a morphologic neovascular response pattern can be identified in anti-VEGF treatment of CNV. A synchronized early decrease and consecutive reactivation in a large spectrum of neovascular biomarkers including size and internal structure are visualized in a qualitative and quantitative manner. SSOCTA analyses allow new insights in CNV morphology changes and therapeutic response.","container-title":"Acta Ophthalmologica","DOI":"10.1111/aos.14554","journalAbbreviation":"Acta Ophthalmologica","page":"e240-e246","title":"Profiling neovascular age-related macular degeneration choroidal neovascularization lesion response to anti-vascular endothelial growth factor therapy using SSOCTA.","volume":"99","author":[{"family":"Told","given":"R."},{"family":"Reiter","given":"G."},{"family":"Mittermueller","given":"T."},{"family":"Schranz","given":"M."},{"family":"Reumueller","given":"A."},{"family":"Schlanitz","given":"F."},{"family":"Weigert","given":"Günther"},{"family":"Pollreisz","given":"A."},{"family":"Sacu","given":"S."},{"family":"Schmidt-Erfurth","given":"U."}],"issued":{"date-parts":[["2021"]]}}},{"id":1221,"uris":["http://zotero.org/users/2658636/items/H4ZP25F4"],"itemData":{"id":1221,"type":"article-journal","abstract":"&lt;h4&gt;Purpose&lt;/h4&gt;To evaluate quantitative morphological changes in macular neovascularisation (MNV) network after aflibercept therapy in neovascular age-related macular degeneration (nAMD) patients.&lt;h4&gt;Methods&lt;/h4&gt;Consecutive treatment-naïve patients with optical coherence tomography (OCT) angiography confirmed MNV due to nAMD who completed a loading phase of intravitreal aflibercept injections. A quantitative analysis of the vascular network remodelling was performed using a computational software (Angiotool).&lt;h4&gt;Results&lt;/h4&gt;A total of 53 eyes of 52 patients were included in the analysis. The total MNV area decreased significantly after three aflibercept injections (p = 0.003). Total vessel area and vessel density decreased respectively of 20% and 12% at V3 (p &lt; 0.001 in both cases). Other parameters that reduced significantly were total vessel length, average vessel length and density of vascular junctions (p = 0.018, p = 0.002, and p = 0.044, respectively). The number of vascular endpoints (p = 0.001) and lacunarity (p = 0.011) increased significantly, whilst the number of vascular junctions did not vary significantly (p = 0.068). Changes in vascular metrics were predominantly driven by MNV type 1 and 2. No clear relationship was observed between any of the vascular metrics and the macular fluid status.&lt;h4&gt;Conclusion&lt;/h4&gt;Although objective quantification of vascular parameters showed a significant remodelling of the MNV post-loading phase of aflibercept in type 1 and 2 MNV subtypes, none of the quantified vascular metrics correlated to the macular fluid response. These findings highlight a dissociation of anti-angiogenic and anti-permeability properties of aflibercept therapy during the loading phase.","container-title":"Eye","DOI":"10.1038/s41433-023-02574-0","journalAbbreviation":"Eye","page":"3648-3655","title":"Quantitative response of macular neovascularisation to loading phase of aflibercept in neovascular age-related macular degeneration.","volume":"37","author":[{"family":"Montesel","given":"Andrea"},{"family":"Hagag","given":"Ahmed"},{"family":"Chandra","given":"S."},{"family":"Muhammed","given":"Raheeba Pakeer"},{"family":"Thottarath","given":"Sridevi"},{"family":"Chandak","given":"Swati"},{"family":"Sivaprasad","given":"S."}],"issued":{"date-parts":[["2023"]]}}},{"id":1219,"uris":["http://zotero.org/users/2658636/items/HSCRFXJZ"],"itemData":{"id":1219,"type":"article-journal","abstract":"&lt;h4&gt;Purpose&lt;/h4&gt;To evaluate the morphometric changes in macular neovascularization (MNV) architecture after faricimab treatment in neovascular age-related macular degeneration, comparing treatment-naive and previously treated eyes.&lt;h4&gt;Methods&lt;/h4&gt;Prospective study analyzing 45 eyes (18 treatment naive, 27 switched) with neovascular age-related macular degeneration undergoing faricimab treatment. Optical coherence tomography angiography images were exported and the quantification of changes in MNV area, vessel area, vessel density, number of junctions, branching index, total vessel length, end points, and lacunarity was performed using AngioTool v0.6a. Follow-ups at baseline (V0), at the end of the loading phase (V1), and at 1 year (V2) were collected.&lt;h4&gt;Results&lt;/h4&gt;Baseline MNV characteristics differed significantly between treatment-naive and switched eyes. Switched eyes exhibited greater MNV area ( P &lt; 0.001), vessel area ( P &lt; 0.001), junction count ( P = 0.004), vessel length ( P &lt; 0.001), average vessel length ( P = 0.02), end point count ( P = 0.002), and lacunarity ( P = 0.04). Conversely, naive eyes had higher vessel density ( P &lt; 0.001) and branching index ( P = 0.007). Posttreatment, MNV area ( P &lt; 0.001), vessel area ( P &lt; 0.001), junction count ( P = 0.001), and total vessel length ( P &lt; 0.001) decreased, whereas lacunarity increased ( P = 0.001). Greater changes were observed in naive eyes, but the end point count only reduced in switched eyes ( P = 0.01), being stable in naive eyes. At V2, switched eyes still had larger MNV area ( P = 0.007), vessel area ( P = 0.004), junction count ( P = 0.002), vessel length ( P = 0.004), and end points ( P = 0.007).&lt;h4&gt;Conclusion&lt;/h4&gt;Faricimab induces significant and sustained remodeling of the MNV network in neovascular age-related macular degeneration, with more pronounced changes in treatment-naive eyes. These changes were primarily driven by the loading phase, but then remained stable toward the 1-year follow-up.","container-title":"Retina","DOI":"10.1097/iae.0000000000004635","journalAbbreviation":"Retina","page":"125-135","title":"MORPHOMETRIC CHANGES IN MACULAR NEOVASCULARIZATION ARCHITECTURE AFTER FARICIMAB TREATMENT IN NEOVASCULAR AGE-RELATED MACULAR DEGENERATION: Comparison Between Naive and Switched Eyes.","author":[{"family":"Carlà","given":"Matteo Mario"},{"family":"Scampoli","given":"Alessandra"},{"family":"Grieco","given":"Giulia"},{"family":"Governatori","given":"Lorenzo"},{"family":"Catalani","given":"Roberta"},{"family":"Rizzo","given":"S."},{"family":"Caporossi","given":"T."}],"issued":{"date-parts":[["2026"]]}}}],"schema":"https://github.com/citation-style-language/schema/raw/master/csl-citation.json"} </w:instrText>
      </w:r>
      <w:r w:rsidR="00234854">
        <w:rPr>
          <w:rFonts w:ascii="Arial" w:hAnsi="Arial" w:cs="Arial"/>
        </w:rPr>
        <w:fldChar w:fldCharType="separate"/>
      </w:r>
      <w:r w:rsidR="00015FE0" w:rsidRPr="00015FE0">
        <w:rPr>
          <w:rFonts w:ascii="Arial" w:hAnsi="Arial" w:cs="Arial"/>
          <w:vertAlign w:val="superscript"/>
        </w:rPr>
        <w:t>3–5</w:t>
      </w:r>
      <w:r w:rsidR="00234854">
        <w:rPr>
          <w:rFonts w:ascii="Arial" w:hAnsi="Arial" w:cs="Arial"/>
        </w:rPr>
        <w:fldChar w:fldCharType="end"/>
      </w:r>
      <w:bookmarkEnd w:id="0"/>
      <w:r w:rsidR="00234854" w:rsidRPr="00234854">
        <w:rPr>
          <w:rFonts w:ascii="Arial" w:hAnsi="Arial" w:cs="Arial"/>
        </w:rPr>
        <w:t>. Furthermore, variations in image quality across acquisition protocols and devices lead to difficulties in accurately delineating fine capillaries within dense MNV networks and result in inconsistent quantitative parameters across machines</w:t>
      </w:r>
      <w:r w:rsidR="00472BB5">
        <w:rPr>
          <w:rFonts w:ascii="Arial" w:hAnsi="Arial" w:cs="Arial"/>
        </w:rPr>
        <w:t xml:space="preserve"> </w:t>
      </w:r>
      <w:r w:rsidR="00472BB5">
        <w:rPr>
          <w:rFonts w:ascii="Arial" w:hAnsi="Arial" w:cs="Arial"/>
        </w:rPr>
        <w:fldChar w:fldCharType="begin"/>
      </w:r>
      <w:r w:rsidR="00472BB5">
        <w:rPr>
          <w:rFonts w:ascii="Arial" w:hAnsi="Arial" w:cs="Arial"/>
        </w:rPr>
        <w:instrText xml:space="preserve"> ADDIN ZOTERO_ITEM CSL_CITATION {"citationID":"IYl9NLri","properties":{"unsorted":false,"formattedCitation":"\\super 6\\nosupersub{}","plainCitation":"6","noteIndex":0},"citationItems":[{"id":4171,"uris":["http://zotero.org/users/2658636/items/CP8YVHJ9"],"itemData":{"id":4171,"type":"article-journal","abstract":"Purpose To compare the quality of four OCT-angiography(OCT-A) modules. Method The retina of nineteen healthy volunteers were scanned with four OCT-devices (Topcon DRI-OCT Triton Swept-source OCT, Optovue RTVue-XR, a prototype Spectralis OCT2, Heidelberg-Engineering and Zeiss Cirrus 5000-HD-OCT). The device-software generated en-face OCT-A images of the superficial (SCP) and deep capillary plexuses (DCP) were evaluated and scored by 3 independent retinal imaging experts. The SCP vessel density was assessed using Angiotool-software. After the inter-grader reliability assessment, a consensus grading was performed and the modules were ranked based on their scoring. Results There was no significant difference in the vessel density among the modules (Zeiss 48.7±4%, Optovue 47.9±3%, Topcon 48.3±2%, Heidelberg 46.5±4%, p = 0.2). The numbers of discernible vessel-bifurcations differed significantly on each module (Zeiss 2±0.9 bifurcations, Optovue 2.5±1.2, Topcon 1.3±0.7 and Heidelberg 0.5±0.6, p≤0.001). The ranking of each module differed depending on the evaluated parameter. In the overall ranking, the Zeiss module was superior and in 90% better than the median (Bonferroni corrected p-value = 0.04). Optovue was better than the median in 60%, Topcon in 40% and Heidelberg module in 10%, however these differences were not statistically significant. Conclusion Each of the four evaluated OCT-A modules had particular strengths, which differentiated it from their competitors.","container-title":"PLOS ONE","DOI":"10.1371/journal.pone.0177059","ISSN":"1932-6203","issue":"5","journalAbbreviation":"PLOS ONE","language":"en","page":"e0177059","publisher":"Public Library of Science","source":"PLoS Journals","title":"OCT-angiography: A qualitative and quantitative comparison of 4 OCT-A devices","title-short":"OCT-angiography","volume":"12","author":[{"family":"Munk","given":"Marion R."},{"family":"Giannakaki-Zimmermann","given":"Helena"},{"family":"Berger","given":"Lieselotte"},{"family":"Huf","given":"Wolfgang"},{"family":"Ebneter","given":"Andreas"},{"family":"Wolf","given":"Sebastian"},{"family":"Zinkernagel","given":"Martin S."}],"issued":{"date-parts":[["2017",5,10]]}}}],"schema":"https://github.com/citation-style-language/schema/raw/master/csl-citation.json"} </w:instrText>
      </w:r>
      <w:r w:rsidR="00472BB5">
        <w:rPr>
          <w:rFonts w:ascii="Arial" w:hAnsi="Arial" w:cs="Arial"/>
        </w:rPr>
        <w:fldChar w:fldCharType="separate"/>
      </w:r>
      <w:r w:rsidR="00472BB5" w:rsidRPr="00472BB5">
        <w:rPr>
          <w:rFonts w:ascii="Arial" w:hAnsi="Arial" w:cs="Arial"/>
          <w:vertAlign w:val="superscript"/>
        </w:rPr>
        <w:t>6</w:t>
      </w:r>
      <w:r w:rsidR="00472BB5">
        <w:rPr>
          <w:rFonts w:ascii="Arial" w:hAnsi="Arial" w:cs="Arial"/>
        </w:rPr>
        <w:fldChar w:fldCharType="end"/>
      </w:r>
      <w:r w:rsidR="00234854" w:rsidRPr="00234854">
        <w:rPr>
          <w:rFonts w:ascii="Arial" w:hAnsi="Arial" w:cs="Arial"/>
        </w:rPr>
        <w:t>.</w:t>
      </w:r>
    </w:p>
    <w:p w14:paraId="28EC7FB7" w14:textId="77777777" w:rsidR="00BB22F1" w:rsidRPr="00BB22F1" w:rsidRDefault="00BB22F1" w:rsidP="00BB22F1">
      <w:pPr>
        <w:spacing w:line="480" w:lineRule="auto"/>
        <w:rPr>
          <w:rFonts w:ascii="Arial" w:hAnsi="Arial" w:cs="Arial"/>
        </w:rPr>
      </w:pPr>
    </w:p>
    <w:p w14:paraId="13EC5B76" w14:textId="44F3423D" w:rsidR="00BB22F1" w:rsidRPr="00BB22F1" w:rsidRDefault="00BB22F1" w:rsidP="00BB22F1">
      <w:pPr>
        <w:spacing w:line="480" w:lineRule="auto"/>
        <w:rPr>
          <w:rFonts w:ascii="Arial" w:hAnsi="Arial" w:cs="Arial"/>
        </w:rPr>
      </w:pPr>
      <w:r w:rsidRPr="00BB22F1">
        <w:rPr>
          <w:rFonts w:ascii="Arial" w:hAnsi="Arial" w:cs="Arial"/>
        </w:rPr>
        <w:t>A</w:t>
      </w:r>
      <w:r w:rsidR="009F4523">
        <w:rPr>
          <w:rFonts w:ascii="Arial" w:hAnsi="Arial" w:cs="Arial"/>
        </w:rPr>
        <w:t>nother</w:t>
      </w:r>
      <w:r w:rsidRPr="00BB22F1">
        <w:rPr>
          <w:rFonts w:ascii="Arial" w:hAnsi="Arial" w:cs="Arial"/>
        </w:rPr>
        <w:t xml:space="preserve"> critical hurdle in MNV analysis is the characterization of vascular remodeling, particularly the distinction between active neovascularization and mature quiescent states. While patterns like "Medusa" and "</w:t>
      </w:r>
      <w:proofErr w:type="spellStart"/>
      <w:r w:rsidRPr="00BB22F1">
        <w:rPr>
          <w:rFonts w:ascii="Arial" w:hAnsi="Arial" w:cs="Arial"/>
        </w:rPr>
        <w:t>Seafan</w:t>
      </w:r>
      <w:proofErr w:type="spellEnd"/>
      <w:r w:rsidRPr="00BB22F1">
        <w:rPr>
          <w:rFonts w:ascii="Arial" w:hAnsi="Arial" w:cs="Arial"/>
        </w:rPr>
        <w:t>" are widely recognized, their quantitative definition and clinical interpretation often vary</w:t>
      </w:r>
      <w:r w:rsidR="008664FD">
        <w:rPr>
          <w:rFonts w:ascii="Arial" w:hAnsi="Arial" w:cs="Arial"/>
        </w:rPr>
        <w:t xml:space="preserve"> </w:t>
      </w:r>
      <w:r w:rsidR="00DC5526">
        <w:rPr>
          <w:rFonts w:ascii="Arial" w:hAnsi="Arial" w:cs="Arial"/>
        </w:rPr>
        <w:fldChar w:fldCharType="begin"/>
      </w:r>
      <w:r w:rsidR="00397FEA">
        <w:rPr>
          <w:rFonts w:ascii="Arial" w:hAnsi="Arial" w:cs="Arial"/>
        </w:rPr>
        <w:instrText xml:space="preserve"> ADDIN ZOTERO_ITEM CSL_CITATION {"citationID":"6EZqSjiB","properties":{"unsorted":false,"formattedCitation":"\\super 7,8\\nosupersub{}","plainCitation":"7,8","noteIndex":0},"citationItems":[{"id":1220,"uris":["http://zotero.org/users/2658636/items/LVG6BTQ5"],"itemData":{"id":1220,"type":"article-journal","abstract":"&lt;h4&gt;Purpose&lt;/h4&gt;To describe the qualitative and quantitative changes in choroidal neovascularization (CNV) flow pattern after anti-vascular endothelial growth factor therapy, by optical coherence tomography angiography (OCTA).&lt;h4&gt;Methods&lt;/h4&gt;Consecutive patients with neovascular age-related macular degeneration underwent multimodal imaging, including OCTA at initial examination and at last visit. High-flow networks in the choriocapillaris segmentation of OCTA were qualitatively and quantitatively analyzed at baseline and at follow-up, to characterize vascular flow changes after anti-vascular endothelial growth factor treatment and to correlate these changes with final exudation signs on spectral domain optical coherence tomography.&lt;h4&gt;Results&lt;/h4&gt;Seventeen eyes were included. Mean follow-up was of 11.7 ± 3.3 months. Baseline images showed six medusa pattern (35.3%), four seafan pattern (23.5%), and seven indistinct network patterns (41.2%). Mean CNV area at baseline was 1.58 ± 1.72 mm. Final OCTA images revealed a decrease in CNV total area of 21.6%. In 6/17 eyes, the baseline neovascular pattern was unchanged; these cases were associated with exudation at the final spectral domain optical coherence tomography examination (P = 0.034) and a decrease in CNV area of 34.1%. Conversely, in 11/17 eyes (64.7%), the initial pattern had changed to a pruned vascular tree pattern, with variable exudative status on spectral domain optical coherence tomography at the final visit and a decrease in total CNV area of 0.07%.&lt;h4&gt;Conclusion&lt;/h4&gt;The vascular flow remodeling induced by recurrent anti-vascular endothelial growth factor treatment can be assessed by OCTA. Optical coherence tomography angiography may help to accurately evaluate treatment response and to recognize patterns usually associated with recurrent exudative activity.","container-title":"Retina","DOI":"10.1097/iae.0000000000001964","journalAbbreviation":"Retina","page":"548-557","title":"VASCULAR REMODELING OF CHOROIDAL NEOVASCULARIZATION AFTER ANTI-VASCULAR ENDOTHELIAL GROWTH FACTOR THERAPY VISUALIZED ON OPTICAL COHERENCE TOMOGRAPHY ANGIOGRAPHY.","volume":"39","author":[{"family":"Miere","given":"A."},{"family":"Butori","given":"P."},{"family":"Cohen","given":"S."},{"family":"Semoun","given":"O."},{"family":"Capuano","given":"V."},{"family":"Jung","given":"C."},{"family":"Souied","given":"E."}],"issued":{"date-parts":[["2019"]]}}},{"id":1211,"uris":["http://zotero.org/users/2658636/items/YKSUFIQT"],"itemData":{"id":1211,"type":"article-journal","abstract":"&lt;h4&gt;Importance&lt;/h4&gt;The clinical implications of different morphologies of choroidal neovascularization (CNV), as evaluated by ocular coherence tomography angiography (OCTA) in neovascular age-related macular degeneration (nAMD), are lacking.&lt;h4&gt;Background&lt;/h4&gt;To describe the morphology of CNV in nAMD using OCTA, and to compare the visual prognosis and other structural OCT biomarkers between different morphologic patterns.&lt;h4&gt;Design&lt;/h4&gt;Retrospective cohort study.&lt;h4&gt;Participants&lt;/h4&gt;One hundred and forty eyes with nAMD treated with anti-vascular endothelial growth factor (VEGF).&lt;h4&gt;Methods&lt;/h4&gt;Patients were examined using OCTA prior to and at 3, 6 and 12 months after receiving anti-VEGF therapy.&lt;h4&gt;Main outcome measures&lt;/h4&gt;Best-corrected visual acuity (BCVA) and morphologic retinal features.&lt;h4&gt;Results&lt;/h4&gt;Organized CNV was identified in 110/140 eyes (78.6%) using OCTA. These CNV complexes could be divided into three OCTA patterns: the 'medusa' pattern (n = 41), characterized by branching vessels radiating in all directions; the 'seafan' pattern (n = 43), characterized by branching vessels radiating to one side of the lesion; and the 'tangled' pattern (n = 26), characterized by globular entwined vessels without a main trunk. At baseline, the eyes with the tangled pattern were from younger patients (P = .031) with better BCVA (P = .007). There were also fewer intraretinal cysts (P = .021), less fibrovascular pigment epithelial detachment (P = .009), and more pachychoroid (P = .007) in eyes with the tangled pattern on OCT. At 12 months post-treatment, patients with the tangled CNV pattern also showed greater visual improvement than patients with the other two patterns (P = .049).&lt;h4&gt;Conclusions and relevance&lt;/h4&gt;Using OCTA, distinct morphologies of CNV in nAMD patients were identified. These different patterns might be useful predictors for the prognosis of nAMD patients after anti-VEGF therapy.","container-title":"Clinical &amp; Experimental Ophthalmology","DOI":"10.1111/ceo.13797","journalAbbreviation":"Clinical &amp; Experimental Ophthalmology","page":"927-937","title":"Comparison of different morphologies of choroidal neovascularization evaluated by ocular coherence tomography angiography in age-related macular degeneration.","volume":"48","author":[{"family":"Tew","given":"T."},{"family":"Lai","given":"Tso-Ting"},{"family":"Hsieh","given":"Y."},{"family":"Ho","given":"T."},{"family":"Yang","given":"Chung-May"},{"family":"Yang","given":"Chang-Hao"}],"issued":{"date-parts":[["2020"]]}}}],"schema":"https://github.com/citation-style-language/schema/raw/master/csl-citation.json"} </w:instrText>
      </w:r>
      <w:r w:rsidR="00DC5526">
        <w:rPr>
          <w:rFonts w:ascii="Arial" w:hAnsi="Arial" w:cs="Arial"/>
        </w:rPr>
        <w:fldChar w:fldCharType="separate"/>
      </w:r>
      <w:r w:rsidR="00397FEA" w:rsidRPr="00397FEA">
        <w:rPr>
          <w:rFonts w:ascii="Arial" w:hAnsi="Arial" w:cs="Arial"/>
          <w:vertAlign w:val="superscript"/>
        </w:rPr>
        <w:t>7,8</w:t>
      </w:r>
      <w:r w:rsidR="00DC5526">
        <w:rPr>
          <w:rFonts w:ascii="Arial" w:hAnsi="Arial" w:cs="Arial"/>
        </w:rPr>
        <w:fldChar w:fldCharType="end"/>
      </w:r>
      <w:r w:rsidRPr="00BB22F1">
        <w:rPr>
          <w:rFonts w:ascii="Arial" w:hAnsi="Arial" w:cs="Arial"/>
        </w:rPr>
        <w:t>. Furthermore, the term "mature" is used inconsistently in the literature, leading to significant ambiguity. It sometimes describes a well-organized but active lesion (morphological maturity), and other times a quiescent, pruned vascular tree (pathophysiological maturity)</w:t>
      </w:r>
      <w:r w:rsidR="008664FD">
        <w:rPr>
          <w:rFonts w:ascii="Arial" w:hAnsi="Arial" w:cs="Arial"/>
        </w:rPr>
        <w:t xml:space="preserve"> </w:t>
      </w:r>
      <w:r w:rsidR="0013587C">
        <w:rPr>
          <w:rFonts w:ascii="Arial" w:hAnsi="Arial" w:cs="Arial"/>
        </w:rPr>
        <w:fldChar w:fldCharType="begin"/>
      </w:r>
      <w:r w:rsidR="00397FEA">
        <w:rPr>
          <w:rFonts w:ascii="Arial" w:hAnsi="Arial" w:cs="Arial"/>
        </w:rPr>
        <w:instrText xml:space="preserve"> ADDIN ZOTERO_ITEM CSL_CITATION {"citationID":"Nk3iCoED","properties":{"unsorted":false,"formattedCitation":"\\super 1,7,8\\nosupersub{}","plainCitation":"1,7,8","noteIndex":0},"citationItems":[{"id":1225,"uris":["http://zotero.org/users/2658636/items/HAI2IMY8"],"itemData":{"id":1225,"type":"article-journal","abstract":"&lt;h4&gt;Background&lt;/h4&gt;To qualitatively and quantitatively evaluate the features of treatment-naïve flat irregular pigment epithelial detachment (FIPED)-associated choroidal neovascularization (CNV) in chronic central serous chorioretinopathy (CSC) using swept-source (SS) optical coherence tomography angiography (OCTA) before and after half-dose photodynamic therapy (PDT).&lt;h4&gt;Methods&lt;/h4&gt;Retrospective case series. The multimodal imaging data of the eyes with FIPED-associated CNV in chronic CSC were reviewed. The features of FIPED-associated CNVs were evaluated by SS-OCTA.&lt;h4&gt;Results&lt;/h4&gt;Records of twenty-one patients (21 eyes) were reviewed. The mean age was 56.62 ± 6.87 years. After half-dose PDT, all patients have improved best spectacle-corrected visual acuity from 0.49 at baseline to 0.25 at 6-month visit, and subfoveal choroidal thickness decreased with subretinal fluids absorbed. By OCTA, the features of CNV at baseline included long filamentous linear vessels (21/21), branching into other large mature vessels with rare anastomoses (21/21); and/or a 'dead tree' appearance at the vessel's termini (20/21); and no perilesional hypointense halo (21/21). Compared to those at baseline, the mean vessel density of CNV showed no significant change at 1-,3-,6-month follow-up, while the mean area of CNV was significantly larger at the 6-month follow-up (p = 0.013).&lt;h4&gt;Conclusions&lt;/h4&gt;OCT angiography allows to qualitatively and quantitatively evaluate CNV in chronic CSC. The features of FIPED-associated CNV on OCTA illustrated its quiescent characteristic and further guided therapy. Half-dose PDT showed favorable effects on chronic CSC complicated with FIPED-associated CNV.","container-title":"Eye","DOI":"10.1038/s41433-020-01345-5","journalAbbreviation":"Eye","page":"2871-2878","title":"OCTA evaluation of treatment-naïve flat irregular PED (FIPED)-associated CNV in chronic central serous chorioretinopathy before and after half-dose PDT.","volume":"35","author":[{"family":"Guo","given":"Jingli"},{"family":"Tang","given":"Wenyi"},{"family":"Xu","given":"Sisi"},{"family":"Liu","given":"Wei"},{"family":"Xu","given":"Gezhi"}],"issued":{"date-parts":[["2021"]]}}},{"id":1220,"uris":["http://zotero.org/users/2658636/items/LVG6BTQ5"],"itemData":{"id":1220,"type":"article-journal","abstract":"&lt;h4&gt;Purpose&lt;/h4&gt;To describe the qualitative and quantitative changes in choroidal neovascularization (CNV) flow pattern after anti-vascular endothelial growth factor therapy, by optical coherence tomography angiography (OCTA).&lt;h4&gt;Methods&lt;/h4&gt;Consecutive patients with neovascular age-related macular degeneration underwent multimodal imaging, including OCTA at initial examination and at last visit. High-flow networks in the choriocapillaris segmentation of OCTA were qualitatively and quantitatively analyzed at baseline and at follow-up, to characterize vascular flow changes after anti-vascular endothelial growth factor treatment and to correlate these changes with final exudation signs on spectral domain optical coherence tomography.&lt;h4&gt;Results&lt;/h4&gt;Seventeen eyes were included. Mean follow-up was of 11.7 ± 3.3 months. Baseline images showed six medusa pattern (35.3%), four seafan pattern (23.5%), and seven indistinct network patterns (41.2%). Mean CNV area at baseline was 1.58 ± 1.72 mm. Final OCTA images revealed a decrease in CNV total area of 21.6%. In 6/17 eyes, the baseline neovascular pattern was unchanged; these cases were associated with exudation at the final spectral domain optical coherence tomography examination (P = 0.034) and a decrease in CNV area of 34.1%. Conversely, in 11/17 eyes (64.7%), the initial pattern had changed to a pruned vascular tree pattern, with variable exudative status on spectral domain optical coherence tomography at the final visit and a decrease in total CNV area of 0.07%.&lt;h4&gt;Conclusion&lt;/h4&gt;The vascular flow remodeling induced by recurrent anti-vascular endothelial growth factor treatment can be assessed by OCTA. Optical coherence tomography angiography may help to accurately evaluate treatment response and to recognize patterns usually associated with recurrent exudative activity.","container-title":"Retina","DOI":"10.1097/iae.0000000000001964","journalAbbreviation":"Retina","page":"548-557","title":"VASCULAR REMODELING OF CHOROIDAL NEOVASCULARIZATION AFTER ANTI-VASCULAR ENDOTHELIAL GROWTH FACTOR THERAPY VISUALIZED ON OPTICAL COHERENCE TOMOGRAPHY ANGIOGRAPHY.","volume":"39","author":[{"family":"Miere","given":"A."},{"family":"Butori","given":"P."},{"family":"Cohen","given":"S."},{"family":"Semoun","given":"O."},{"family":"Capuano","given":"V."},{"family":"Jung","given":"C."},{"family":"Souied","given":"E."}],"issued":{"date-parts":[["2019"]]}}},{"id":1211,"uris":["http://zotero.org/users/2658636/items/YKSUFIQT"],"itemData":{"id":1211,"type":"article-journal","abstract":"&lt;h4&gt;Importance&lt;/h4&gt;The clinical implications of different morphologies of choroidal neovascularization (CNV), as evaluated by ocular coherence tomography angiography (OCTA) in neovascular age-related macular degeneration (nAMD), are lacking.&lt;h4&gt;Background&lt;/h4&gt;To describe the morphology of CNV in nAMD using OCTA, and to compare the visual prognosis and other structural OCT biomarkers between different morphologic patterns.&lt;h4&gt;Design&lt;/h4&gt;Retrospective cohort study.&lt;h4&gt;Participants&lt;/h4&gt;One hundred and forty eyes with nAMD treated with anti-vascular endothelial growth factor (VEGF).&lt;h4&gt;Methods&lt;/h4&gt;Patients were examined using OCTA prior to and at 3, 6 and 12 months after receiving anti-VEGF therapy.&lt;h4&gt;Main outcome measures&lt;/h4&gt;Best-corrected visual acuity (BCVA) and morphologic retinal features.&lt;h4&gt;Results&lt;/h4&gt;Organized CNV was identified in 110/140 eyes (78.6%) using OCTA. These CNV complexes could be divided into three OCTA patterns: the 'medusa' pattern (n = 41), characterized by branching vessels radiating in all directions; the 'seafan' pattern (n = 43), characterized by branching vessels radiating to one side of the lesion; and the 'tangled' pattern (n = 26), characterized by globular entwined vessels without a main trunk. At baseline, the eyes with the tangled pattern were from younger patients (P = .031) with better BCVA (P = .007). There were also fewer intraretinal cysts (P = .021), less fibrovascular pigment epithelial detachment (P = .009), and more pachychoroid (P = .007) in eyes with the tangled pattern on OCT. At 12 months post-treatment, patients with the tangled CNV pattern also showed greater visual improvement than patients with the other two patterns (P = .049).&lt;h4&gt;Conclusions and relevance&lt;/h4&gt;Using OCTA, distinct morphologies of CNV in nAMD patients were identified. These different patterns might be useful predictors for the prognosis of nAMD patients after anti-VEGF therapy.","container-title":"Clinical &amp; Experimental Ophthalmology","DOI":"10.1111/ceo.13797","journalAbbreviation":"Clinical &amp; Experimental Ophthalmology","page":"927-937","title":"Comparison of different morphologies of choroidal neovascularization evaluated by ocular coherence tomography angiography in age-related macular degeneration.","volume":"48","author":[{"family":"Tew","given":"T."},{"family":"Lai","given":"Tso-Ting"},{"family":"Hsieh","given":"Y."},{"family":"Ho","given":"T."},{"family":"Yang","given":"Chung-May"},{"family":"Yang","given":"Chang-Hao"}],"issued":{"date-parts":[["2020"]]}}}],"schema":"https://github.com/citation-style-language/schema/raw/master/csl-citation.json"} </w:instrText>
      </w:r>
      <w:r w:rsidR="0013587C">
        <w:rPr>
          <w:rFonts w:ascii="Arial" w:hAnsi="Arial" w:cs="Arial"/>
        </w:rPr>
        <w:fldChar w:fldCharType="separate"/>
      </w:r>
      <w:r w:rsidR="00397FEA" w:rsidRPr="00397FEA">
        <w:rPr>
          <w:rFonts w:ascii="Arial" w:hAnsi="Arial" w:cs="Arial"/>
          <w:vertAlign w:val="superscript"/>
        </w:rPr>
        <w:t>1,7,8</w:t>
      </w:r>
      <w:r w:rsidR="0013587C">
        <w:rPr>
          <w:rFonts w:ascii="Arial" w:hAnsi="Arial" w:cs="Arial"/>
        </w:rPr>
        <w:fldChar w:fldCharType="end"/>
      </w:r>
      <w:r w:rsidRPr="00BB22F1">
        <w:rPr>
          <w:rFonts w:ascii="Arial" w:hAnsi="Arial" w:cs="Arial"/>
        </w:rPr>
        <w:t>. This terminological ambiguity hinders standardized assessment and cross-study comparisons.</w:t>
      </w:r>
    </w:p>
    <w:p w14:paraId="6D7D7862" w14:textId="77777777" w:rsidR="00BB22F1" w:rsidRPr="00BB22F1" w:rsidRDefault="00BB22F1" w:rsidP="00BB22F1">
      <w:pPr>
        <w:spacing w:line="480" w:lineRule="auto"/>
        <w:rPr>
          <w:rFonts w:ascii="Arial" w:hAnsi="Arial" w:cs="Arial"/>
        </w:rPr>
      </w:pPr>
    </w:p>
    <w:p w14:paraId="0180427D" w14:textId="238540D1" w:rsidR="00BB22F1" w:rsidRPr="00BB22F1" w:rsidRDefault="00BB22F1" w:rsidP="00BB22F1">
      <w:pPr>
        <w:spacing w:line="480" w:lineRule="auto"/>
        <w:rPr>
          <w:rFonts w:ascii="Arial" w:hAnsi="Arial" w:cs="Arial"/>
        </w:rPr>
      </w:pPr>
      <w:r w:rsidRPr="00BB22F1">
        <w:rPr>
          <w:rFonts w:ascii="Arial" w:hAnsi="Arial" w:cs="Arial"/>
        </w:rPr>
        <w:t>This paper introduces a novel, semi-automated system designed to resolve these ambiguities. We present a systematic comparison of our parameters against the latest literature</w:t>
      </w:r>
      <w:r w:rsidR="00831B3C">
        <w:rPr>
          <w:rFonts w:ascii="Arial" w:hAnsi="Arial" w:cs="Arial"/>
        </w:rPr>
        <w:t xml:space="preserve"> </w:t>
      </w:r>
      <w:r w:rsidRPr="00BB22F1">
        <w:rPr>
          <w:rFonts w:ascii="Arial" w:hAnsi="Arial" w:cs="Arial"/>
        </w:rPr>
        <w:t>and detail an automated morphological-pathophysiological classification logic that maps specific morphological patterns</w:t>
      </w:r>
      <w:r w:rsidR="00ED2FE5">
        <w:rPr>
          <w:rFonts w:ascii="Arial" w:hAnsi="Arial" w:cs="Arial"/>
        </w:rPr>
        <w:t xml:space="preserve"> - </w:t>
      </w:r>
      <w:r w:rsidRPr="00BB22F1">
        <w:rPr>
          <w:rFonts w:ascii="Arial" w:hAnsi="Arial" w:cs="Arial"/>
        </w:rPr>
        <w:t xml:space="preserve">Medusa, </w:t>
      </w:r>
      <w:proofErr w:type="spellStart"/>
      <w:r w:rsidRPr="00BB22F1">
        <w:rPr>
          <w:rFonts w:ascii="Arial" w:hAnsi="Arial" w:cs="Arial"/>
        </w:rPr>
        <w:t>Seafan</w:t>
      </w:r>
      <w:proofErr w:type="spellEnd"/>
      <w:r w:rsidRPr="00BB22F1">
        <w:rPr>
          <w:rFonts w:ascii="Arial" w:hAnsi="Arial" w:cs="Arial"/>
        </w:rPr>
        <w:t xml:space="preserve">, </w:t>
      </w:r>
      <w:r w:rsidRPr="00BB22F1">
        <w:rPr>
          <w:rFonts w:ascii="Arial" w:hAnsi="Arial" w:cs="Arial"/>
        </w:rPr>
        <w:lastRenderedPageBreak/>
        <w:t>Glomerular, Tree-in-bud, and Dead-tree</w:t>
      </w:r>
      <w:r w:rsidR="00ED2FE5">
        <w:rPr>
          <w:rFonts w:ascii="Arial" w:hAnsi="Arial" w:cs="Arial"/>
        </w:rPr>
        <w:t xml:space="preserve"> - </w:t>
      </w:r>
      <w:r w:rsidRPr="00BB22F1">
        <w:rPr>
          <w:rFonts w:ascii="Arial" w:hAnsi="Arial" w:cs="Arial"/>
        </w:rPr>
        <w:t xml:space="preserve">to their underlying pathophysiological states (Active, Mature Quiescent, Transitional, </w:t>
      </w:r>
      <w:proofErr w:type="spellStart"/>
      <w:r w:rsidRPr="00BB22F1">
        <w:rPr>
          <w:rFonts w:ascii="Arial" w:hAnsi="Arial" w:cs="Arial"/>
        </w:rPr>
        <w:t>Arteriolarized</w:t>
      </w:r>
      <w:proofErr w:type="spellEnd"/>
      <w:r w:rsidRPr="00BB22F1">
        <w:rPr>
          <w:rFonts w:ascii="Arial" w:hAnsi="Arial" w:cs="Arial"/>
        </w:rPr>
        <w:t xml:space="preserve">). This logic leverages quantitative biomarkers like the Euler number, Loop count, and Vascular Stability Score, integrating them with established clinical criteria proposed </w:t>
      </w:r>
      <w:r w:rsidR="004D5DF2">
        <w:rPr>
          <w:rFonts w:ascii="Arial" w:hAnsi="Arial" w:cs="Arial"/>
        </w:rPr>
        <w:t xml:space="preserve">previously </w:t>
      </w:r>
      <w:r w:rsidR="006B6984">
        <w:rPr>
          <w:rFonts w:ascii="Arial" w:hAnsi="Arial" w:cs="Arial"/>
        </w:rPr>
        <w:fldChar w:fldCharType="begin"/>
      </w:r>
      <w:r w:rsidR="00397FEA">
        <w:rPr>
          <w:rFonts w:ascii="Arial" w:hAnsi="Arial" w:cs="Arial"/>
        </w:rPr>
        <w:instrText xml:space="preserve"> ADDIN ZOTERO_ITEM CSL_CITATION {"citationID":"3bNzOaKS","properties":{"unsorted":false,"formattedCitation":"\\super 9\\nosupersub{}","plainCitation":"9","noteIndex":0},"citationItems":[{"id":2313,"uris":["http://zotero.org/users/2658636/items/MXNZN4GC"],"itemData":{"id":2313,"type":"article-journal","abstract":"Aims To evaluate on optical coherence tomography angiography (OCT-A), the predictive role of different qualitative findings of choroidal neovascularisations (CNV) in assessing the status of exudative age-related macular degeneration (eAMD) and to develop a potential model to predict the CNV activity. Methods Retrospective review of the multimodal imaging records of patients with eAMD obtained during treatment for type 1 or type 2 CNV. The qualitative analysis of CNVs on OCT angiograms assessed the presence or absence of tiny branching vessels, loops, peripheral anastomotic arcades and choriocapillaris hypointense halo. These findings were then correlated with those of structural OCT scans. A score forecast was built and validated. Results One hundred and twenty-six eAMD eyes were enrolled in the study. Exudation was observed in 90 eyes (71%) on structural OCT. The qualitative OCT-A analysis revealed: tiny branching vessels in 82.5% of the cases, vascular loops in 81.7%, peripheral anastomotic arcades in 66.7% and choriocapillaris hypointense halo in 54.8%. In the univariate analysis, each OCT-A parameter showed a statistically significant correlation with exudation on structural OCT (p&lt;0.001). The overall analysis demonstrated a sensitivity of 96.7% and a positive predictive value of 87.9%. In the multivariate analysis, a model with four criteria predicted an exudative lesion in 97.6% of cases and one with two criteria (tiny branching vessels and peripheral anastomotic arcades) in 71.2%. Conclusions The presence of tiny branching vessels and a peripheral anastomotic arcade appears to predict the lesion activity with a good accuracy and the model based on four criteria enables optimal decisions regarding retreatment in eAMD.","container-title":"British Journal of Ophthalmology","DOI":"10.1136/bjophthalmol-2018-313065","ISSN":"14682079","issue":"9","page":"1342-1356","PMID":"30467129","title":"Optical coherence tomography angiography in exudative age-related macular degeneration: A predictive model for treatment decisions","volume":"103","author":[{"family":"Coscas","given":"Florence"},{"family":"Lupidi","given":"Marco"},{"family":"Boulet","given":"Jean François"},{"family":"Sellam","given":"Alexandre"},{"family":"Cabral","given":"Diogo"},{"family":"Serra","given":"Rita"},{"family":"Français","given":"Catherine"},{"family":"Souied","given":"Eric H."},{"family":"Coscas","given":"Gabriel"}],"issued":{"date-parts":[["2019"]]}}}],"schema":"https://github.com/citation-style-language/schema/raw/master/csl-citation.json"} </w:instrText>
      </w:r>
      <w:r w:rsidR="006B6984">
        <w:rPr>
          <w:rFonts w:ascii="Arial" w:hAnsi="Arial" w:cs="Arial"/>
        </w:rPr>
        <w:fldChar w:fldCharType="separate"/>
      </w:r>
      <w:r w:rsidR="00397FEA" w:rsidRPr="00397FEA">
        <w:rPr>
          <w:rFonts w:ascii="Arial" w:hAnsi="Arial" w:cs="Arial"/>
          <w:vertAlign w:val="superscript"/>
        </w:rPr>
        <w:t>9</w:t>
      </w:r>
      <w:r w:rsidR="006B6984">
        <w:rPr>
          <w:rFonts w:ascii="Arial" w:hAnsi="Arial" w:cs="Arial"/>
        </w:rPr>
        <w:fldChar w:fldCharType="end"/>
      </w:r>
      <w:r w:rsidRPr="00BB22F1">
        <w:rPr>
          <w:rFonts w:ascii="Arial" w:hAnsi="Arial" w:cs="Arial"/>
        </w:rPr>
        <w:t>.</w:t>
      </w:r>
    </w:p>
    <w:p w14:paraId="308364B1" w14:textId="77777777" w:rsidR="00BB22F1" w:rsidRPr="00BB22F1" w:rsidRDefault="00BB22F1" w:rsidP="00BB22F1">
      <w:pPr>
        <w:spacing w:line="480" w:lineRule="auto"/>
        <w:rPr>
          <w:rFonts w:ascii="Arial" w:hAnsi="Arial" w:cs="Arial"/>
        </w:rPr>
      </w:pPr>
    </w:p>
    <w:p w14:paraId="3BBAA561" w14:textId="7B712AF5" w:rsidR="00BB22F1" w:rsidRPr="00831B3C" w:rsidRDefault="00BB22F1" w:rsidP="00BB22F1">
      <w:pPr>
        <w:spacing w:line="480" w:lineRule="auto"/>
        <w:rPr>
          <w:rFonts w:ascii="Arial" w:hAnsi="Arial" w:cs="Arial"/>
          <w:b/>
          <w:bCs/>
        </w:rPr>
      </w:pPr>
      <w:r w:rsidRPr="00831B3C">
        <w:rPr>
          <w:rFonts w:ascii="Arial" w:hAnsi="Arial" w:cs="Arial"/>
          <w:b/>
          <w:bCs/>
        </w:rPr>
        <w:t>Methods</w:t>
      </w:r>
    </w:p>
    <w:p w14:paraId="3B56CE9E" w14:textId="77777777" w:rsidR="00B80BD8" w:rsidRDefault="00B80BD8" w:rsidP="00BB22F1">
      <w:pPr>
        <w:spacing w:line="480" w:lineRule="auto"/>
        <w:rPr>
          <w:rFonts w:ascii="Arial" w:hAnsi="Arial" w:cs="Arial"/>
        </w:rPr>
      </w:pPr>
    </w:p>
    <w:p w14:paraId="72143923" w14:textId="77777777" w:rsidR="00B80BD8" w:rsidRPr="00B80BD8" w:rsidRDefault="00B80BD8" w:rsidP="00B80BD8">
      <w:pPr>
        <w:spacing w:line="480" w:lineRule="auto"/>
        <w:rPr>
          <w:rFonts w:ascii="Arial" w:hAnsi="Arial" w:cs="Arial"/>
        </w:rPr>
      </w:pPr>
      <w:r w:rsidRPr="00B80BD8">
        <w:rPr>
          <w:rFonts w:ascii="Arial" w:hAnsi="Arial" w:cs="Arial"/>
          <w:b/>
          <w:bCs/>
        </w:rPr>
        <w:t>Study Population and Acquisition Protocols</w:t>
      </w:r>
    </w:p>
    <w:p w14:paraId="0CE0E41C" w14:textId="1B5477DE" w:rsidR="00B80BD8" w:rsidRPr="00B80BD8" w:rsidRDefault="00FA652D" w:rsidP="00B80BD8">
      <w:pPr>
        <w:spacing w:line="480" w:lineRule="auto"/>
        <w:rPr>
          <w:rFonts w:ascii="Arial" w:hAnsi="Arial" w:cs="Arial"/>
        </w:rPr>
      </w:pPr>
      <w:r w:rsidRPr="00FA652D">
        <w:rPr>
          <w:rFonts w:ascii="Arial" w:hAnsi="Arial" w:cs="Arial"/>
        </w:rPr>
        <w:t>This study was approved by the Ethics Committee of the Yokohama City University Medical Center. The study protocol adhered to the tenets of the Declaration of Helsinki and informed consent was obtained from all eligible patients.</w:t>
      </w:r>
      <w:r>
        <w:rPr>
          <w:rFonts w:ascii="Arial" w:hAnsi="Arial" w:cs="Arial"/>
        </w:rPr>
        <w:t xml:space="preserve"> </w:t>
      </w:r>
      <w:r w:rsidR="00B80BD8" w:rsidRPr="00B80BD8">
        <w:rPr>
          <w:rFonts w:ascii="Arial" w:hAnsi="Arial" w:cs="Arial"/>
        </w:rPr>
        <w:t xml:space="preserve">This study included 112 MNV lesions imaged with three distinct OCTA platforms and field-of-view configurations to establish a multi-device validation framework. The large group (n=49) comprised 6×6mm acquisitions on the Zeiss </w:t>
      </w:r>
      <w:proofErr w:type="spellStart"/>
      <w:r w:rsidR="00B80BD8" w:rsidRPr="00B80BD8">
        <w:rPr>
          <w:rFonts w:ascii="Arial" w:hAnsi="Arial" w:cs="Arial"/>
        </w:rPr>
        <w:t>PlexElite</w:t>
      </w:r>
      <w:proofErr w:type="spellEnd"/>
      <w:r w:rsidR="00B80BD8" w:rsidRPr="00B80BD8">
        <w:rPr>
          <w:rFonts w:ascii="Arial" w:hAnsi="Arial" w:cs="Arial"/>
        </w:rPr>
        <w:t xml:space="preserve"> 9000 (swept-source OCTA, 1060nm). The small_3mm group (n=30) comprised 3×3mm acquisitions on the Zeiss CIRRUS HD-OCT with </w:t>
      </w:r>
      <w:proofErr w:type="spellStart"/>
      <w:r w:rsidR="00B80BD8" w:rsidRPr="00B80BD8">
        <w:rPr>
          <w:rFonts w:ascii="Arial" w:hAnsi="Arial" w:cs="Arial"/>
        </w:rPr>
        <w:t>AngioPlex</w:t>
      </w:r>
      <w:proofErr w:type="spellEnd"/>
      <w:r w:rsidR="00B80BD8" w:rsidRPr="00B80BD8">
        <w:rPr>
          <w:rFonts w:ascii="Arial" w:hAnsi="Arial" w:cs="Arial"/>
        </w:rPr>
        <w:t xml:space="preserve"> (spectral-domain OCTA, 840nm). The small group (n=33) comprised 6×6mm acquisitions on the </w:t>
      </w:r>
      <w:proofErr w:type="spellStart"/>
      <w:r w:rsidR="00FC11F6">
        <w:rPr>
          <w:rFonts w:ascii="Arial" w:hAnsi="Arial" w:cs="Arial"/>
        </w:rPr>
        <w:t>Optovue</w:t>
      </w:r>
      <w:proofErr w:type="spellEnd"/>
      <w:r w:rsidR="00B80BD8" w:rsidRPr="00B80BD8">
        <w:rPr>
          <w:rFonts w:ascii="Arial" w:hAnsi="Arial" w:cs="Arial"/>
        </w:rPr>
        <w:t xml:space="preserve"> Solix module (swept-source OCTA, 1060nm). All lesions were diagnosed as Type 1 or Type 2 MNV secondary to neovascular AMD by retinal specialists based on structural OCT and multimodal imaging criteria. The use of three independent hardware platforms </w:t>
      </w:r>
      <w:r w:rsidR="00C177A0">
        <w:rPr>
          <w:rFonts w:ascii="Arial" w:hAnsi="Arial" w:cs="Arial"/>
        </w:rPr>
        <w:t>-</w:t>
      </w:r>
      <w:r w:rsidR="00B80BD8" w:rsidRPr="00B80BD8">
        <w:rPr>
          <w:rFonts w:ascii="Arial" w:hAnsi="Arial" w:cs="Arial"/>
        </w:rPr>
        <w:t xml:space="preserve"> differing in manufacturer, OCTA modality, central wavelength, scanning protocol, and field size </w:t>
      </w:r>
      <w:r w:rsidR="00C177A0">
        <w:rPr>
          <w:rFonts w:ascii="Arial" w:hAnsi="Arial" w:cs="Arial"/>
        </w:rPr>
        <w:t>-</w:t>
      </w:r>
      <w:r w:rsidR="00B80BD8" w:rsidRPr="00B80BD8">
        <w:rPr>
          <w:rFonts w:ascii="Arial" w:hAnsi="Arial" w:cs="Arial"/>
        </w:rPr>
        <w:t xml:space="preserve"> was intentional: it provides an inherent multi-device validation framework for the proposed standardization approach.</w:t>
      </w:r>
    </w:p>
    <w:p w14:paraId="41582DB4" w14:textId="77777777" w:rsidR="00B80BD8" w:rsidRDefault="00B80BD8" w:rsidP="00BB22F1">
      <w:pPr>
        <w:spacing w:line="480" w:lineRule="auto"/>
        <w:rPr>
          <w:rFonts w:ascii="Arial" w:hAnsi="Arial" w:cs="Arial"/>
        </w:rPr>
      </w:pPr>
    </w:p>
    <w:p w14:paraId="3A4F5307" w14:textId="0240FFAE" w:rsidR="00487AD3" w:rsidRPr="00487AD3" w:rsidRDefault="00487AD3" w:rsidP="00BB22F1">
      <w:pPr>
        <w:spacing w:line="480" w:lineRule="auto"/>
        <w:rPr>
          <w:rFonts w:ascii="Arial" w:hAnsi="Arial" w:cs="Arial"/>
          <w:b/>
          <w:bCs/>
        </w:rPr>
      </w:pPr>
      <w:r>
        <w:rPr>
          <w:rFonts w:ascii="Arial" w:hAnsi="Arial" w:cs="Arial"/>
          <w:b/>
          <w:bCs/>
        </w:rPr>
        <w:t>A</w:t>
      </w:r>
      <w:r w:rsidRPr="00487AD3">
        <w:rPr>
          <w:rFonts w:ascii="Arial" w:hAnsi="Arial" w:cs="Arial"/>
          <w:b/>
          <w:bCs/>
        </w:rPr>
        <w:t xml:space="preserve">nalytical </w:t>
      </w:r>
      <w:r>
        <w:rPr>
          <w:rFonts w:ascii="Arial" w:hAnsi="Arial" w:cs="Arial"/>
          <w:b/>
          <w:bCs/>
        </w:rPr>
        <w:t>F</w:t>
      </w:r>
      <w:r w:rsidRPr="00487AD3">
        <w:rPr>
          <w:rFonts w:ascii="Arial" w:hAnsi="Arial" w:cs="Arial"/>
          <w:b/>
          <w:bCs/>
        </w:rPr>
        <w:t>ramework</w:t>
      </w:r>
    </w:p>
    <w:p w14:paraId="29AD4065" w14:textId="77777777" w:rsidR="00A440A6" w:rsidRDefault="00C9616D" w:rsidP="00BB22F1">
      <w:pPr>
        <w:spacing w:line="480" w:lineRule="auto"/>
        <w:rPr>
          <w:rFonts w:ascii="Arial" w:hAnsi="Arial" w:cs="Arial"/>
        </w:rPr>
      </w:pPr>
      <w:r w:rsidRPr="00C9616D">
        <w:rPr>
          <w:rFonts w:ascii="Arial" w:hAnsi="Arial" w:cs="Arial"/>
        </w:rPr>
        <w:lastRenderedPageBreak/>
        <w:t>The analytical framework was initially created as a comprehensive macro for ImageJ and later implemented in Python.</w:t>
      </w:r>
      <w:r>
        <w:rPr>
          <w:rFonts w:ascii="Arial" w:hAnsi="Arial" w:cs="Arial"/>
        </w:rPr>
        <w:t xml:space="preserve"> </w:t>
      </w:r>
    </w:p>
    <w:p w14:paraId="78CACF50" w14:textId="77777777" w:rsidR="00A440A6" w:rsidRDefault="00A440A6" w:rsidP="00BB22F1">
      <w:pPr>
        <w:spacing w:line="480" w:lineRule="auto"/>
        <w:rPr>
          <w:rFonts w:ascii="Arial" w:hAnsi="Arial" w:cs="Arial"/>
        </w:rPr>
      </w:pPr>
    </w:p>
    <w:p w14:paraId="380789F4" w14:textId="77777777" w:rsidR="00F36872" w:rsidRPr="00F36872" w:rsidRDefault="00F36872" w:rsidP="00F36872">
      <w:pPr>
        <w:spacing w:line="480" w:lineRule="auto"/>
        <w:rPr>
          <w:rFonts w:ascii="Arial" w:hAnsi="Arial" w:cs="Arial"/>
        </w:rPr>
      </w:pPr>
      <w:r w:rsidRPr="00F36872">
        <w:rPr>
          <w:rFonts w:ascii="Arial" w:hAnsi="Arial" w:cs="Arial"/>
        </w:rPr>
        <w:t>The methodology comprised two parallel components: mapping the current landscape of quantitative biomarkers and developing a novel analytical pipeline to compute and further refine these metrics. A focused literature search was conducted to identify studies reporting quantitative OCT-A analyses of MNV. From this review, key quantitative parameters were extracted, and several new metrics were introduced to achieve a more comprehensive characterization of MNV morphology and flow dynamics, as described below.</w:t>
      </w:r>
    </w:p>
    <w:p w14:paraId="70576E64" w14:textId="144438A0" w:rsidR="001E24C7" w:rsidRDefault="00F36872" w:rsidP="00F36872">
      <w:pPr>
        <w:spacing w:line="480" w:lineRule="auto"/>
        <w:rPr>
          <w:rFonts w:ascii="Arial" w:hAnsi="Arial" w:cs="Arial"/>
        </w:rPr>
      </w:pPr>
      <w:r w:rsidRPr="00F36872">
        <w:rPr>
          <w:rFonts w:ascii="Arial" w:hAnsi="Arial" w:cs="Arial"/>
        </w:rPr>
        <w:t>The core of our framework is a semi-automated pipeline that operates following an initial freehand delineation of the MNV lesion by the user. This input defines the region of interest (ROI) for subsequent automated processing. The pipeline comprises three primary stages.</w:t>
      </w:r>
    </w:p>
    <w:p w14:paraId="565ADAF1" w14:textId="77777777" w:rsidR="00F36872" w:rsidRDefault="00F36872" w:rsidP="00F36872">
      <w:pPr>
        <w:spacing w:line="480" w:lineRule="auto"/>
        <w:rPr>
          <w:rFonts w:ascii="Arial" w:hAnsi="Arial" w:cs="Arial"/>
          <w:i/>
          <w:iCs/>
          <w:u w:val="single"/>
        </w:rPr>
      </w:pPr>
    </w:p>
    <w:p w14:paraId="09AF8447" w14:textId="588053C9" w:rsidR="001E24C7" w:rsidRPr="00E43F44" w:rsidRDefault="001E24C7" w:rsidP="001E24C7">
      <w:pPr>
        <w:spacing w:line="480" w:lineRule="auto"/>
        <w:rPr>
          <w:rFonts w:ascii="Arial" w:hAnsi="Arial" w:cs="Arial"/>
          <w:b/>
          <w:bCs/>
        </w:rPr>
      </w:pPr>
      <w:r w:rsidRPr="00E43F44">
        <w:rPr>
          <w:rFonts w:ascii="Arial" w:hAnsi="Arial" w:cs="Arial"/>
          <w:b/>
          <w:bCs/>
        </w:rPr>
        <w:t>Artifact Mitigation and Spatial Organization</w:t>
      </w:r>
    </w:p>
    <w:p w14:paraId="2D723FBB" w14:textId="77777777" w:rsidR="001E24C7" w:rsidRPr="00BB22F1" w:rsidRDefault="001E24C7" w:rsidP="001E24C7">
      <w:pPr>
        <w:spacing w:line="480" w:lineRule="auto"/>
        <w:rPr>
          <w:rFonts w:ascii="Arial" w:hAnsi="Arial" w:cs="Arial"/>
        </w:rPr>
      </w:pPr>
      <w:r w:rsidRPr="00BB22F1">
        <w:rPr>
          <w:rFonts w:ascii="Arial" w:hAnsi="Arial" w:cs="Arial"/>
        </w:rPr>
        <w:t>This stage implements novel solutions to the most critical flaws in existing analysis software.</w:t>
      </w:r>
    </w:p>
    <w:p w14:paraId="1303BBA8" w14:textId="77777777" w:rsidR="001E24C7" w:rsidRPr="00BB22F1" w:rsidRDefault="001E24C7" w:rsidP="001E24C7">
      <w:pPr>
        <w:spacing w:line="480" w:lineRule="auto"/>
        <w:rPr>
          <w:rFonts w:ascii="Arial" w:hAnsi="Arial" w:cs="Arial"/>
        </w:rPr>
      </w:pPr>
    </w:p>
    <w:p w14:paraId="4B1E9920" w14:textId="6FB68AA6" w:rsidR="00BB22F1" w:rsidRPr="00BB22F1" w:rsidRDefault="001E24C7" w:rsidP="00BB22F1">
      <w:pPr>
        <w:spacing w:line="480" w:lineRule="auto"/>
        <w:rPr>
          <w:rFonts w:ascii="Arial" w:hAnsi="Arial" w:cs="Arial"/>
        </w:rPr>
      </w:pPr>
      <w:r>
        <w:rPr>
          <w:rFonts w:ascii="Arial" w:hAnsi="Arial" w:cs="Arial"/>
        </w:rPr>
        <w:t>1</w:t>
      </w:r>
      <w:r w:rsidR="00257B50">
        <w:rPr>
          <w:rFonts w:ascii="Arial" w:hAnsi="Arial" w:cs="Arial"/>
        </w:rPr>
        <w:t xml:space="preserve"> </w:t>
      </w:r>
      <w:r w:rsidRPr="00BB22F1">
        <w:rPr>
          <w:rFonts w:ascii="Arial" w:hAnsi="Arial" w:cs="Arial"/>
        </w:rPr>
        <w:t>ROI Refinement: To prevent boundary artifacts, an iterative algorithm automatically adjusts the user-drawn ROI. For 5 iterations, each vertex of the ROI polygon is evaluated. A search is conducted within a 3-pixel radius, and the vertex is moved to the pixel with the minimum intensity (darkest pixel), effectively pushing the boundary into non-perfused tissue. This ensures the analytical boundary conforms to the true lesion edge.</w:t>
      </w:r>
    </w:p>
    <w:p w14:paraId="48290E18" w14:textId="345BE2ED" w:rsidR="00BB22F1" w:rsidRPr="00BB22F1" w:rsidRDefault="00257B50" w:rsidP="00BB22F1">
      <w:pPr>
        <w:spacing w:line="480" w:lineRule="auto"/>
        <w:rPr>
          <w:rFonts w:ascii="Arial" w:hAnsi="Arial" w:cs="Arial"/>
        </w:rPr>
      </w:pPr>
      <w:r>
        <w:rPr>
          <w:rFonts w:ascii="Arial" w:hAnsi="Arial" w:cs="Arial"/>
        </w:rPr>
        <w:lastRenderedPageBreak/>
        <w:t>2</w:t>
      </w:r>
      <w:r w:rsidR="0017026E">
        <w:rPr>
          <w:rFonts w:ascii="Arial" w:hAnsi="Arial" w:cs="Arial"/>
        </w:rPr>
        <w:t>.</w:t>
      </w:r>
      <w:r>
        <w:rPr>
          <w:rFonts w:ascii="Arial" w:hAnsi="Arial" w:cs="Arial"/>
        </w:rPr>
        <w:t xml:space="preserve"> </w:t>
      </w:r>
      <w:r w:rsidR="00BB22F1" w:rsidRPr="00BB22F1">
        <w:rPr>
          <w:rFonts w:ascii="Arial" w:hAnsi="Arial" w:cs="Arial"/>
        </w:rPr>
        <w:t xml:space="preserve">Hybrid Multi-Scale Vessel Enhancement: A combination of </w:t>
      </w:r>
      <w:proofErr w:type="spellStart"/>
      <w:r w:rsidR="00BB22F1" w:rsidRPr="00BB22F1">
        <w:rPr>
          <w:rFonts w:ascii="Arial" w:hAnsi="Arial" w:cs="Arial"/>
        </w:rPr>
        <w:t>Frangi</w:t>
      </w:r>
      <w:proofErr w:type="spellEnd"/>
      <w:r w:rsidR="00BB22F1" w:rsidRPr="00BB22F1">
        <w:rPr>
          <w:rFonts w:ascii="Arial" w:hAnsi="Arial" w:cs="Arial"/>
        </w:rPr>
        <w:t xml:space="preserve"> and Laplacian of Gaussian (</w:t>
      </w:r>
      <w:proofErr w:type="spellStart"/>
      <w:r w:rsidR="00BB22F1" w:rsidRPr="00BB22F1">
        <w:rPr>
          <w:rFonts w:ascii="Arial" w:hAnsi="Arial" w:cs="Arial"/>
        </w:rPr>
        <w:t>LoG</w:t>
      </w:r>
      <w:proofErr w:type="spellEnd"/>
      <w:r w:rsidR="00BB22F1" w:rsidRPr="00BB22F1">
        <w:rPr>
          <w:rFonts w:ascii="Arial" w:hAnsi="Arial" w:cs="Arial"/>
        </w:rPr>
        <w:t xml:space="preserve">) filters is applied to accentuate vessels of varying calibers. This hybrid approach is based on recent evidence demonstrating that the fusion of multiple, complementary filters significantly improves vessel detection accuracy over single-filter methods </w:t>
      </w:r>
      <w:r w:rsidR="004A5BD2">
        <w:rPr>
          <w:rFonts w:ascii="Arial" w:hAnsi="Arial" w:cs="Arial"/>
        </w:rPr>
        <w:fldChar w:fldCharType="begin"/>
      </w:r>
      <w:r w:rsidR="00397FEA">
        <w:rPr>
          <w:rFonts w:ascii="Arial" w:hAnsi="Arial" w:cs="Arial"/>
        </w:rPr>
        <w:instrText xml:space="preserve"> ADDIN ZOTERO_ITEM CSL_CITATION {"citationID":"QCvlNgsS","properties":{"unsorted":false,"formattedCitation":"\\super 10\\uc0\\u8211{}12\\nosupersub{}","plainCitation":"10–12","noteIndex":0},"citationItems":[{"id":4107,"uris":["http://zotero.org/users/2658636/items/3QMWEL5A"],"itemData":{"id":4107,"type":"article-journal","abstract":"Image segmentation of retinal blood vessels is a process that can help to predict and diagnose cardiovascular related diseases, such as hypertension and diabetes, which are known to affect the retinal blood vessels’ appearance. This work proposes an unsupervised method for the segmentation of retinal vessels images using a combined matched filter, Frangi’s filter and Gabor Wavelet filter to enhance the images. The combination of these three filters in order to improve the segmentation is the main motivation of this work. We investigate two approaches to perform the filter combination: weighted mean and median ranking. Segmentation methods are tested after the vessel enhancement. Enhanced images with median ranking are segmented using a simple threshold criterion. Two segmentation procedures are applied when considering enhanced retinal images using the weighted mean approach. The first method is based on deformable models and the second uses fuzzy C-means for the image segmentation. The procedure is evaluated using two public image databases, Drive and Stare. The experimental results demonstrate that the proposed methods perform well for vessel segmentation in comparison with state-of-the-art methods.","container-title":"PLoS ONE","DOI":"10.1371/journal.pone.0149943","ISSN":"1932-6203","issue":"2","journalAbbreviation":"PLoS One","page":"e0149943","PMID":"26919587","PMCID":"PMC4769136","source":"PubMed Central","title":"Unsupervised Retinal Vessel Segmentation Using Combined Filters","volume":"11","author":[{"family":"Oliveira","given":"Wendeson S."},{"family":"Teixeira","given":"Joyce Vitor"},{"family":"Ren","given":"Tsang Ing"},{"family":"Cavalcanti","given":"George D. C."},{"family":"Sijbers","given":"Jan"}],"issued":{"date-parts":[["2016",2,26]]}}},{"id":4153,"uris":["http://zotero.org/users/2658636/items/JKKQNEYS"],"itemData":{"id":4153,"type":"article-journal","abstract":"Aiming at the current problem of insufficient extraction of small retinal blood vessels, we propose a retinal blood vessel segmentation algorithm that combines supervised learning and unsupervised learning algorithms. In this study, we use a multiscale matched filter with vessel enhancement capability and a U-Net model with a coding and decoding network structure. Three channels are used to extract vessel features separately, and finally, the segmentation results of the three channels are merged. The algorithm proposed in this paper has been verified and evaluated on the DRIVE, STARE, and CHASE_DB1 datasets. The experimental results show that the proposed algorithm can segment small blood vessels better than most other methods. We conclude that our algorithm has reached 0.8745, 0.8903, and 0.8916 on the three datasets in the sensitivity metric, respectively, which is nearly 0.1 higher than other existing methods.","container-title":"BioMed Research International","DOI":"10.1155/2021/5561125","ISSN":"2314-6141","issue":"1","language":"en","license":"Copyright © 2021 Yuliang Ma et al.","note":"_eprint: https://onlinelibrary.wiley.com/doi/pdf/10.1155/2021/5561125","page":"5561125","source":"Wiley Online Library","title":"Multichannel Retinal Blood Vessel Segmentation Based on the Combination of Matched Filter and U-Net Network","volume":"2021","author":[{"family":"Ma","given":"Yuliang"},{"family":"Zhu","given":"Zhenbin"},{"family":"Dong","given":"Zhekang"},{"family":"Shen","given":"Tao"},{"family":"Sun","given":"Mingxu"},{"family":"Kong","given":"Wanzeng"}],"issued":{"date-parts":[["2021"]]}}},{"id":4156,"uris":["http://zotero.org/users/2658636/items/9DM8VI5D"],"itemData":{"id":4156,"type":"article-journal","abstract":"The structure and appearance of the blood vessel network in retinal fundus images is an essential part of diagnosing various problems associated with the eyes, such as diabetes and hypertension. In this paper, an automatic retinal vessel segmentation method utilizing matched filter techniques coupled with an AdaBoost classifier is proposed. The fundus image is enhanced using morphological operations, the contrast is increased using contrast limited adaptive histogram equalization (CLAHE) method and the inhomogeneity is corrected using Retinex approach. Then, the blood vessels are enhanced using a combination of B-COSFIRE and Frangi matched filters. From this preprocessed image, different statistical features are computed on a pixel-wise basis and used in an AdaBoost classifier to extract the blood vessel network inside the image. Finally, the segmented images are postprocessed to remove the misclassified pixels and regions. The proposed method was validated using publicly accessible Digital Retinal Images for Vessel Extraction (DRIVE), Structured Analysis of the Retina (STARE) and Child Heart and Health Study in England (CHASE_DB1) datasets commonly used for determining the accuracy of retinal vessel segmentation methods. The accuracy of the proposed segmentation method was comparable to other state of the art methods while being very close to the manual segmentation provided by the second human observer with an average accuracy of 0.972, 0.951 and 0.948 in DRIVE, STARE and CHASE_DB1 datasets, respectively.","container-title":"PLoS ONE","DOI":"10.1371/journal.pone.0188939","ISSN":"1932-6203","issue":"12","journalAbbreviation":"PLoS One","page":"e0188939","PMID":"29228036","PMCID":"PMC5724901","source":"PubMed Central","title":"Supervised retinal vessel segmentation from color fundus images based on matched filtering and AdaBoost classifier","volume":"12","author":[{"family":"Memari","given":"Nogol"},{"family":"Ramli","given":"Abd Rahman"},{"family":"Bin Saripan","given":"M. Iqbal"},{"family":"Mashohor","given":"Syamsiah"},{"family":"Moghbel","given":"Mehrdad"}],"issued":{"date-parts":[["2017",12,11]]}}}],"schema":"https://github.com/citation-style-language/schema/raw/master/csl-citation.json"} </w:instrText>
      </w:r>
      <w:r w:rsidR="004A5BD2">
        <w:rPr>
          <w:rFonts w:ascii="Arial" w:hAnsi="Arial" w:cs="Arial"/>
        </w:rPr>
        <w:fldChar w:fldCharType="separate"/>
      </w:r>
      <w:r w:rsidR="00397FEA" w:rsidRPr="00397FEA">
        <w:rPr>
          <w:rFonts w:ascii="Arial" w:hAnsi="Arial" w:cs="Arial"/>
          <w:vertAlign w:val="superscript"/>
        </w:rPr>
        <w:t>10–12</w:t>
      </w:r>
      <w:r w:rsidR="004A5BD2">
        <w:rPr>
          <w:rFonts w:ascii="Arial" w:hAnsi="Arial" w:cs="Arial"/>
        </w:rPr>
        <w:fldChar w:fldCharType="end"/>
      </w:r>
      <w:r w:rsidR="00BB22F1" w:rsidRPr="00BB22F1">
        <w:rPr>
          <w:rFonts w:ascii="Arial" w:hAnsi="Arial" w:cs="Arial"/>
        </w:rPr>
        <w:t xml:space="preserve">. The </w:t>
      </w:r>
      <w:proofErr w:type="spellStart"/>
      <w:r w:rsidR="00BB22F1" w:rsidRPr="00BB22F1">
        <w:rPr>
          <w:rFonts w:ascii="Arial" w:hAnsi="Arial" w:cs="Arial"/>
        </w:rPr>
        <w:t>Frangi</w:t>
      </w:r>
      <w:proofErr w:type="spellEnd"/>
      <w:r w:rsidR="00BB22F1" w:rsidRPr="00BB22F1">
        <w:rPr>
          <w:rFonts w:ascii="Arial" w:hAnsi="Arial" w:cs="Arial"/>
        </w:rPr>
        <w:t xml:space="preserve"> filter (scales: 0.8-4.0) excels at identifying tubular structures and the </w:t>
      </w:r>
      <w:proofErr w:type="spellStart"/>
      <w:r w:rsidR="00BB22F1" w:rsidRPr="00BB22F1">
        <w:rPr>
          <w:rFonts w:ascii="Arial" w:hAnsi="Arial" w:cs="Arial"/>
        </w:rPr>
        <w:t>LoG</w:t>
      </w:r>
      <w:proofErr w:type="spellEnd"/>
      <w:r w:rsidR="00BB22F1" w:rsidRPr="00BB22F1">
        <w:rPr>
          <w:rFonts w:ascii="Arial" w:hAnsi="Arial" w:cs="Arial"/>
        </w:rPr>
        <w:t xml:space="preserve"> filter detects edges. Their combined use provides a more robust and sensitive enhancement, crucial for the complex and multi-scale nature of MNV networks, particularly in low-contrast OCT-A images.</w:t>
      </w:r>
    </w:p>
    <w:p w14:paraId="6A0E9225" w14:textId="5E868545" w:rsidR="00BB22F1" w:rsidRPr="00BB22F1" w:rsidRDefault="0017026E" w:rsidP="00BB22F1">
      <w:pPr>
        <w:spacing w:line="480" w:lineRule="auto"/>
        <w:rPr>
          <w:rFonts w:ascii="Arial" w:hAnsi="Arial" w:cs="Arial"/>
        </w:rPr>
      </w:pPr>
      <w:r>
        <w:rPr>
          <w:rFonts w:ascii="Arial" w:hAnsi="Arial" w:cs="Arial"/>
        </w:rPr>
        <w:t xml:space="preserve">3. </w:t>
      </w:r>
      <w:r w:rsidR="00BB22F1" w:rsidRPr="00BB22F1">
        <w:rPr>
          <w:rFonts w:ascii="Arial" w:hAnsi="Arial" w:cs="Arial"/>
        </w:rPr>
        <w:t xml:space="preserve">Binarization: The </w:t>
      </w:r>
      <w:proofErr w:type="spellStart"/>
      <w:r w:rsidR="00BB22F1" w:rsidRPr="00BB22F1">
        <w:rPr>
          <w:rFonts w:ascii="Arial" w:hAnsi="Arial" w:cs="Arial"/>
        </w:rPr>
        <w:t>Phansalkar</w:t>
      </w:r>
      <w:proofErr w:type="spellEnd"/>
      <w:r w:rsidR="00BB22F1" w:rsidRPr="00BB22F1">
        <w:rPr>
          <w:rFonts w:ascii="Arial" w:hAnsi="Arial" w:cs="Arial"/>
        </w:rPr>
        <w:t xml:space="preserve"> local adaptive thresholding method is used to create a binary representation of the vascular network, preserving fine vessel details. The radius is dynamically calculated based on image resolution to correspond to 24µm, with k=0.1 and R=0.</w:t>
      </w:r>
    </w:p>
    <w:p w14:paraId="4C099711" w14:textId="1FF90E20" w:rsidR="00BB22F1" w:rsidRPr="00BB22F1" w:rsidRDefault="0017026E" w:rsidP="00BB22F1">
      <w:pPr>
        <w:spacing w:line="480" w:lineRule="auto"/>
        <w:rPr>
          <w:rFonts w:ascii="Arial" w:hAnsi="Arial" w:cs="Arial"/>
        </w:rPr>
      </w:pPr>
      <w:r>
        <w:rPr>
          <w:rFonts w:ascii="Arial" w:hAnsi="Arial" w:cs="Arial"/>
        </w:rPr>
        <w:t xml:space="preserve">4. </w:t>
      </w:r>
      <w:r w:rsidR="00BB22F1" w:rsidRPr="00BB22F1">
        <w:rPr>
          <w:rFonts w:ascii="Arial" w:hAnsi="Arial" w:cs="Arial"/>
        </w:rPr>
        <w:t xml:space="preserve">Post-processing and Skeletonization: The binary image </w:t>
      </w:r>
      <w:proofErr w:type="gramStart"/>
      <w:r w:rsidR="00BB22F1" w:rsidRPr="00BB22F1">
        <w:rPr>
          <w:rFonts w:ascii="Arial" w:hAnsi="Arial" w:cs="Arial"/>
        </w:rPr>
        <w:t>is</w:t>
      </w:r>
      <w:proofErr w:type="gramEnd"/>
      <w:r w:rsidR="00BB22F1" w:rsidRPr="00BB22F1">
        <w:rPr>
          <w:rFonts w:ascii="Arial" w:hAnsi="Arial" w:cs="Arial"/>
        </w:rPr>
        <w:t xml:space="preserve"> refined through</w:t>
      </w:r>
      <w:r w:rsidR="00BB44AE">
        <w:rPr>
          <w:rFonts w:ascii="Arial" w:hAnsi="Arial" w:cs="Arial"/>
        </w:rPr>
        <w:t xml:space="preserve"> morphological reconstitution</w:t>
      </w:r>
      <w:r w:rsidR="00BB22F1" w:rsidRPr="00BB22F1">
        <w:rPr>
          <w:rFonts w:ascii="Arial" w:hAnsi="Arial" w:cs="Arial"/>
        </w:rPr>
        <w:t>. The final, cleaned image is then skeletonized to produce a one-pixel-wide centerline representation for topological analysis.</w:t>
      </w:r>
    </w:p>
    <w:p w14:paraId="3F9BF84B" w14:textId="296D2A40" w:rsidR="00BB22F1" w:rsidRPr="00BB22F1" w:rsidRDefault="0017026E" w:rsidP="00BB22F1">
      <w:pPr>
        <w:spacing w:line="480" w:lineRule="auto"/>
        <w:rPr>
          <w:rFonts w:ascii="Arial" w:hAnsi="Arial" w:cs="Arial"/>
        </w:rPr>
      </w:pPr>
      <w:r>
        <w:rPr>
          <w:rFonts w:ascii="Arial" w:hAnsi="Arial" w:cs="Arial"/>
        </w:rPr>
        <w:t xml:space="preserve">5. </w:t>
      </w:r>
      <w:r w:rsidR="00BB22F1" w:rsidRPr="00BB22F1">
        <w:rPr>
          <w:rFonts w:ascii="Arial" w:hAnsi="Arial" w:cs="Arial"/>
        </w:rPr>
        <w:t>Boundary Branch Exclusion: To prevent skewed measurements from incomplete vessels, a spatial classification protocol is employed. The refined ROI is logically divided into a "Center" zone and a "Periphery" zone. Branches existing solely within the Periphery or spanning both zones are flagged as "Boundary Branches" and are excluded from calculations of average branch length, junction density, and tortuosity.</w:t>
      </w:r>
    </w:p>
    <w:p w14:paraId="3EBF745B" w14:textId="77777777" w:rsidR="008D2A33" w:rsidRPr="00BB22F1" w:rsidRDefault="008D2A33" w:rsidP="00BB22F1">
      <w:pPr>
        <w:spacing w:line="480" w:lineRule="auto"/>
        <w:rPr>
          <w:rFonts w:ascii="Arial" w:hAnsi="Arial" w:cs="Arial"/>
        </w:rPr>
      </w:pPr>
    </w:p>
    <w:p w14:paraId="2697275B" w14:textId="32BF1185" w:rsidR="00BB22F1" w:rsidRPr="009C3AE9" w:rsidRDefault="00BB22F1" w:rsidP="00BB22F1">
      <w:pPr>
        <w:spacing w:line="480" w:lineRule="auto"/>
        <w:rPr>
          <w:rFonts w:ascii="Arial" w:hAnsi="Arial" w:cs="Arial"/>
          <w:b/>
          <w:bCs/>
        </w:rPr>
      </w:pPr>
      <w:r w:rsidRPr="009C3AE9">
        <w:rPr>
          <w:rFonts w:ascii="Arial" w:hAnsi="Arial" w:cs="Arial"/>
          <w:b/>
          <w:bCs/>
        </w:rPr>
        <w:t>Quantitative Analysis</w:t>
      </w:r>
    </w:p>
    <w:p w14:paraId="0FCD8B47" w14:textId="77777777" w:rsidR="00BB22F1" w:rsidRPr="00BB22F1" w:rsidRDefault="00BB22F1" w:rsidP="00BB22F1">
      <w:pPr>
        <w:spacing w:line="480" w:lineRule="auto"/>
        <w:rPr>
          <w:rFonts w:ascii="Arial" w:hAnsi="Arial" w:cs="Arial"/>
        </w:rPr>
      </w:pPr>
      <w:r w:rsidRPr="00BB22F1">
        <w:rPr>
          <w:rFonts w:ascii="Arial" w:hAnsi="Arial" w:cs="Arial"/>
        </w:rPr>
        <w:t>This stage computes a comprehensive set of parameters, including all major metrics identified in our literature review, and introduces several novel, integrated scores.</w:t>
      </w:r>
    </w:p>
    <w:p w14:paraId="25D05852" w14:textId="77777777" w:rsidR="0017026E" w:rsidRDefault="0017026E" w:rsidP="0017026E">
      <w:pPr>
        <w:spacing w:line="480" w:lineRule="auto"/>
        <w:rPr>
          <w:rFonts w:ascii="Arial" w:hAnsi="Arial" w:cs="Arial"/>
        </w:rPr>
      </w:pPr>
    </w:p>
    <w:p w14:paraId="203F521C" w14:textId="3ED31D3B" w:rsidR="0017026E" w:rsidRPr="00BB22F1" w:rsidRDefault="00743CF4" w:rsidP="0017026E">
      <w:pPr>
        <w:spacing w:line="480" w:lineRule="auto"/>
        <w:rPr>
          <w:rFonts w:ascii="Arial" w:hAnsi="Arial" w:cs="Arial"/>
        </w:rPr>
      </w:pPr>
      <w:r>
        <w:rPr>
          <w:rFonts w:ascii="Arial" w:hAnsi="Arial" w:cs="Arial"/>
        </w:rPr>
        <w:lastRenderedPageBreak/>
        <w:t xml:space="preserve">Table1 provides the metrics obtained in this study. </w:t>
      </w:r>
      <w:r w:rsidR="0017026E" w:rsidRPr="00BB22F1">
        <w:rPr>
          <w:rFonts w:ascii="Arial" w:hAnsi="Arial" w:cs="Arial"/>
        </w:rPr>
        <w:t>To objectively identify pathologically dilated segments, the system uses a statistical threshold of mean + 2.0 * SD of all vessel diameters. Contiguous segments exceeding this threshold are flagged, and their count, length, and density are reported. This provides an adaptive, objective measure of vascular remodeling.</w:t>
      </w:r>
    </w:p>
    <w:p w14:paraId="66A38647" w14:textId="77777777" w:rsidR="00DE446B" w:rsidRDefault="00DE446B" w:rsidP="00BB22F1">
      <w:pPr>
        <w:spacing w:line="480" w:lineRule="auto"/>
        <w:rPr>
          <w:rFonts w:ascii="Arial" w:hAnsi="Arial" w:cs="Arial"/>
        </w:rPr>
      </w:pPr>
    </w:p>
    <w:p w14:paraId="2E84A30D" w14:textId="25F88D10" w:rsidR="0008333D" w:rsidRPr="009C3AE9" w:rsidRDefault="005262A1" w:rsidP="005262A1">
      <w:pPr>
        <w:spacing w:line="480" w:lineRule="auto"/>
        <w:rPr>
          <w:rFonts w:ascii="Arial" w:hAnsi="Arial" w:cs="Arial"/>
          <w:b/>
          <w:bCs/>
        </w:rPr>
      </w:pPr>
      <w:r w:rsidRPr="009C3AE9">
        <w:rPr>
          <w:rFonts w:ascii="Arial" w:hAnsi="Arial" w:cs="Arial"/>
          <w:b/>
          <w:bCs/>
        </w:rPr>
        <w:t>Standardized Score Computation</w:t>
      </w:r>
    </w:p>
    <w:p w14:paraId="3B7841B6" w14:textId="5ADB6A2A" w:rsidR="007C2AA2" w:rsidRPr="007C2AA2" w:rsidRDefault="007C2AA2" w:rsidP="007C2AA2">
      <w:pPr>
        <w:spacing w:line="480" w:lineRule="auto"/>
        <w:rPr>
          <w:rFonts w:ascii="Arial" w:hAnsi="Arial" w:cs="Arial"/>
        </w:rPr>
      </w:pPr>
      <w:r w:rsidRPr="007C2AA2">
        <w:rPr>
          <w:rFonts w:ascii="Arial" w:hAnsi="Arial" w:cs="Arial"/>
          <w:b/>
          <w:bCs/>
        </w:rPr>
        <w:t>Standardized Vascular Complexity Score (0–100)</w:t>
      </w:r>
    </w:p>
    <w:p w14:paraId="0F7DC427" w14:textId="77777777" w:rsidR="007C2AA2" w:rsidRPr="007C2AA2" w:rsidRDefault="007C2AA2" w:rsidP="007C2AA2">
      <w:pPr>
        <w:spacing w:line="480" w:lineRule="auto"/>
        <w:rPr>
          <w:rFonts w:ascii="Arial" w:hAnsi="Arial" w:cs="Arial"/>
        </w:rPr>
      </w:pPr>
      <w:r w:rsidRPr="007C2AA2">
        <w:rPr>
          <w:rFonts w:ascii="Arial" w:hAnsi="Arial" w:cs="Arial"/>
        </w:rPr>
        <w:t>The score was derived using principal component analysis (PCA) of four topological metrics computed from the skeletonized MNV network: inverse Euler number (−</w:t>
      </w:r>
      <w:proofErr w:type="spellStart"/>
      <w:r w:rsidRPr="007C2AA2">
        <w:rPr>
          <w:rFonts w:ascii="Arial" w:hAnsi="Arial" w:cs="Arial"/>
        </w:rPr>
        <w:t>Euler_total</w:t>
      </w:r>
      <w:proofErr w:type="spellEnd"/>
      <w:r w:rsidRPr="007C2AA2">
        <w:rPr>
          <w:rFonts w:ascii="Arial" w:hAnsi="Arial" w:cs="Arial"/>
        </w:rPr>
        <w:t>), total loop count, junction density, and global fractal dimension. Reference distributions were constructed independently for each acquisition stratum (large, small_3mm, small) using all lesions within that stratum. Features were standardized using stratum-specific means and standard deviations prior to PCA. The dominant first principal component (PC1), carrying uniformly positive loadings across all four metrics, explained 63.7%, 73.9%, and 70.2% of total variance for the large, small_3mm, and small strata, respectively, confirming that a single latent axis captures overall network architectural complexity in each acquisition context. A secondary component (PC2, loading primarily on junction density) captured residual variance (24.8%, 21.9%, and 22.3%). PC1 and PC2 scores were combined with a trunk distribution metric (</w:t>
      </w:r>
      <w:proofErr w:type="spellStart"/>
      <w:r w:rsidRPr="007C2AA2">
        <w:rPr>
          <w:rFonts w:ascii="Arial" w:hAnsi="Arial" w:cs="Arial"/>
        </w:rPr>
        <w:t>TrunkDist</w:t>
      </w:r>
      <w:proofErr w:type="spellEnd"/>
      <w:r w:rsidRPr="007C2AA2">
        <w:rPr>
          <w:rFonts w:ascii="Arial" w:hAnsi="Arial" w:cs="Arial"/>
        </w:rPr>
        <w:t xml:space="preserve">; fixed at 50 in the absence of device-specific calibration data) using weights of 0.7, 0.2, and 0.1, respectively. To ensure a common 0–100 scale across platforms, both PC1 and PC2 scores were independently subjected to piecewise-linear normalization in which the within-stratum median maps to 50, the stratum minimum maps to 0, and the stratum </w:t>
      </w:r>
      <w:r w:rsidRPr="007C2AA2">
        <w:rPr>
          <w:rFonts w:ascii="Arial" w:hAnsi="Arial" w:cs="Arial"/>
        </w:rPr>
        <w:lastRenderedPageBreak/>
        <w:t>maximum maps to 100.</w:t>
      </w:r>
    </w:p>
    <w:p w14:paraId="66DAD5E5" w14:textId="77777777" w:rsidR="007C2AA2" w:rsidRPr="007C2AA2" w:rsidRDefault="007C2AA2" w:rsidP="007C2AA2">
      <w:pPr>
        <w:spacing w:line="480" w:lineRule="auto"/>
        <w:rPr>
          <w:rFonts w:ascii="Arial" w:hAnsi="Arial" w:cs="Arial"/>
        </w:rPr>
      </w:pPr>
    </w:p>
    <w:p w14:paraId="744CA833" w14:textId="77777777" w:rsidR="007C2AA2" w:rsidRPr="007C2AA2" w:rsidRDefault="007C2AA2" w:rsidP="007C2AA2">
      <w:pPr>
        <w:spacing w:line="480" w:lineRule="auto"/>
        <w:rPr>
          <w:rFonts w:ascii="Arial" w:hAnsi="Arial" w:cs="Arial"/>
        </w:rPr>
      </w:pPr>
      <w:r w:rsidRPr="007C2AA2">
        <w:rPr>
          <w:rFonts w:ascii="Arial" w:hAnsi="Arial" w:cs="Arial"/>
          <w:b/>
          <w:bCs/>
        </w:rPr>
        <w:t>Standardized Caliber Uniformity Score (0–100)</w:t>
      </w:r>
    </w:p>
    <w:p w14:paraId="3BDDAFF4" w14:textId="77777777" w:rsidR="007C2AA2" w:rsidRPr="007C2AA2" w:rsidRDefault="007C2AA2" w:rsidP="007C2AA2">
      <w:pPr>
        <w:spacing w:line="480" w:lineRule="auto"/>
        <w:rPr>
          <w:rFonts w:ascii="Arial" w:hAnsi="Arial" w:cs="Arial"/>
        </w:rPr>
      </w:pPr>
      <w:r w:rsidRPr="007C2AA2">
        <w:rPr>
          <w:rFonts w:ascii="Arial" w:hAnsi="Arial" w:cs="Arial"/>
        </w:rPr>
        <w:t>Vascular caliber uniformity was quantified using four radial profile metrics derived from the diameter-versus-distance profile: (1) coefficient of variation of vessel diameter (CV); (2) mean adjacent inter-bin change; (3) residual CV after linear detrending; and (4) diameter range normalized to mean diameter. Stratum-specific PCA was applied to these four metrics. The dominant PC1 carried uniformly positive loadings across all four instability indicators, explaining 89.6%, 81.1%, and 87.3% of variance for the large, small_3mm, and small strata, respectively, confirming that a single latent instability axis dominates caliber variability. PC1 was sign-inverted (−PC1) to obtain a stability-direction score, and piecewise-linear normalization (median→50) was applied independently to −PC1 and PC2. The final Standardized Caliber Uniformity Score was computed as 0.7 × (−PC1 score) + 0.2 × PC2 score + 0.1 × 50.</w:t>
      </w:r>
    </w:p>
    <w:p w14:paraId="42B3EE32" w14:textId="77777777" w:rsidR="007C2AA2" w:rsidRPr="007C2AA2" w:rsidRDefault="007C2AA2" w:rsidP="007C2AA2">
      <w:pPr>
        <w:spacing w:line="480" w:lineRule="auto"/>
        <w:rPr>
          <w:rFonts w:ascii="Arial" w:hAnsi="Arial" w:cs="Arial"/>
        </w:rPr>
      </w:pPr>
    </w:p>
    <w:p w14:paraId="0BC5C3BE" w14:textId="77777777" w:rsidR="007C2AA2" w:rsidRPr="007C2AA2" w:rsidRDefault="007C2AA2" w:rsidP="007C2AA2">
      <w:pPr>
        <w:spacing w:line="480" w:lineRule="auto"/>
        <w:rPr>
          <w:rFonts w:ascii="Arial" w:hAnsi="Arial" w:cs="Arial"/>
        </w:rPr>
      </w:pPr>
      <w:r w:rsidRPr="007C2AA2">
        <w:rPr>
          <w:rFonts w:ascii="Arial" w:hAnsi="Arial" w:cs="Arial"/>
          <w:b/>
          <w:bCs/>
        </w:rPr>
        <w:t>Standardized Maturity Index (0–100)</w:t>
      </w:r>
    </w:p>
    <w:p w14:paraId="3CF2FFC1" w14:textId="4E86A4CC" w:rsidR="007C2AA2" w:rsidRPr="007C2AA2" w:rsidRDefault="007C2AA2" w:rsidP="007C2AA2">
      <w:pPr>
        <w:spacing w:line="480" w:lineRule="auto"/>
        <w:rPr>
          <w:rFonts w:ascii="Arial" w:hAnsi="Arial" w:cs="Arial"/>
        </w:rPr>
      </w:pPr>
      <w:r w:rsidRPr="007C2AA2">
        <w:rPr>
          <w:rFonts w:ascii="Arial" w:hAnsi="Arial" w:cs="Arial"/>
        </w:rPr>
        <w:t>The Standardized Maturity Index was defined as: Maturity Index = clip50 + (Caliber Uniformity Score − Complexity Score) / 2, 0, 100. This formulation reflects the pathophysiological concept that vascular maturity is characterized by increasing caliber uniformity (stability) relative to network architectural complexity: values above 50 indicate a maturity-dominant state consistent with vascular remodeling or quiescence, while values below 50 indicate a complexity-dominant state consistent with active angiogenesis.</w:t>
      </w:r>
    </w:p>
    <w:p w14:paraId="514A5DA3" w14:textId="77777777" w:rsidR="007C2AA2" w:rsidRPr="007C2AA2" w:rsidRDefault="007C2AA2" w:rsidP="007C2AA2">
      <w:pPr>
        <w:spacing w:line="480" w:lineRule="auto"/>
        <w:rPr>
          <w:rFonts w:ascii="Arial" w:hAnsi="Arial" w:cs="Arial"/>
        </w:rPr>
      </w:pPr>
    </w:p>
    <w:p w14:paraId="2CF71DD8" w14:textId="77777777" w:rsidR="007C2AA2" w:rsidRPr="007C2AA2" w:rsidRDefault="007C2AA2" w:rsidP="007C2AA2">
      <w:pPr>
        <w:spacing w:line="480" w:lineRule="auto"/>
        <w:rPr>
          <w:rFonts w:ascii="Arial" w:hAnsi="Arial" w:cs="Arial"/>
        </w:rPr>
      </w:pPr>
      <w:r w:rsidRPr="007C2AA2">
        <w:rPr>
          <w:rFonts w:ascii="Arial" w:hAnsi="Arial" w:cs="Arial"/>
          <w:b/>
          <w:bCs/>
        </w:rPr>
        <w:lastRenderedPageBreak/>
        <w:t>Statistical Analysis</w:t>
      </w:r>
    </w:p>
    <w:p w14:paraId="1F40A2F7" w14:textId="77777777" w:rsidR="007C2AA2" w:rsidRPr="007C2AA2" w:rsidRDefault="007C2AA2" w:rsidP="007C2AA2">
      <w:pPr>
        <w:spacing w:line="480" w:lineRule="auto"/>
        <w:rPr>
          <w:rFonts w:ascii="Arial" w:hAnsi="Arial" w:cs="Arial"/>
        </w:rPr>
      </w:pPr>
      <w:r w:rsidRPr="007C2AA2">
        <w:rPr>
          <w:rFonts w:ascii="Arial" w:hAnsi="Arial" w:cs="Arial"/>
        </w:rPr>
        <w:t>Cross-device comparability of standardized scores was assessed using the Kruskal–</w:t>
      </w:r>
      <w:proofErr w:type="gramStart"/>
      <w:r w:rsidRPr="007C2AA2">
        <w:rPr>
          <w:rFonts w:ascii="Arial" w:hAnsi="Arial" w:cs="Arial"/>
        </w:rPr>
        <w:t>Wallis</w:t>
      </w:r>
      <w:proofErr w:type="gramEnd"/>
      <w:r w:rsidRPr="007C2AA2">
        <w:rPr>
          <w:rFonts w:ascii="Arial" w:hAnsi="Arial" w:cs="Arial"/>
        </w:rPr>
        <w:t xml:space="preserve"> test across the three acquisition strata. All analyses were performed in Python (version 3.11) using the scikit-learn library for PCA and the SciPy library for statistical testing. A p-value of &lt; 0.05 was considered statistically significant.</w:t>
      </w:r>
    </w:p>
    <w:p w14:paraId="780C7F68" w14:textId="77777777" w:rsidR="00BB22F1" w:rsidRPr="00BB22F1" w:rsidRDefault="00BB22F1" w:rsidP="00BB22F1">
      <w:pPr>
        <w:spacing w:line="480" w:lineRule="auto"/>
        <w:rPr>
          <w:rFonts w:ascii="Arial" w:hAnsi="Arial" w:cs="Arial"/>
        </w:rPr>
      </w:pPr>
    </w:p>
    <w:p w14:paraId="49A4BCD6" w14:textId="77777777" w:rsidR="00EA12D1" w:rsidRDefault="00EA12D1">
      <w:pPr>
        <w:widowControl/>
        <w:rPr>
          <w:rFonts w:ascii="Arial" w:hAnsi="Arial" w:cs="Arial"/>
          <w:b/>
          <w:bCs/>
        </w:rPr>
      </w:pPr>
      <w:r>
        <w:rPr>
          <w:rFonts w:ascii="Arial" w:hAnsi="Arial" w:cs="Arial"/>
          <w:b/>
          <w:bCs/>
        </w:rPr>
        <w:br w:type="page"/>
      </w:r>
    </w:p>
    <w:p w14:paraId="1280B9F6" w14:textId="1C38C9DC" w:rsidR="00BB22F1" w:rsidRPr="00CB29A5" w:rsidRDefault="00BB22F1" w:rsidP="00BB22F1">
      <w:pPr>
        <w:spacing w:line="480" w:lineRule="auto"/>
        <w:rPr>
          <w:rFonts w:ascii="Arial" w:hAnsi="Arial" w:cs="Arial"/>
          <w:b/>
          <w:bCs/>
        </w:rPr>
      </w:pPr>
      <w:r w:rsidRPr="00CB29A5">
        <w:rPr>
          <w:rFonts w:ascii="Arial" w:hAnsi="Arial" w:cs="Arial"/>
          <w:b/>
          <w:bCs/>
        </w:rPr>
        <w:lastRenderedPageBreak/>
        <w:t>Results</w:t>
      </w:r>
    </w:p>
    <w:p w14:paraId="6F0F374F" w14:textId="7B93125D" w:rsidR="00BB22F1" w:rsidRPr="009C3AE9" w:rsidRDefault="00BB22F1" w:rsidP="00BB22F1">
      <w:pPr>
        <w:spacing w:line="480" w:lineRule="auto"/>
        <w:rPr>
          <w:rFonts w:ascii="Arial" w:hAnsi="Arial" w:cs="Arial"/>
          <w:b/>
          <w:bCs/>
        </w:rPr>
      </w:pPr>
      <w:r w:rsidRPr="009C3AE9">
        <w:rPr>
          <w:rFonts w:ascii="Arial" w:hAnsi="Arial" w:cs="Arial"/>
          <w:b/>
          <w:bCs/>
        </w:rPr>
        <w:t>Robust Segmentation and Artifact Mitigation</w:t>
      </w:r>
    </w:p>
    <w:p w14:paraId="1983A84F" w14:textId="4CE446E1" w:rsidR="00BB22F1" w:rsidRDefault="00FD17A0" w:rsidP="00FD17A0">
      <w:pPr>
        <w:spacing w:line="480" w:lineRule="auto"/>
        <w:rPr>
          <w:rFonts w:ascii="Arial" w:hAnsi="Arial" w:cs="Arial"/>
        </w:rPr>
      </w:pPr>
      <w:r w:rsidRPr="00FD17A0">
        <w:rPr>
          <w:rFonts w:ascii="Arial" w:hAnsi="Arial" w:cs="Arial"/>
        </w:rPr>
        <w:t>Representative OCT-A images indicate that the system provides consistent segmentation of MNV lesions, with the semi-automatically delineated lesion area highlighted in yellow and the dilated neovascular segment shown in red</w:t>
      </w:r>
      <w:r w:rsidR="00BA4C03">
        <w:rPr>
          <w:rFonts w:ascii="Arial" w:hAnsi="Arial" w:cs="Arial"/>
        </w:rPr>
        <w:t xml:space="preserve"> (Figure)</w:t>
      </w:r>
      <w:r w:rsidRPr="00FD17A0">
        <w:rPr>
          <w:rFonts w:ascii="Arial" w:hAnsi="Arial" w:cs="Arial"/>
        </w:rPr>
        <w:t>. In these examples, the segmented neovascular network follows the lesion architecture rather than spurious high-contrast boundaries. The Intelligent ROI Refinement algorithm reduces boundary artifacts by adjusting user-drawn ROIs to the non-perfused tissue border, thereby limiting the influence of artificial edges on subsequent quantitative analyses. The Boundary Branch Exclusion protocol further limits the contribution of incomplete vessel segments at the ROI periphery to topological and morphometric metrics.</w:t>
      </w:r>
    </w:p>
    <w:p w14:paraId="4C382510" w14:textId="77777777" w:rsidR="00FD17A0" w:rsidRPr="00BB22F1" w:rsidRDefault="00FD17A0" w:rsidP="00FD17A0">
      <w:pPr>
        <w:spacing w:line="480" w:lineRule="auto"/>
        <w:rPr>
          <w:rFonts w:ascii="Arial" w:hAnsi="Arial" w:cs="Arial"/>
        </w:rPr>
      </w:pPr>
    </w:p>
    <w:p w14:paraId="3A71D44D" w14:textId="77777777" w:rsidR="001D5DB6" w:rsidRPr="001D5DB6" w:rsidRDefault="001D5DB6" w:rsidP="001D5DB6">
      <w:pPr>
        <w:spacing w:line="480" w:lineRule="auto"/>
        <w:rPr>
          <w:rFonts w:ascii="Arial" w:hAnsi="Arial" w:cs="Arial"/>
        </w:rPr>
      </w:pPr>
      <w:r w:rsidRPr="001D5DB6">
        <w:rPr>
          <w:rFonts w:ascii="Arial" w:hAnsi="Arial" w:cs="Arial"/>
          <w:b/>
          <w:bCs/>
        </w:rPr>
        <w:t>Cross-Device Raw Metrics and the Necessity of Standardization</w:t>
      </w:r>
    </w:p>
    <w:p w14:paraId="3BEA59E9" w14:textId="357A3091" w:rsidR="001D5DB6" w:rsidRPr="001D5DB6" w:rsidRDefault="001D5DB6" w:rsidP="001D5DB6">
      <w:pPr>
        <w:spacing w:line="480" w:lineRule="auto"/>
        <w:rPr>
          <w:rFonts w:ascii="Arial" w:hAnsi="Arial" w:cs="Arial"/>
        </w:rPr>
      </w:pPr>
      <w:r w:rsidRPr="001D5DB6">
        <w:rPr>
          <w:rFonts w:ascii="Arial" w:hAnsi="Arial" w:cs="Arial"/>
        </w:rPr>
        <w:t>Table 2 presents the raw topological and morphometric parameters across the three acquisition protocols. As expected from the differences in imaged vascular territory and device-specific resolution characteristics, raw metrics differed substantially across platforms. Mean total loop count ranged from 300.3 ± 199.2 in the large (</w:t>
      </w:r>
      <w:proofErr w:type="spellStart"/>
      <w:r w:rsidRPr="001D5DB6">
        <w:rPr>
          <w:rFonts w:ascii="Arial" w:hAnsi="Arial" w:cs="Arial"/>
        </w:rPr>
        <w:t>PlexElite</w:t>
      </w:r>
      <w:proofErr w:type="spellEnd"/>
      <w:r w:rsidRPr="001D5DB6">
        <w:rPr>
          <w:rFonts w:ascii="Arial" w:hAnsi="Arial" w:cs="Arial"/>
        </w:rPr>
        <w:t xml:space="preserve"> 6×6mm) group to 165.2 ± 118.0 in the small_3mm (HD series 3×3mm) group and 89.5 ± 53.4 in the small (Solix 6×6mm) group </w:t>
      </w:r>
      <w:r w:rsidR="00C177A0">
        <w:rPr>
          <w:rFonts w:ascii="Arial" w:hAnsi="Arial" w:cs="Arial"/>
        </w:rPr>
        <w:t>-</w:t>
      </w:r>
      <w:r w:rsidRPr="001D5DB6">
        <w:rPr>
          <w:rFonts w:ascii="Arial" w:hAnsi="Arial" w:cs="Arial"/>
        </w:rPr>
        <w:t xml:space="preserve"> a 3.4-fold difference between the highest and lowest values. Similarly, mean Euler number ranged from −168.4 ± 146.0 to −61.6 ± 48.2, and mean junction density from 25.85 ± 1.77 to 15.89 ± 2.88 mm</w:t>
      </w:r>
      <w:r w:rsidRPr="001D5DB6">
        <w:rPr>
          <w:rFonts w:ascii="Cambria Math" w:hAnsi="Cambria Math" w:cs="Cambria Math"/>
        </w:rPr>
        <w:t>⁻</w:t>
      </w:r>
      <w:r w:rsidRPr="001D5DB6">
        <w:rPr>
          <w:rFonts w:ascii="Arial" w:hAnsi="Arial" w:cs="Arial"/>
        </w:rPr>
        <w:t xml:space="preserve">². Mean vessel diameter showed the reverse ordering (16.0, 23.7, and 32.3 µm for large, small_3mm, and small, respectively), reflecting the inverse relationship between field size and measured vessel caliber. These systematic </w:t>
      </w:r>
      <w:r w:rsidRPr="001D5DB6">
        <w:rPr>
          <w:rFonts w:ascii="Arial" w:hAnsi="Arial" w:cs="Arial"/>
        </w:rPr>
        <w:lastRenderedPageBreak/>
        <w:t>differences confirm that direct cross-device comparison of raw parameters is not feasible and motivate the PCA-based standardization framework described in the Methods.</w:t>
      </w:r>
    </w:p>
    <w:p w14:paraId="28880242" w14:textId="77777777" w:rsidR="001D5DB6" w:rsidRPr="001D5DB6" w:rsidRDefault="001D5DB6" w:rsidP="001D5DB6">
      <w:pPr>
        <w:spacing w:line="480" w:lineRule="auto"/>
        <w:rPr>
          <w:rFonts w:ascii="Arial" w:hAnsi="Arial" w:cs="Arial"/>
        </w:rPr>
      </w:pPr>
    </w:p>
    <w:p w14:paraId="04CB63D0" w14:textId="77777777" w:rsidR="001D5DB6" w:rsidRPr="001D5DB6" w:rsidRDefault="001D5DB6" w:rsidP="001D5DB6">
      <w:pPr>
        <w:spacing w:line="480" w:lineRule="auto"/>
        <w:rPr>
          <w:rFonts w:ascii="Arial" w:hAnsi="Arial" w:cs="Arial"/>
        </w:rPr>
      </w:pPr>
      <w:r w:rsidRPr="001D5DB6">
        <w:rPr>
          <w:rFonts w:ascii="Arial" w:hAnsi="Arial" w:cs="Arial"/>
          <w:b/>
          <w:bCs/>
        </w:rPr>
        <w:t>Convergence of Standardized Scores Across Devices</w:t>
      </w:r>
    </w:p>
    <w:p w14:paraId="09C0E122" w14:textId="038F55D0" w:rsidR="001D5DB6" w:rsidRPr="001D5DB6" w:rsidRDefault="001D5DB6" w:rsidP="001D5DB6">
      <w:pPr>
        <w:spacing w:line="480" w:lineRule="auto"/>
        <w:rPr>
          <w:rFonts w:ascii="Arial" w:hAnsi="Arial" w:cs="Arial"/>
        </w:rPr>
      </w:pPr>
      <w:r w:rsidRPr="001D5DB6">
        <w:rPr>
          <w:rFonts w:ascii="Arial" w:hAnsi="Arial" w:cs="Arial"/>
        </w:rPr>
        <w:t xml:space="preserve">Table 3 presents the standardized scores following device-specific PCA and piecewise-linear normalization. Despite the substantial differences in raw metrics, the Standardized Complexity Score converged to statistically indistinguishable median values of 48.0 (IQR 42.4–55.4), 49.2 (45.7–57.8), and 49.9 (41.8–57.9) for the large, small_3mm, and small groups, respectively (Kruskal–Wallis, p=0.276). The high PC1 explained variance ratios (63.7–73.9%) across all three strata confirm that a single dominant latent axis captures the principal structure of MNV architectural complexity in each acquisition context, and that this axis is biologically consistent across devices. Analogous convergence was observed for the Standardized Caliber Uniformity Score (medians 50.6, 50.3, 49.9; p=0.636), for which PC1 explained 81.1–89.6% of variance, and for the Standardized Maturity Index (medians 51.3, 51.4, 49.6; p=0.764). The convergence of all three scores to values within one unit of 50 </w:t>
      </w:r>
      <w:r w:rsidR="00C177A0">
        <w:rPr>
          <w:rFonts w:ascii="Arial" w:hAnsi="Arial" w:cs="Arial"/>
        </w:rPr>
        <w:t>-</w:t>
      </w:r>
      <w:r w:rsidRPr="001D5DB6">
        <w:rPr>
          <w:rFonts w:ascii="Arial" w:hAnsi="Arial" w:cs="Arial"/>
        </w:rPr>
        <w:t xml:space="preserve"> achieved through within-device normalization without any cross-device calibration </w:t>
      </w:r>
      <w:r w:rsidR="00C177A0">
        <w:rPr>
          <w:rFonts w:ascii="Arial" w:hAnsi="Arial" w:cs="Arial"/>
        </w:rPr>
        <w:t>-</w:t>
      </w:r>
      <w:r w:rsidRPr="001D5DB6">
        <w:rPr>
          <w:rFonts w:ascii="Arial" w:hAnsi="Arial" w:cs="Arial"/>
        </w:rPr>
        <w:t xml:space="preserve"> provides empirical evidence that the proposed framework effectively removes device- and field-of-view-dependent scaling while preserving the underlying biological information.</w:t>
      </w:r>
    </w:p>
    <w:p w14:paraId="47897C2A" w14:textId="77777777" w:rsidR="001D5DB6" w:rsidRPr="001D5DB6" w:rsidRDefault="001D5DB6" w:rsidP="001D5DB6">
      <w:pPr>
        <w:spacing w:line="480" w:lineRule="auto"/>
        <w:rPr>
          <w:rFonts w:ascii="Arial" w:hAnsi="Arial" w:cs="Arial"/>
        </w:rPr>
      </w:pPr>
    </w:p>
    <w:p w14:paraId="006D348C" w14:textId="77777777" w:rsidR="001D5DB6" w:rsidRPr="001D5DB6" w:rsidRDefault="001D5DB6" w:rsidP="001D5DB6">
      <w:pPr>
        <w:spacing w:line="480" w:lineRule="auto"/>
        <w:rPr>
          <w:rFonts w:ascii="Arial" w:hAnsi="Arial" w:cs="Arial"/>
        </w:rPr>
      </w:pPr>
      <w:r w:rsidRPr="001D5DB6">
        <w:rPr>
          <w:rFonts w:ascii="Arial" w:hAnsi="Arial" w:cs="Arial"/>
          <w:b/>
          <w:bCs/>
        </w:rPr>
        <w:t>Automated Morphological Classification</w:t>
      </w:r>
    </w:p>
    <w:p w14:paraId="788597CD" w14:textId="77777777" w:rsidR="001D5DB6" w:rsidRPr="001D5DB6" w:rsidRDefault="001D5DB6" w:rsidP="001D5DB6">
      <w:pPr>
        <w:spacing w:line="480" w:lineRule="auto"/>
        <w:rPr>
          <w:rFonts w:ascii="Arial" w:hAnsi="Arial" w:cs="Arial"/>
        </w:rPr>
      </w:pPr>
      <w:r w:rsidRPr="001D5DB6">
        <w:rPr>
          <w:rFonts w:ascii="Arial" w:hAnsi="Arial" w:cs="Arial"/>
        </w:rPr>
        <w:t xml:space="preserve">Table 4 presents the distribution of morphological subtypes across acquisition platforms. The full spectrum of MNV subtypes was identified across all three devices. </w:t>
      </w:r>
      <w:r w:rsidRPr="001D5DB6">
        <w:rPr>
          <w:rFonts w:ascii="Arial" w:hAnsi="Arial" w:cs="Arial"/>
        </w:rPr>
        <w:lastRenderedPageBreak/>
        <w:t xml:space="preserve">Glomerular pattern was the most prevalent subtype in the large group (n=29, 59.2%) and was also well-represented in the small_3mm and small groups (30.0% and 36.4%, respectively). </w:t>
      </w:r>
      <w:proofErr w:type="spellStart"/>
      <w:r w:rsidRPr="001D5DB6">
        <w:rPr>
          <w:rFonts w:ascii="Arial" w:hAnsi="Arial" w:cs="Arial"/>
        </w:rPr>
        <w:t>Seafan</w:t>
      </w:r>
      <w:proofErr w:type="spellEnd"/>
      <w:r w:rsidRPr="001D5DB6">
        <w:rPr>
          <w:rFonts w:ascii="Arial" w:hAnsi="Arial" w:cs="Arial"/>
        </w:rPr>
        <w:t xml:space="preserve"> pattern was more common in the small_3mm group (n=11, 36.7%) than in the other groups. Dead-tree pattern, reflecting mature quiescent MNV, was identified in all three groups (8.2%, 20.0%, and 15.2%). Tree-in-bud pattern was present in all groups (20.4%, 13.3%, 42.4%). The qualitative consistency of subtype representation across acquisition platforms provides initial evidence for the cross-device robustness of the classification logic.</w:t>
      </w:r>
    </w:p>
    <w:p w14:paraId="29F204C1" w14:textId="77777777" w:rsidR="00BB22F1" w:rsidRPr="001D5DB6" w:rsidRDefault="00BB22F1" w:rsidP="00BB22F1">
      <w:pPr>
        <w:spacing w:line="480" w:lineRule="auto"/>
        <w:rPr>
          <w:rFonts w:ascii="Arial" w:hAnsi="Arial" w:cs="Arial"/>
        </w:rPr>
      </w:pPr>
    </w:p>
    <w:p w14:paraId="4014345E" w14:textId="77777777" w:rsidR="00CC0802" w:rsidRDefault="00CC0802">
      <w:pPr>
        <w:widowControl/>
        <w:rPr>
          <w:rFonts w:ascii="Arial" w:hAnsi="Arial" w:cs="Arial"/>
          <w:b/>
          <w:bCs/>
        </w:rPr>
      </w:pPr>
      <w:r>
        <w:rPr>
          <w:rFonts w:ascii="Arial" w:hAnsi="Arial" w:cs="Arial"/>
          <w:b/>
          <w:bCs/>
        </w:rPr>
        <w:br w:type="page"/>
      </w:r>
    </w:p>
    <w:p w14:paraId="64BCE05E" w14:textId="60BCA509" w:rsidR="00BB22F1" w:rsidRPr="001D7FDE" w:rsidRDefault="00BB22F1" w:rsidP="00BB22F1">
      <w:pPr>
        <w:spacing w:line="480" w:lineRule="auto"/>
        <w:rPr>
          <w:rFonts w:ascii="Arial" w:hAnsi="Arial" w:cs="Arial"/>
          <w:b/>
          <w:bCs/>
        </w:rPr>
      </w:pPr>
      <w:r w:rsidRPr="001D7FDE">
        <w:rPr>
          <w:rFonts w:ascii="Arial" w:hAnsi="Arial" w:cs="Arial"/>
          <w:b/>
          <w:bCs/>
        </w:rPr>
        <w:lastRenderedPageBreak/>
        <w:t>Discussion</w:t>
      </w:r>
    </w:p>
    <w:p w14:paraId="3CF87347" w14:textId="77777777" w:rsidR="00BB22F1" w:rsidRPr="00BB22F1" w:rsidRDefault="00BB22F1" w:rsidP="00BB22F1">
      <w:pPr>
        <w:spacing w:line="480" w:lineRule="auto"/>
        <w:rPr>
          <w:rFonts w:ascii="Arial" w:hAnsi="Arial" w:cs="Arial"/>
        </w:rPr>
      </w:pPr>
      <w:r w:rsidRPr="00BB22F1">
        <w:rPr>
          <w:rFonts w:ascii="Arial" w:hAnsi="Arial" w:cs="Arial"/>
        </w:rPr>
        <w:t>This work introduces a significant advancement in the quantitative analysis of MNV by systematically addressing the limitations of current methodologies and introducing a new dimension of integrated, multi-parameter scoring. Our comparative analysis (Table 1) clearly illustrates that while existing tools and recent studies provide a foundational set of metrics, they fail to capture the holistic nature of the neovascular complex and are vulnerable to significant methodological artifacts.</w:t>
      </w:r>
    </w:p>
    <w:p w14:paraId="226B51AC" w14:textId="77777777" w:rsidR="00BB22F1" w:rsidRDefault="00BB22F1" w:rsidP="00BB22F1">
      <w:pPr>
        <w:spacing w:line="480" w:lineRule="auto"/>
        <w:rPr>
          <w:rFonts w:ascii="Arial" w:hAnsi="Arial" w:cs="Arial"/>
        </w:rPr>
      </w:pPr>
    </w:p>
    <w:p w14:paraId="69725004" w14:textId="3D69D565" w:rsidR="001A6AA6" w:rsidRPr="001A6AA6" w:rsidRDefault="001A6AA6" w:rsidP="001A6AA6">
      <w:pPr>
        <w:spacing w:line="480" w:lineRule="auto"/>
        <w:rPr>
          <w:rFonts w:ascii="Arial" w:hAnsi="Arial" w:cs="Arial"/>
        </w:rPr>
      </w:pPr>
      <w:r w:rsidRPr="001A6AA6">
        <w:rPr>
          <w:rFonts w:ascii="Arial" w:hAnsi="Arial" w:cs="Arial"/>
        </w:rPr>
        <w:t xml:space="preserve">A defining feature of the present system is its capacity to generate comparable morphological scores across fundamentally different acquisition conditions. In contrast to prior OCTA analysis tools that report raw, device-specific metrics unsuitable for cross-platform comparison, our PCA-based normalization framework produces three standardized scores </w:t>
      </w:r>
      <w:r w:rsidR="00C177A0">
        <w:rPr>
          <w:rFonts w:ascii="Arial" w:hAnsi="Arial" w:cs="Arial"/>
        </w:rPr>
        <w:t>-</w:t>
      </w:r>
      <w:r w:rsidRPr="001A6AA6">
        <w:rPr>
          <w:rFonts w:ascii="Arial" w:hAnsi="Arial" w:cs="Arial"/>
        </w:rPr>
        <w:t xml:space="preserve"> the Standardized Complexity Score, Standardized Caliber Uniformity Score, and Standardized Maturity Index </w:t>
      </w:r>
      <w:r w:rsidR="00C177A0">
        <w:rPr>
          <w:rFonts w:ascii="Arial" w:hAnsi="Arial" w:cs="Arial"/>
        </w:rPr>
        <w:t>-</w:t>
      </w:r>
      <w:r w:rsidRPr="001A6AA6">
        <w:rPr>
          <w:rFonts w:ascii="Arial" w:hAnsi="Arial" w:cs="Arial"/>
        </w:rPr>
        <w:t xml:space="preserve"> that are anchored to a common scale irrespective of the acquiring device or field-of-view. The empirical demonstration of score convergence across the Zeiss </w:t>
      </w:r>
      <w:proofErr w:type="spellStart"/>
      <w:r w:rsidRPr="001A6AA6">
        <w:rPr>
          <w:rFonts w:ascii="Arial" w:hAnsi="Arial" w:cs="Arial"/>
        </w:rPr>
        <w:t>PlexElite</w:t>
      </w:r>
      <w:proofErr w:type="spellEnd"/>
      <w:r w:rsidRPr="001A6AA6">
        <w:rPr>
          <w:rFonts w:ascii="Arial" w:hAnsi="Arial" w:cs="Arial"/>
        </w:rPr>
        <w:t xml:space="preserve"> 9000 (6×6mm), Zeiss HD series (3×3mm), and </w:t>
      </w:r>
      <w:proofErr w:type="spellStart"/>
      <w:r w:rsidR="00974551">
        <w:rPr>
          <w:rFonts w:ascii="Arial" w:hAnsi="Arial" w:cs="Arial"/>
        </w:rPr>
        <w:t>Optovue</w:t>
      </w:r>
      <w:proofErr w:type="spellEnd"/>
      <w:r w:rsidR="00974551">
        <w:rPr>
          <w:rFonts w:ascii="Arial" w:hAnsi="Arial" w:cs="Arial"/>
        </w:rPr>
        <w:t xml:space="preserve"> Solix</w:t>
      </w:r>
      <w:r w:rsidRPr="001A6AA6">
        <w:rPr>
          <w:rFonts w:ascii="Arial" w:hAnsi="Arial" w:cs="Arial"/>
        </w:rPr>
        <w:t xml:space="preserve"> (6×6mm) platforms </w:t>
      </w:r>
      <w:r w:rsidR="00C177A0">
        <w:rPr>
          <w:rFonts w:ascii="Arial" w:hAnsi="Arial" w:cs="Arial"/>
        </w:rPr>
        <w:t>-</w:t>
      </w:r>
      <w:r w:rsidRPr="001A6AA6">
        <w:rPr>
          <w:rFonts w:ascii="Arial" w:hAnsi="Arial" w:cs="Arial"/>
        </w:rPr>
        <w:t xml:space="preserve"> three devices from two manufacturers spanning two field-of-view configurations </w:t>
      </w:r>
      <w:r w:rsidR="00C177A0">
        <w:rPr>
          <w:rFonts w:ascii="Arial" w:hAnsi="Arial" w:cs="Arial"/>
        </w:rPr>
        <w:t>-</w:t>
      </w:r>
      <w:r w:rsidRPr="001A6AA6">
        <w:rPr>
          <w:rFonts w:ascii="Arial" w:hAnsi="Arial" w:cs="Arial"/>
        </w:rPr>
        <w:t xml:space="preserve"> provides evidence that this convergence is not a mathematical artifact but reflects the extraction of a consistent biological signal. The high and consistent PC1 explained variance ratios (63.7–73.9% for Complexity; 81.1–89.6% for Caliber Uniformity) across strata further indicate that a single dominant latent axis underlies MNV morphological complexity and caliber stability regardless of acquisition platform, lending biological plausibility to the standardization approach. To our knowledge, this is the first quantitative MNV scoring framework explicitly validated across </w:t>
      </w:r>
      <w:r w:rsidRPr="001A6AA6">
        <w:rPr>
          <w:rFonts w:ascii="Arial" w:hAnsi="Arial" w:cs="Arial"/>
        </w:rPr>
        <w:lastRenderedPageBreak/>
        <w:t>commercially available OCTA devices from different manufacturers and with different field-of-view configurations.</w:t>
      </w:r>
    </w:p>
    <w:p w14:paraId="1D9B49FE" w14:textId="77777777" w:rsidR="001A6AA6" w:rsidRPr="001A6AA6" w:rsidRDefault="001A6AA6" w:rsidP="00BB22F1">
      <w:pPr>
        <w:spacing w:line="480" w:lineRule="auto"/>
        <w:rPr>
          <w:rFonts w:ascii="Arial" w:hAnsi="Arial" w:cs="Arial"/>
        </w:rPr>
      </w:pPr>
    </w:p>
    <w:p w14:paraId="1FC0A0BA" w14:textId="3C366B59" w:rsidR="00FE6E93" w:rsidRDefault="005E5680" w:rsidP="00FF737C">
      <w:pPr>
        <w:spacing w:line="480" w:lineRule="auto"/>
        <w:rPr>
          <w:rFonts w:ascii="Arial" w:hAnsi="Arial" w:cs="Arial"/>
        </w:rPr>
      </w:pPr>
      <w:r w:rsidRPr="005E5680">
        <w:rPr>
          <w:rFonts w:ascii="Arial" w:hAnsi="Arial" w:cs="Arial"/>
        </w:rPr>
        <w:t>Several key aspects of our study merit emphasis. First, the Intelligent ROI Refinement algorithm represents a novel solution to a long-standing challenge in quantitative OCT-A analysis</w:t>
      </w:r>
      <w:r w:rsidR="00F43092">
        <w:rPr>
          <w:rFonts w:ascii="Arial" w:hAnsi="Arial" w:cs="Arial"/>
        </w:rPr>
        <w:t xml:space="preserve"> </w:t>
      </w:r>
      <w:r w:rsidR="00F43092">
        <w:rPr>
          <w:rFonts w:ascii="Arial" w:hAnsi="Arial" w:cs="Arial"/>
        </w:rPr>
        <w:fldChar w:fldCharType="begin"/>
      </w:r>
      <w:r w:rsidR="00397FEA">
        <w:rPr>
          <w:rFonts w:ascii="Arial" w:hAnsi="Arial" w:cs="Arial"/>
        </w:rPr>
        <w:instrText xml:space="preserve"> ADDIN ZOTERO_ITEM CSL_CITATION {"citationID":"6LTvJOzr","properties":{"unsorted":false,"formattedCitation":"\\super 7,13\\uc0\\u8211{}15\\nosupersub{}","plainCitation":"7,13–15","noteIndex":0},"citationItems":[{"id":1220,"uris":["http://zotero.org/users/2658636/items/LVG6BTQ5"],"itemData":{"id":1220,"type":"article-journal","abstract":"&lt;h4&gt;Purpose&lt;/h4&gt;To describe the qualitative and quantitative changes in choroidal neovascularization (CNV) flow pattern after anti-vascular endothelial growth factor therapy, by optical coherence tomography angiography (OCTA).&lt;h4&gt;Methods&lt;/h4&gt;Consecutive patients with neovascular age-related macular degeneration underwent multimodal imaging, including OCTA at initial examination and at last visit. High-flow networks in the choriocapillaris segmentation of OCTA were qualitatively and quantitatively analyzed at baseline and at follow-up, to characterize vascular flow changes after anti-vascular endothelial growth factor treatment and to correlate these changes with final exudation signs on spectral domain optical coherence tomography.&lt;h4&gt;Results&lt;/h4&gt;Seventeen eyes were included. Mean follow-up was of 11.7 ± 3.3 months. Baseline images showed six medusa pattern (35.3%), four seafan pattern (23.5%), and seven indistinct network patterns (41.2%). Mean CNV area at baseline was 1.58 ± 1.72 mm. Final OCTA images revealed a decrease in CNV total area of 21.6%. In 6/17 eyes, the baseline neovascular pattern was unchanged; these cases were associated with exudation at the final spectral domain optical coherence tomography examination (P = 0.034) and a decrease in CNV area of 34.1%. Conversely, in 11/17 eyes (64.7%), the initial pattern had changed to a pruned vascular tree pattern, with variable exudative status on spectral domain optical coherence tomography at the final visit and a decrease in total CNV area of 0.07%.&lt;h4&gt;Conclusion&lt;/h4&gt;The vascular flow remodeling induced by recurrent anti-vascular endothelial growth factor treatment can be assessed by OCTA. Optical coherence tomography angiography may help to accurately evaluate treatment response and to recognize patterns usually associated with recurrent exudative activity.","container-title":"Retina","DOI":"10.1097/iae.0000000000001964","journalAbbreviation":"Retina","page":"548-557","title":"VASCULAR REMODELING OF CHOROIDAL NEOVASCULARIZATION AFTER ANTI-VASCULAR ENDOTHELIAL GROWTH FACTOR THERAPY VISUALIZED ON OPTICAL COHERENCE TOMOGRAPHY ANGIOGRAPHY.","volume":"39","author":[{"family":"Miere","given":"A."},{"family":"Butori","given":"P."},{"family":"Cohen","given":"S."},{"family":"Semoun","given":"O."},{"family":"Capuano","given":"V."},{"family":"Jung","given":"C."},{"family":"Souied","given":"E."}],"issued":{"date-parts":[["2019"]]}}},{"id":1664,"uris":["http://zotero.org/users/2658636/items/9FT63XRF"],"itemData":{"id":1664,"type":"article-journal","abstract":"&lt;h4&gt;Purpose&lt;/h4&gt;We observed and analyzed the morphologic characteristics of polypoidal lesions and abnormal branching vascular network (BVN) in patients with polypoidal choroidal vasculopathy (PCV) by optical coherence tomography angiography (OCTA).&lt;h4&gt;Methods&lt;/h4&gt;A retrospective observational case series was done of patients with PCV. All patients were scanned with a 70-kHz spectral-domain OCT system using the split-spectrum amplitude-decorrelation angiography (SSADA) algorithm to distinguish blood flow from static tissue. The OCTA images of these patients were compared to those from indocyanine green angiography (ICGA). Semiautomated segmentation was used to further analyze the polypoidal lesion and the BVN.&lt;h4&gt;Results&lt;/h4&gt;We studied 13 eyes of 13 patients 51 to 69 years old. A total of 11 patients were treatment-naive. Two patients had multiple anti-VEGF injections and one underwent photodynamic therapy (PDT). Optical coherence tomography angiography was able to detect the BVN in all cases. Using cross-sectional OCTA, BVN locations were shown to be in the space between the RPE and Bruch's membrane. Using en face OCTA, the BVN vascular pattern could be shown more clearly than by ICGA. Polypoidal lesions showed high flow signals in different patterns in 12 cases in the outer retina slab. Using cross-sectional OCTA, the polyps were shown to be just below the top of the pigment epithelial detachment (PED). In one case, the polypoidal lesion was not detectable at the outer retina slab.&lt;h4&gt;Conclusions&lt;/h4&gt;Optical coherence tomography angiography is a noninvasive imaging tool for detecting vascular changes in PCV. Branching vascular networks showed more clearly on OCTA than on ICGA. Polypoidal lesions had variable patterns on OCTA and were not always detected. The OCTA patterns of the polypoidal lesions and the BVN are helpful in understanding the pathology of PCV.","container-title":"Investigative Opthalmology &amp; Visual Science","DOI":"10.1167/iovs.15-18955","ISSN":"1552-5783","issue":"9","page":"OCT526-32","title":"Evaluating Polypoidal Choroidal Vasculopathy With Optical Coherence Tomography Angiography.","volume":"57","author":[{"family":"Wang","given":"Min"},{"family":"Zhou","given":"Yao"},{"family":"Gao","given":"Simon S."},{"family":"Liu","given":"Wei"},{"family":"Huang","given":"Yongheng"},{"family":"Huang","given":"David"},{"family":"Jia","given":"Yali"}],"issued":{"date-parts":[["2016"]]}}},{"id":1250,"uris":["http://zotero.org/users/2658636/items/U7M7AF99"],"itemData":{"id":1250,"type":"article-journal","abstract":"Detecting and quantifying the size of choroidal neovascularization (CNV) is important for the diagnosis and assessment of neovascular age-related macular degeneration. Depth-resolved imaging of the retinal and choroidal vasculature by optical coherence tomography angiography (OCTA) has enabled the visualization of CNV. However, due to the prevalence of artifacts, it is difficult to segment and quantify the CNV lesion area automatically. We have previously described a saliency algorithm for CNV detection that could identify a CNV lesion area with 83% accuracy. However, this method works under the assumption that the CNV region is the most salient area for visual attention in the whole image and consequently, errors occur when this requirement is not met (e.g. when the lesion occupies a large portion of the image). Moreover, saliency image processing methods cannot extract the edges of the salient object very accurately. In this paper, we propose a novel and automatic CNV segmentation method based on an unsupervised and parallel machine learning technique named density cell-like P systems (DEC P systems). DEC P systems integrate the idea of a modified clustering algorithm into cell-like P systems. This method improved the accuracy of detection to 87.2% on 22 subjects and obtained clear boundaries of the CNV lesions.","container-title":"Biomedical optics express","DOI":"10.1364/boe.9.003208","journalAbbreviation":"Biomedical optics express","page":"3208-3219","title":"Automatic quantification of choroidal neovascularization lesion area on OCT angiography based on density cell-like P systems with active membranes.","volume":"9 7","author":[{"family":"Xue","given":"Jie"},{"family":"Camino","given":"Acner"},{"family":"Bailey","given":"Steven"},{"family":"Liu","given":"Xiyu"},{"family":"Li","given":"Dengwang"},{"family":"Jia","given":"Yali"}],"issued":{"date-parts":[["2018"]]}}},{"id":1251,"uris":["http://zotero.org/users/2658636/items/QBUTW7VM"],"itemData":{"id":1251,"type":"article-journal","abstract":"&lt;h4&gt;Purpose&lt;/h4&gt;To compare optical coherence tomography angiography (OCTA) review strategies for optimizing choroidal neovascularization (CNV) detection.&lt;h4&gt;Methods&lt;/h4&gt;Eyes with CNV in the differential diagnosis were imaged with the Avanti RTVue XR HD (Optovue, Fremont, CA). Three modalities of review for CNV presence were used in each case: a single report generated using automated segmentation within Avanti software; a continuous slab descent video OCTA export; and a manual segmentation approach using cross-sectional OCT with decorrelation signal overlay. Scans were reviewed by two masked expert reviewers; a third reviewer was used for discrepancies.&lt;h4&gt;Results&lt;/h4&gt;The study included 421 eyes, and 350 eyes had reports deemed sufficient quality for interpretation. Choroidal neovascularization was in the differential diagnosis in 107 of 350 patients. Overall CNV was identified in 55% (59/107) eyes. In those eyes with CNV, the automated segmentation identified CNV in 56% (33/59) of cases, continuous slab descent method identified CNV in 53% (31/59) of cases, and the manual segmentation group identified CNV in 92% (54/59) of cases.&lt;h4&gt;Conclusion&lt;/h4&gt;Review strategies for detection of CNV on OCTA were highest using the manual segmentation method as compared to both the automated report and continuous slab descent methods. Although the manual segmentation method had a higher rate of detection, the practical aspects of the time required for segmentation make this method challenging in routine clinical practice.","container-title":"Retina","DOI":"10.1097/iae.0000000000002443","journalAbbreviation":"Retina","page":"672-678","title":"IMPACT OF OPTICAL COHERENCE TOMOGRAPHY ANGIOGRAPHY REVIEW STRATEGY ON DETECTION OF CHOROIDAL NEOVASCULARIZATION.","author":[{"family":"Babiuch","given":"A."},{"family":"Uchida","given":"Atsuro"},{"family":"Figueiredo","given":"Natalia"},{"family":"Hu","given":"Ming"},{"family":"Khan","given":"Mehnaz"},{"family":"Srivastava","given":"S."},{"family":"Singh","given":"Rishi"},{"family":"Rachitskaya","given":"A."},{"family":"Kaiser","given":"P."},{"family":"Reese","given":"Jamie"},{"family":"Ehlers","given":"Justis"}],"issued":{"date-parts":[["2020"]]}}}],"schema":"https://github.com/citation-style-language/schema/raw/master/csl-citation.json"} </w:instrText>
      </w:r>
      <w:r w:rsidR="00F43092">
        <w:rPr>
          <w:rFonts w:ascii="Arial" w:hAnsi="Arial" w:cs="Arial"/>
        </w:rPr>
        <w:fldChar w:fldCharType="separate"/>
      </w:r>
      <w:r w:rsidR="00397FEA" w:rsidRPr="00397FEA">
        <w:rPr>
          <w:rFonts w:ascii="Arial" w:hAnsi="Arial" w:cs="Arial"/>
          <w:vertAlign w:val="superscript"/>
        </w:rPr>
        <w:t>7,13–15</w:t>
      </w:r>
      <w:r w:rsidR="00F43092">
        <w:rPr>
          <w:rFonts w:ascii="Arial" w:hAnsi="Arial" w:cs="Arial"/>
        </w:rPr>
        <w:fldChar w:fldCharType="end"/>
      </w:r>
      <w:r w:rsidRPr="005E5680">
        <w:rPr>
          <w:rFonts w:ascii="Arial" w:hAnsi="Arial" w:cs="Arial"/>
        </w:rPr>
        <w:t xml:space="preserve">. By algorithmically ensuring that the ROI boundary is confined to non-perfused tissue, the algorithm provides a more accurate and reproducible foundation for all subsequent calculations. </w:t>
      </w:r>
    </w:p>
    <w:p w14:paraId="07095659" w14:textId="77777777" w:rsidR="00FE6E93" w:rsidRDefault="00FE6E93" w:rsidP="00FF737C">
      <w:pPr>
        <w:spacing w:line="480" w:lineRule="auto"/>
        <w:rPr>
          <w:rFonts w:ascii="Arial" w:hAnsi="Arial" w:cs="Arial"/>
        </w:rPr>
      </w:pPr>
    </w:p>
    <w:p w14:paraId="348123CF" w14:textId="0FB357B2" w:rsidR="00FF737C" w:rsidRPr="00FF737C" w:rsidRDefault="00354CFD" w:rsidP="00FF737C">
      <w:pPr>
        <w:spacing w:line="480" w:lineRule="auto"/>
        <w:rPr>
          <w:rFonts w:ascii="Arial" w:hAnsi="Arial" w:cs="Arial"/>
        </w:rPr>
      </w:pPr>
      <w:r w:rsidRPr="005E5680">
        <w:rPr>
          <w:rFonts w:ascii="Arial" w:hAnsi="Arial" w:cs="Arial"/>
        </w:rPr>
        <w:t>Recent studies have underscored the utility of the Euler number as a reliable measure of network connectivity</w:t>
      </w:r>
      <w:r>
        <w:rPr>
          <w:rFonts w:ascii="Arial" w:hAnsi="Arial" w:cs="Arial"/>
        </w:rPr>
        <w:t xml:space="preserve"> </w:t>
      </w:r>
      <w:r>
        <w:rPr>
          <w:rFonts w:ascii="Arial" w:hAnsi="Arial" w:cs="Arial"/>
        </w:rPr>
        <w:fldChar w:fldCharType="begin"/>
      </w:r>
      <w:r w:rsidR="00397FEA">
        <w:rPr>
          <w:rFonts w:ascii="Arial" w:hAnsi="Arial" w:cs="Arial"/>
        </w:rPr>
        <w:instrText xml:space="preserve"> ADDIN ZOTERO_ITEM CSL_CITATION {"citationID":"oMDyzg4A","properties":{"unsorted":true,"formattedCitation":"\\super 16\\uc0\\u8211{}18\\nosupersub{}","plainCitation":"16–18","noteIndex":0},"citationItems":[{"id":1240,"uris":["http://zotero.org/users/2658636/items/CIBRN8BR"],"itemData":{"id":1240,"type":"article-journal","container-title":"Comput. Chem. Eng.","DOI":"10.1016/j.compchemeng.2021.107463","journalAbbreviation":"Comput. Chem. Eng.","page":"107463","title":"The Euler characteristic: A general topological descriptor for complex data","volume":"154","author":[{"family":"Smith","given":"Alexander"},{"family":"Zavala","given":"V."}],"issued":{"date-parts":[["2021",3,4]]}}},{"id":3701,"uris":["http://zotero.org/users/2658636/items/32PJCVKZ"],"itemData":{"id":3701,"type":"article-journal","abstract":"The lung parenchyma provides a maximal surface area of blood-containing capillaries that are in close contact with a large surface area of the air-containing alveoli. Volume and surface area of capillaries are the classic stereological parameters to characterize the alveolar capillary network (ACN) and have provided essential structure-function information of the lung. When loss (rarefaction) or gain (angiogenesis) of capillaries occurs, these parameters may not be sufficient to provide mechanistic insight. Therefore, it would be desirable to estimate the number of capillaries, as it contains more distinct and mechanistically oriented information. Here, we present a new stereological method to estimate the number of capillary loops in the ACN. One advantage of this method is that it is independent of the shape, size, or distribution of the capillaries. We used consecutive, 1 μm-thick sections from epoxy resin-embedded material as a physical disector. The Euler-Poincaré characteristic of capillary networks can be estimated by counting the easily recognizable topological constellations of \"islands,\" \"bridges,\" and \"holes.\" The total number of capillary loops in the ACN can then be calculated from the Euler-Poincaré characteristic. With the use of the established estimator of alveolar number, it is possible to obtain the mean number of capillary loops per alveolus. In conclusion, estimation of alveolar capillaries by design-based stereology is an efficient and unbiased method to characterize the ACN and may be particularly useful for studies on emphysema, pulmonary hypertension, or lung development.","archive":"PMID","archive_location":"26432874","container-title":"American journal of physiology. Lung cellular and molecular physiology","DOI":"10.1152/ajplung.00410.2014","issue":"11","page":"L1286-93","source":"PubMed","title":"Estimation of the number of alveolar capillaries by the Euler number (Euler-Poincaré characteristic).","volume":"309","author":[{"family":"Willführ","given":"A"},{"family":"Brandenberger","given":"C"},{"family":"Piatkowski","given":"T"},{"family":"Grothausmann","given":"R"},{"family":"Nyengaard","given":"JR"},{"family":"Ochs","given":"M"},{"family":"Mühlfeld","given":"C"}],"issued":{"date-parts":[["2015"]]}}},{"id":1238,"uris":["http://zotero.org/users/2658636/items/APIE5HGN"],"itemData":{"id":1238,"type":"article-journal","abstract":"Functional brain networks are often constructed by quantifying correlations among brain regions. Their topological structure includes nodes, edges, triangles and even higher-dimensional objects. Topological data analysis (TDA) is the emerging framework to process datasets under this perspective. In parallel, topology has proven essential for understanding fundamental questions in physics. Here we report the discovery of topological phase transitions in functional brain networks by merging concepts from TDA, topology, geometry, physics, and network theory. We show that topological phase transitions occur when the Euler entropy has a singularity, which remarkably coincides with the emergence of multidimensional topological holes in the brain network. Our results suggest that a major alteration in the pattern of brain correlations can modify the signature of such transitions, and may point to suboptimal brain functioning. Due to the universal character of phase transitions and noise robustness of TDA, our findings open perspectives towards establishing reliable topological and geometrical biomarkers of individual and group differences in functional brain network organization.","container-title":"bioRxiv","DOI":"10.1101/469478","journalAbbreviation":"bioRxiv","title":"Topological phase transitions in functional brain networks","URL":"https://consensus.app/papers/topological-phase-transitions-in-functional-brain-santos-raposo/c4ad4306ac905c6a9b4eba79ec574dc6/","author":[{"family":"Santos","given":"F."},{"family":"Raposo","given":"E."},{"family":"Coutinho-Filho","given":"M."},{"family":"Copelli","given":"M."},{"family":"Stam","given":"C."},{"family":"Douw","given":"L."}],"issued":{"date-parts":[["2018"]]}}}],"schema":"https://github.com/citation-style-language/schema/raw/master/csl-citation.json"} </w:instrText>
      </w:r>
      <w:r>
        <w:rPr>
          <w:rFonts w:ascii="Arial" w:hAnsi="Arial" w:cs="Arial"/>
        </w:rPr>
        <w:fldChar w:fldCharType="separate"/>
      </w:r>
      <w:r w:rsidR="00397FEA" w:rsidRPr="00397FEA">
        <w:rPr>
          <w:rFonts w:ascii="Arial" w:hAnsi="Arial" w:cs="Arial"/>
          <w:vertAlign w:val="superscript"/>
        </w:rPr>
        <w:t>16–18</w:t>
      </w:r>
      <w:r>
        <w:rPr>
          <w:rFonts w:ascii="Arial" w:hAnsi="Arial" w:cs="Arial"/>
        </w:rPr>
        <w:fldChar w:fldCharType="end"/>
      </w:r>
      <w:r w:rsidRPr="005E5680">
        <w:rPr>
          <w:rFonts w:ascii="Arial" w:hAnsi="Arial" w:cs="Arial"/>
        </w:rPr>
        <w:t xml:space="preserve">. </w:t>
      </w:r>
      <w:r w:rsidRPr="00714AE6">
        <w:rPr>
          <w:rFonts w:ascii="Arial" w:hAnsi="Arial" w:cs="Arial"/>
        </w:rPr>
        <w:t>The Euler number quantifies loop formation within a network, where increasingly negative values denote higher connectivity and structural complexity.</w:t>
      </w:r>
      <w:r>
        <w:rPr>
          <w:rFonts w:ascii="Arial" w:hAnsi="Arial" w:cs="Arial"/>
        </w:rPr>
        <w:t xml:space="preserve"> </w:t>
      </w:r>
      <w:r w:rsidR="00817FFB">
        <w:rPr>
          <w:rFonts w:ascii="Arial" w:hAnsi="Arial" w:cs="Arial"/>
        </w:rPr>
        <w:t xml:space="preserve">We adopted </w:t>
      </w:r>
      <w:r w:rsidR="005E5680" w:rsidRPr="005E5680">
        <w:rPr>
          <w:rFonts w:ascii="Arial" w:hAnsi="Arial" w:cs="Arial"/>
        </w:rPr>
        <w:t>the Euler number and loop count</w:t>
      </w:r>
      <w:r w:rsidR="007E6843">
        <w:rPr>
          <w:rFonts w:ascii="Arial" w:hAnsi="Arial" w:cs="Arial"/>
        </w:rPr>
        <w:t xml:space="preserve"> </w:t>
      </w:r>
      <w:r w:rsidR="005E5680" w:rsidRPr="005E5680">
        <w:rPr>
          <w:rFonts w:ascii="Arial" w:hAnsi="Arial" w:cs="Arial"/>
        </w:rPr>
        <w:t>as core elements of the Vascular Complexity Score</w:t>
      </w:r>
      <w:r w:rsidR="00D212EE">
        <w:rPr>
          <w:rFonts w:ascii="Arial" w:hAnsi="Arial" w:cs="Arial"/>
        </w:rPr>
        <w:t xml:space="preserve"> because t</w:t>
      </w:r>
      <w:r w:rsidR="005E5680" w:rsidRPr="005E5680">
        <w:rPr>
          <w:rFonts w:ascii="Arial" w:hAnsi="Arial" w:cs="Arial"/>
        </w:rPr>
        <w:t>hese metrics offer a robust framework to quantify the connectivity and structural organization of MNV</w:t>
      </w:r>
      <w:r w:rsidR="00AE7832">
        <w:rPr>
          <w:rFonts w:ascii="Arial" w:hAnsi="Arial" w:cs="Arial"/>
        </w:rPr>
        <w:t>.</w:t>
      </w:r>
      <w:r>
        <w:rPr>
          <w:rFonts w:ascii="Arial" w:hAnsi="Arial" w:cs="Arial"/>
        </w:rPr>
        <w:t xml:space="preserve"> </w:t>
      </w:r>
      <w:r w:rsidR="00B04821">
        <w:rPr>
          <w:rFonts w:ascii="Arial" w:hAnsi="Arial" w:cs="Arial"/>
        </w:rPr>
        <w:t>For example, i</w:t>
      </w:r>
      <w:r w:rsidR="005E5680" w:rsidRPr="005E5680">
        <w:rPr>
          <w:rFonts w:ascii="Arial" w:hAnsi="Arial" w:cs="Arial"/>
        </w:rPr>
        <w:t>mmature neovascularization, driven by active angiogenesis, manifests as a dense, highly interconnected, and often chaotic plexus of fine capillaries forming a reticulated or honeycomb-like pattern</w:t>
      </w:r>
      <w:r w:rsidR="006C2013">
        <w:rPr>
          <w:rFonts w:ascii="Arial" w:hAnsi="Arial" w:cs="Arial"/>
        </w:rPr>
        <w:fldChar w:fldCharType="begin"/>
      </w:r>
      <w:r w:rsidR="00397FEA">
        <w:rPr>
          <w:rFonts w:ascii="Arial" w:hAnsi="Arial" w:cs="Arial"/>
        </w:rPr>
        <w:instrText xml:space="preserve"> ADDIN ZOTERO_ITEM CSL_CITATION {"citationID":"w93Tfhtt","properties":{"unsorted":false,"formattedCitation":"\\super 19\\nosupersub{}","plainCitation":"19","noteIndex":0},"citationItems":[{"id":2309,"uris":["http://zotero.org/users/2658636/items/N3LDW6VU"],"itemData":{"id":2309,"type":"article-journal","abstract":"Tumor blood vessels are a key target for cancer therapeutic management. Tumor cells secrete high levels of pro-angiogenic factors which contribute to the creation of an abnormal vascular network characterized by disorganized, immature and permeable blood vessels, resulting in poorly perfused tumors. The hypoxic microenvironment created by impaired tumor perfusion can promote the selection of more invasive and aggressive tumor cells and can also impede the tumor-killing action of immune cells. Furthermore, abnormal tumor perfusion also reduces the diffusion of chemotherapeutic drugs and radiotherapy efficiency. To fight against this defective phenotype, the normalization of the tumor vasculature has emerged as a new therapeutic strategy. Vascular normalization, by restoring proper tumor perfusion and oxygenation, could limit tumor cell invasiveness and improve the effectiveness of anticancer treatments. In this review, we investigate the mechanisms involved in tumor angiogenesis and describe strategies used to achieve vascular normalization.","container-title":"Angiogenesis","DOI":"10.1007/s10456-017-9562-9","ISSN":"15737209","issue":"4","page":"409-426","PMID":"28660302","title":"Tumor angiogenesis and vascular normalization: alternative therapeutic targets","volume":"20","author":[{"family":"Viallard","given":"Claire"},{"family":"Larrivée","given":"Bruno"}],"issued":{"date-parts":[["2017"]]}}}],"schema":"https://github.com/citation-style-language/schema/raw/master/csl-citation.json"} </w:instrText>
      </w:r>
      <w:r w:rsidR="006C2013">
        <w:rPr>
          <w:rFonts w:ascii="Arial" w:hAnsi="Arial" w:cs="Arial"/>
        </w:rPr>
        <w:fldChar w:fldCharType="separate"/>
      </w:r>
      <w:r w:rsidR="00397FEA" w:rsidRPr="00397FEA">
        <w:rPr>
          <w:rFonts w:ascii="Arial" w:hAnsi="Arial" w:cs="Arial"/>
          <w:vertAlign w:val="superscript"/>
        </w:rPr>
        <w:t>19</w:t>
      </w:r>
      <w:r w:rsidR="006C2013">
        <w:rPr>
          <w:rFonts w:ascii="Arial" w:hAnsi="Arial" w:cs="Arial"/>
        </w:rPr>
        <w:fldChar w:fldCharType="end"/>
      </w:r>
      <w:r w:rsidR="005E5680" w:rsidRPr="005E5680">
        <w:rPr>
          <w:rFonts w:ascii="Arial" w:hAnsi="Arial" w:cs="Arial"/>
        </w:rPr>
        <w:t>. Euler number from the skeletonized MNV</w:t>
      </w:r>
      <w:r w:rsidR="00EC60BE">
        <w:rPr>
          <w:rFonts w:ascii="Arial" w:hAnsi="Arial" w:cs="Arial"/>
        </w:rPr>
        <w:t xml:space="preserve"> </w:t>
      </w:r>
      <w:r w:rsidR="005E5680" w:rsidRPr="005E5680">
        <w:rPr>
          <w:rFonts w:ascii="Arial" w:hAnsi="Arial" w:cs="Arial"/>
        </w:rPr>
        <w:t>provid</w:t>
      </w:r>
      <w:r w:rsidR="00EC60BE">
        <w:rPr>
          <w:rFonts w:ascii="Arial" w:hAnsi="Arial" w:cs="Arial"/>
        </w:rPr>
        <w:t>es</w:t>
      </w:r>
      <w:r w:rsidR="005E5680" w:rsidRPr="005E5680">
        <w:rPr>
          <w:rFonts w:ascii="Arial" w:hAnsi="Arial" w:cs="Arial"/>
        </w:rPr>
        <w:t xml:space="preserve"> a direct, quantitative biomarker of its mesh-like state</w:t>
      </w:r>
      <w:r w:rsidR="00320E6F">
        <w:rPr>
          <w:rFonts w:ascii="Arial" w:hAnsi="Arial" w:cs="Arial"/>
        </w:rPr>
        <w:t xml:space="preserve"> - a</w:t>
      </w:r>
      <w:r w:rsidR="005E5680" w:rsidRPr="005E5680">
        <w:rPr>
          <w:rFonts w:ascii="Arial" w:hAnsi="Arial" w:cs="Arial"/>
        </w:rPr>
        <w:t xml:space="preserve"> highly negative Euler number, in conjunction with an elevated loop count, strongly indicates an immature, actively proliferating, and potentially treatment-responsive lesion.</w:t>
      </w:r>
      <w:r w:rsidR="00B04821">
        <w:rPr>
          <w:rFonts w:ascii="Arial" w:hAnsi="Arial" w:cs="Arial"/>
        </w:rPr>
        <w:t xml:space="preserve"> </w:t>
      </w:r>
      <w:r w:rsidR="00B04821" w:rsidRPr="00FF737C">
        <w:rPr>
          <w:rFonts w:ascii="Arial" w:hAnsi="Arial" w:cs="Arial"/>
        </w:rPr>
        <w:t xml:space="preserve">Active MNV is </w:t>
      </w:r>
      <w:r w:rsidR="00B04821">
        <w:rPr>
          <w:rFonts w:ascii="Arial" w:hAnsi="Arial" w:cs="Arial"/>
        </w:rPr>
        <w:t xml:space="preserve">also </w:t>
      </w:r>
      <w:r w:rsidR="00B04821" w:rsidRPr="00FF737C">
        <w:rPr>
          <w:rFonts w:ascii="Arial" w:hAnsi="Arial" w:cs="Arial"/>
        </w:rPr>
        <w:t xml:space="preserve">characterized by a highly complex and densely interconnected vascular architecture consistent with ongoing angiogenesis. </w:t>
      </w:r>
      <w:r w:rsidR="006C4A95">
        <w:rPr>
          <w:rFonts w:ascii="Arial" w:hAnsi="Arial" w:cs="Arial"/>
        </w:rPr>
        <w:t xml:space="preserve">As such </w:t>
      </w:r>
      <w:r w:rsidR="00FF737C" w:rsidRPr="00FF737C">
        <w:rPr>
          <w:rFonts w:ascii="Arial" w:hAnsi="Arial" w:cs="Arial"/>
        </w:rPr>
        <w:t>a markedly negative Euler number reflect</w:t>
      </w:r>
      <w:r w:rsidR="00F8089A">
        <w:rPr>
          <w:rFonts w:ascii="Arial" w:hAnsi="Arial" w:cs="Arial"/>
        </w:rPr>
        <w:t>s</w:t>
      </w:r>
      <w:r w:rsidR="00FF737C" w:rsidRPr="00FF737C">
        <w:rPr>
          <w:rFonts w:ascii="Arial" w:hAnsi="Arial" w:cs="Arial"/>
        </w:rPr>
        <w:t xml:space="preserve"> extensive vascular connectivity and numerous loop formations. Clinically, this configuration corresponds to active disease requiring treatment and is </w:t>
      </w:r>
      <w:r w:rsidR="00FF737C" w:rsidRPr="00FF737C">
        <w:rPr>
          <w:rFonts w:ascii="Arial" w:hAnsi="Arial" w:cs="Arial"/>
        </w:rPr>
        <w:lastRenderedPageBreak/>
        <w:t>typically associated with a favorable response to anti-VEGF therapy.</w:t>
      </w:r>
    </w:p>
    <w:p w14:paraId="0B69BB29" w14:textId="77777777" w:rsidR="00D212EE" w:rsidRPr="00B074AC" w:rsidRDefault="00D212EE" w:rsidP="00FF737C">
      <w:pPr>
        <w:spacing w:line="480" w:lineRule="auto"/>
        <w:rPr>
          <w:rFonts w:ascii="Arial" w:hAnsi="Arial" w:cs="Arial"/>
        </w:rPr>
      </w:pPr>
    </w:p>
    <w:p w14:paraId="0DE6E758" w14:textId="30C24B6D" w:rsidR="00FF737C" w:rsidRPr="006000B3" w:rsidRDefault="006000B3" w:rsidP="00FF737C">
      <w:pPr>
        <w:spacing w:line="480" w:lineRule="auto"/>
        <w:rPr>
          <w:rFonts w:ascii="Arial" w:hAnsi="Arial" w:cs="Arial"/>
        </w:rPr>
      </w:pPr>
      <w:r w:rsidRPr="006000B3">
        <w:rPr>
          <w:rFonts w:ascii="Arial" w:hAnsi="Arial" w:cs="Arial"/>
        </w:rPr>
        <w:t>Terms such as “dead tree,” “tree in bud,” “medusa,” “sea fan,” and “glomerular” have previously been applied in a primarily descriptive and subjective manner</w:t>
      </w:r>
      <w:r w:rsidR="001B4F57">
        <w:rPr>
          <w:rFonts w:ascii="Arial" w:hAnsi="Arial" w:cs="Arial"/>
        </w:rPr>
        <w:t xml:space="preserve"> </w:t>
      </w:r>
      <w:r w:rsidR="001B4F57">
        <w:rPr>
          <w:rFonts w:ascii="Arial" w:hAnsi="Arial" w:cs="Arial"/>
        </w:rPr>
        <w:fldChar w:fldCharType="begin"/>
      </w:r>
      <w:r w:rsidR="00397FEA">
        <w:rPr>
          <w:rFonts w:ascii="Arial" w:hAnsi="Arial" w:cs="Arial"/>
        </w:rPr>
        <w:instrText xml:space="preserve"> ADDIN ZOTERO_ITEM CSL_CITATION {"citationID":"Srzfa4l5","properties":{"unsorted":true,"formattedCitation":"\\super 20\\uc0\\u8211{}22\\nosupersub{}","plainCitation":"20–22","noteIndex":0},"citationItems":[{"id":4162,"uris":["http://zotero.org/users/2658636/items/7Z9T5X4D"],"itemData":{"id":4162,"type":"article-journal","abstract":"BACKGROUND: Optical coherence tomography angiography (OCTA) is an advanced imaging modality that provides high resolution images at the level of different retinal layers. This study aime to evaluate choroidal neovascular membranes (CNVMs) secondary to age-related macular degeneration (AMD) quantitatively and qualitatively, according to their classification, morphological features, and flow areas, using OCTA.\nMETHODS: In this descriptive, comparative, cross-sectional study, CNVMs were divided into 2 groups according to their classification as type 1 or type 2 neovascularization. Mied CNVMs were excluded from the study. The size (mm2) and the flow area (mm2) of the CNVMs were calculated via OCTA and the presence of the perivascular halo and loop anastomoses were analyzed. The morphological appearance of the CNVMs were classified as: medusa, sea-fan, lacy-wheel, glomerular, dead tree, and mature vascular networks.\nRESULTS: Of the 85 eyes assessed for eligibility, 45 eyes of 34 individuals with CNVM were enrolled in this retrospective study. Twenty-eight eyes had type 1 and 17 eyes had type 2 CNVMs. The mean size and flow area were greater in type 1 than in type 2 CNVMs (mean [standard deviation], 6.69 [4.54] and 3.61 [3.56] mm2 versus 3.04 [1.98] and 1.77 [1.62] mm2; P = 0.044 and 0.046, respectively). Among the 22 eyes with type 1 CNVMs and the 9 eyes with type 2 CNVMs, 31 eyes had exudative membranes. Among the eyes with exudative CNVMs, 22 eyes had a perivascular halo and 22 eyes had loop anastomoses; this was significantly more than in the non-exudative eyes (P = 0.042 and 0.041, respectively). The lacy-wheel (38.7%) and dead tree (71.4%) patterns were the most frequent morphological appearance of the CNVMs in the exudative and non-exudative membranes, respectively.\nCONCLUSIONS: OCTA provides objective documantation about CNVMs. A perivascular dark halo around CNVMs could be a criterion to define exudative membranes activity.","container-title":"Medical Hypothesis, Discovery &amp; Innovation Ophthalmology Journal","DOI":"10.51329/mehdiophthal1423","ISSN":"2322-3219","issue":"2","journalAbbreviation":"Med Hypothesis Discov Innov Ophthalmol","language":"eng","page":"67-73","PMID":"37641611","PMCID":"PMC10460227","source":"PubMed","title":"Comparison of optical coherence tomography angiography features in type 1 versus type 2 choroidal neovascular membranes secondary to age-related macular degeneration","volume":"10","author":[{"family":"Goker","given":"Yasin Sakir"},{"family":"Demir","given":"Gokhan"}],"issued":{"date-parts":[["2021"]]}}},{"id":4159,"uris":["http://zotero.org/users/2658636/items/ZX5I9ZKJ"],"itemData":{"id":4159,"type":"article-journal","abstract":"The present study aimed to examine the optical coherence tomography angiography (OCTA) parameters associated with macular neovascularization (MNV) in patients diagnosed with neovascular age-related macular degeneration (nAMD) and treated with either intravitreal conbercept (IVC) or ranibizumab (IVR). It enrolled 39 nAMD patients presenting with MNV, including 23 in the IVC group and 16 in the IVR group. All participants were treatment-naïve with intravitreal therapy and they underwent treatment following a '3+PRN' regimen. The MNV patterns identified through OCTA were categorized as Medusa, tangled, seafan and other variations. Key outcome measures encompassed best-corrected visual acuity (BCVA), MNV vascular area (MNV-VA), MNV vascular density (MNV-VD) ratio and central macular thickness (CMT). In the present study, 44 eyes were included, with 28 eyes undergoing treatment with IVC and 18 eyes with IVR. On day 90, there was a statistically significant improvement in mean BCVA from baseline among all patients treated with IVC (P=0.002). Notably, improved outcomes were observed in those with the 'tangled' pattern compared with the other three patterns (P=0.007). CMT exhibited a significant decrease from baseline (P=0.007), with consistent improvement observed across all four patterns (P=0.052) on day 90. The mean MNV-VA decreased in all patients, reaching statistical significance for the Medusa pattern (P=0.008), although the improvement in visual acuity was deemed unsatisfactory. Patients with the seafan pattern treated with IVR improved significantly in BCVA (P=0.042). The mean CMT significantly improved from baseline (P=0.001), consistent across the four patterns (P=0.114). Significant improvements were noted in the mean MNV-VA for the seafan pattern and in the mean MNV-VD ratio for the other patterns. The two regimens had no significant differences regarding BCVA, CMT, and MNV parameters. Conbercept emerged as a viable treatment option for patients presenting with tangled MNV patterns. On the other hand, ranibizumab might be considered an effective intervention for individuals with seafan MNV patterns. Notably, the Medusa MNV pattern was associated with a morphologic configuration indicative of a poor prognosis.","container-title":"Experimental and Therapeutic Medicine","DOI":"10.3892/etm.2024.12501","ISSN":"1792-1015","issue":"5","journalAbbreviation":"Exp Ther Med","language":"eng","page":"214","PMID":"38590577","PMCID":"PMC11000451","source":"PubMed","title":"Comparative quantitative analysis of optical coherence tomography angiography in varied morphologies of macular neovascularization following intravitreal conbercept and ranibizumab treatments for neovascular age</w:instrText>
      </w:r>
      <w:r w:rsidR="00397FEA">
        <w:rPr>
          <w:rFonts w:ascii="Cambria Math" w:hAnsi="Cambria Math" w:cs="Cambria Math"/>
        </w:rPr>
        <w:instrText>‑</w:instrText>
      </w:r>
      <w:r w:rsidR="00397FEA">
        <w:rPr>
          <w:rFonts w:ascii="Arial" w:hAnsi="Arial" w:cs="Arial"/>
        </w:rPr>
        <w:instrText xml:space="preserve">related macular degeneration","volume":"27","author":[{"family":"Li","given":"Jing"},{"family":"Yang","given":"Zhufang"},{"family":"Li","given":"Xueying"},{"family":"Li","given":"Di"},{"family":"Yang","given":"Jin"},{"family":"Dang","given":"Meijia"}],"issued":{"date-parts":[["2024",5]]}}},{"id":4165,"uris":["http://zotero.org/users/2658636/items/J35APUIN"],"itemData":{"id":4165,"type":"article-journal","abstract":"Importance The clinical implications of different morphologies of choroidal neovascularization (CNV), as evaluated by ocular coherence tomography angiography (OCTA) in neovascular age-related macular degeneration (nAMD), are lacking. Background To describe the morphology of CNV in nAMD using OCTA, and to compare the visual prognosis and other structural OCT biomarkers between different morphologic patterns. Design Retrospective cohort study. Participants One hundred and forty eyes with nAMD treated with anti-vascular endothelial growth factor (VEGF). Methods Patients were examined using OCTA prior to and at 3, 6 and 12 months after receiving anti-VEGF therapy. Main Outcome Measures Best-corrected visual acuity (BCVA) and morphologic retinal features. Results Organized CNV was identified in 110/140 eyes (78.6%) using OCTA. These CNV complexes could be divided into three OCTA patterns: the ‘medusa’ pattern (n = 41), characterized by branching vessels radiating in all directions; the ‘seafan’ pattern (n = 43), characterized by branching vessels radiating to one side of the lesion; and the ‘tangled’ pattern (n = 26), characterized by globular entwined vessels without a main trunk. At baseline, the eyes with the tangled pattern were from younger patients (P = .031) with better BCVA (P = .007). There were also fewer intraretinal cysts (P = .021), less fibrovascular pigment epithelial detachment (P = .009), and more pachychoroid (P = .007) in eyes with the tangled pattern on OCT. At 12 months post-treatment, patients with the tangled CNV pattern also showed greater visual improvement than patients with the other two patterns (P = .049). Conclusions and Relevance Using OCTA, distinct morphologies of CNV in nAMD patients were identified. These different patterns might be useful predictors for the prognosis of nAMD patients after anti-VEGF therapy.","container-title":"Clinical &amp; Experimental Ophthalmology","DOI":"10.1111/ceo.13797","ISSN":"1442-9071","issue":"7","language":"en","license":"© 2020 Royal Australian and New Zealand College of Ophthalmologists","note":"_eprint: https://onlinelibrary.wiley.com/doi/pdf/10.1111/ceo.13797","page":"927-937","source":"Wiley Online Library","title":"Comparison of different morphologies of choroidal neovascularization evaluated by ocular coherence tomography angiography in age-related macular degeneration","volume":"48","author":[{"family":"Tew","given":"Teck Boon"},{"family":"Lai","given":"Tso-Ting"},{"family":"Hsieh","given":"Yi-Ting"},{"family":"Ho","given":"Tzyy-Chang"},{"family":"Yang","given":"Chung-May"},{"family":"Yang","given":"Chang-Hao"}],"issued":{"date-parts":[["2020"]]}}}],"schema":"https://github.com/citation-style-language/schema/raw/master/csl-citation.json"} </w:instrText>
      </w:r>
      <w:r w:rsidR="001B4F57">
        <w:rPr>
          <w:rFonts w:ascii="Arial" w:hAnsi="Arial" w:cs="Arial"/>
        </w:rPr>
        <w:fldChar w:fldCharType="separate"/>
      </w:r>
      <w:r w:rsidR="00397FEA" w:rsidRPr="00397FEA">
        <w:rPr>
          <w:rFonts w:ascii="Arial" w:hAnsi="Arial" w:cs="Arial"/>
          <w:vertAlign w:val="superscript"/>
        </w:rPr>
        <w:t>20–22</w:t>
      </w:r>
      <w:r w:rsidR="001B4F57">
        <w:rPr>
          <w:rFonts w:ascii="Arial" w:hAnsi="Arial" w:cs="Arial"/>
        </w:rPr>
        <w:fldChar w:fldCharType="end"/>
      </w:r>
      <w:r w:rsidRPr="006000B3">
        <w:rPr>
          <w:rFonts w:ascii="Arial" w:hAnsi="Arial" w:cs="Arial"/>
        </w:rPr>
        <w:t>. In contrast, the proposed framework provides operational definitions for these lesion phenotypes. Lesions corresponding to the “dead tree” pattern are characterized in this system by large</w:t>
      </w:r>
      <w:r w:rsidRPr="006000B3">
        <w:rPr>
          <w:rFonts w:ascii="Arial" w:hAnsi="Arial" w:cs="Arial"/>
        </w:rPr>
        <w:noBreakHyphen/>
        <w:t xml:space="preserve">caliber trunk vessels with limited fine branching, high Vascular Stability Scores, low junction density, and </w:t>
      </w:r>
      <w:proofErr w:type="gramStart"/>
      <w:r w:rsidRPr="006000B3">
        <w:rPr>
          <w:rFonts w:ascii="Arial" w:hAnsi="Arial" w:cs="Arial"/>
        </w:rPr>
        <w:t>an</w:t>
      </w:r>
      <w:proofErr w:type="gramEnd"/>
      <w:r w:rsidRPr="006000B3">
        <w:rPr>
          <w:rFonts w:ascii="Arial" w:hAnsi="Arial" w:cs="Arial"/>
        </w:rPr>
        <w:t xml:space="preserve"> Euler number approaching zero, indicating loop loss and network simplification consistent with nonexudative, low</w:t>
      </w:r>
      <w:r w:rsidRPr="006000B3">
        <w:rPr>
          <w:rFonts w:ascii="Arial" w:hAnsi="Arial" w:cs="Arial"/>
        </w:rPr>
        <w:noBreakHyphen/>
        <w:t>angiogenic MNV. Medusa and glomerular patterns, both reflecting dense, high</w:t>
      </w:r>
      <w:r w:rsidRPr="006000B3">
        <w:rPr>
          <w:rFonts w:ascii="Arial" w:hAnsi="Arial" w:cs="Arial"/>
        </w:rPr>
        <w:noBreakHyphen/>
        <w:t>flow vascular networks, are represented as highly complex, loop</w:t>
      </w:r>
      <w:r w:rsidRPr="006000B3">
        <w:rPr>
          <w:rFonts w:ascii="Arial" w:hAnsi="Arial" w:cs="Arial"/>
        </w:rPr>
        <w:noBreakHyphen/>
        <w:t xml:space="preserve">rich configurations occupying the upper range of the Vascular Complexity Score, while remaining distinguishable based on differences in trunk distribution and junction density. By expressing both stabilization and </w:t>
      </w:r>
      <w:proofErr w:type="spellStart"/>
      <w:r w:rsidRPr="006000B3">
        <w:rPr>
          <w:rFonts w:ascii="Arial" w:hAnsi="Arial" w:cs="Arial"/>
        </w:rPr>
        <w:t>arteriolarization</w:t>
      </w:r>
      <w:proofErr w:type="spellEnd"/>
      <w:r w:rsidRPr="006000B3">
        <w:rPr>
          <w:rFonts w:ascii="Arial" w:hAnsi="Arial" w:cs="Arial"/>
        </w:rPr>
        <w:t xml:space="preserve"> in quantitative terms and demonstrating that the corresponding scores converge across acquisition protocols, this framework recasts qualitative pattern labels as reproducible, cross</w:t>
      </w:r>
      <w:r w:rsidRPr="006000B3">
        <w:rPr>
          <w:rFonts w:ascii="Arial" w:hAnsi="Arial" w:cs="Arial"/>
        </w:rPr>
        <w:noBreakHyphen/>
        <w:t>device measurable states that separate benign remodeling from treatment</w:t>
      </w:r>
      <w:r w:rsidRPr="006000B3">
        <w:rPr>
          <w:rFonts w:ascii="Arial" w:hAnsi="Arial" w:cs="Arial"/>
        </w:rPr>
        <w:noBreakHyphen/>
        <w:t>resistant vascular transformation and refine prognostic interpretation.</w:t>
      </w:r>
    </w:p>
    <w:p w14:paraId="420178E5" w14:textId="77777777" w:rsidR="00664ADC" w:rsidRDefault="00664ADC" w:rsidP="00FF737C">
      <w:pPr>
        <w:spacing w:line="480" w:lineRule="auto"/>
        <w:rPr>
          <w:rFonts w:ascii="Arial" w:hAnsi="Arial" w:cs="Arial"/>
        </w:rPr>
      </w:pPr>
    </w:p>
    <w:p w14:paraId="6E45E4FF" w14:textId="455C5558" w:rsidR="00FF737C" w:rsidRPr="00FF737C" w:rsidRDefault="00664ADC" w:rsidP="00FF737C">
      <w:pPr>
        <w:spacing w:line="480" w:lineRule="auto"/>
        <w:rPr>
          <w:rFonts w:ascii="Arial" w:hAnsi="Arial" w:cs="Arial"/>
        </w:rPr>
      </w:pPr>
      <w:r>
        <w:rPr>
          <w:rFonts w:ascii="Arial" w:hAnsi="Arial" w:cs="Arial"/>
        </w:rPr>
        <w:t>L</w:t>
      </w:r>
      <w:r w:rsidR="006000B3">
        <w:rPr>
          <w:rFonts w:ascii="Arial" w:hAnsi="Arial" w:cs="Arial"/>
        </w:rPr>
        <w:t>ast</w:t>
      </w:r>
      <w:r w:rsidR="00FF737C" w:rsidRPr="00FF737C">
        <w:rPr>
          <w:rFonts w:ascii="Arial" w:hAnsi="Arial" w:cs="Arial"/>
        </w:rPr>
        <w:t>ly, our work addresses a long-standing terminological ambiguity in the MNV literature. Terms such as “maturation,” “arterialization,” and “</w:t>
      </w:r>
      <w:proofErr w:type="spellStart"/>
      <w:r w:rsidR="00FF737C" w:rsidRPr="00FF737C">
        <w:rPr>
          <w:rFonts w:ascii="Arial" w:hAnsi="Arial" w:cs="Arial"/>
        </w:rPr>
        <w:t>abnormalization</w:t>
      </w:r>
      <w:proofErr w:type="spellEnd"/>
      <w:r w:rsidR="00FF737C" w:rsidRPr="00FF737C">
        <w:rPr>
          <w:rFonts w:ascii="Arial" w:hAnsi="Arial" w:cs="Arial"/>
        </w:rPr>
        <w:t xml:space="preserve">” have been used inconsistently and at times interchangeably </w:t>
      </w:r>
      <w:r w:rsidR="00D743CF">
        <w:rPr>
          <w:rFonts w:ascii="Arial" w:hAnsi="Arial" w:cs="Arial"/>
        </w:rPr>
        <w:fldChar w:fldCharType="begin"/>
      </w:r>
      <w:r w:rsidR="00397FEA">
        <w:rPr>
          <w:rFonts w:ascii="Arial" w:hAnsi="Arial" w:cs="Arial"/>
        </w:rPr>
        <w:instrText xml:space="preserve"> ADDIN ZOTERO_ITEM CSL_CITATION {"citationID":"0CkfRTZA","properties":{"unsorted":false,"formattedCitation":"\\super 23\\uc0\\u8211{}25\\nosupersub{}","plainCitation":"23–25","noteIndex":0},"citationItems":[{"id":2274,"uris":["http://zotero.org/users/2658636/items/VZKYXVT6"],"itemData":{"id":2274,"type":"article-journal","abstract":"Intravitreal anti-vascular endothelial growth factor (VEGF) drugs have revolutionized the treatment of neovascular age-related macular degeneration (NVAMD). However, many patients suffer from incomplete response to anti-VEGF therapy (IRT), which is defined as (1) persistent (plasma) fluid exudation; (2) unresolved or new hemorrhage; (3) progressive lesion fibrosis; and/or (4) suboptimal vision recovery. The first three of these collectively comprise the problem of persistent disease activity (PDA) in spite of anti-VEGF therapy. Meanwhile, the problem of suboptimal vision recovery (SVR) is defined as a failure to achieve excellent functional visual acuity of 20/40 or better in spite of sufficient anti-VEGF treatment. Thus, incomplete response to anti-VEGF therapy, and specifically PDA and SVR, represent significant clinical unmet needs. In this review, we will explore PDA and SVR in NVAMD, characterizing the clinical manifestations and exploring the pathobiology of each. We will demonstrate that PDA occurs most frequently in NVAMD patients who develop high-flow CNV lesions with arteriolarization, in contrast to patients with capillary CNV who are highly responsive to anti-VEGF therapy. We will review investigations of experimental CNV and demonstrate that both types of CNV can be modeled in mice. We will present and consider a provocative hypothesis: formation of arteriolar CNV occurs via a distinct pathobiology, termed neovascular remodeling (NVR), wherein blood-derived macrophages infiltrate the incipient CNV lesion, recruit bone marrow-derived mesenchymal precursor cells (MPCs) from the circulation, and activate MPCs to become vascular smooth muscle cells (VSMCs) and myofibroblasts, driving the development of high-flow CNV with arteriolarization and perivascular fibrosis. In considering SVR, we will discuss the concept that limited or poor vision in spite of anti-VEGF may not be caused simply by photoreceptor degeneration but instead may be associated with photoreceptor synaptic dysfunction in the neurosensory retina overlying CNV, triggered by infiltrating blood-derived macrophages and mediated by Müller cell activation Finally, for each of PDA and SVR, we will discuss current approaches to disease management and treatment and consider novel avenues for potential future therapies.","container-title":"Progress in Retinal and Eye Research","DOI":"10.1016/j.preteyeres.2020.100906","ISSN":"18731635","issue":"September 2020","page":"100906","PMID":"33022379","publisher":"Elsevier Ltd","title":"Incomplete response to Anti-VEGF therapy in neovascular AMD: Exploring disease mechanisms and therapeutic opportunities.","volume":"82","author":[{"family":"Mettu","given":"Priyatham S."},{"family":"Allingham","given":"Michael J."},{"family":"Cousins","given":"Scott W."}],"issued":{"date-parts":[["2021"]]}}},{"id":1216,"uris":["http://zotero.org/users/2658636/items/ISRX9CP5"],"itemData":{"id":1216,"type":"article-journal","abstract":"Age-related macular degeneration (AMD) is a leading cause of blindness among older individuals, and its prevalence is rapidly increasing due to the aging population. Choroidal neovascularization (CNV) or wet AMD, which accounts for 10%-20% of all AMD cases, is responsible for an alarming 80%-90% of AMD-related blindness. Current anti-VEGF therapies show suboptimal responses in approximately 50% of patients. Resistance to anti-VEGF treatment in CNV patients is often associated with arteriolar CNV, while responders tend to have capillary CNV. While fluorescein angiography (FA) is commonly used to assess leakage patterns in wet AMD patients and animal models, it does not provide information about CNV vascular morphology (arteriolar CNV vs. capillary CNV). This protocol introduces the use of indocyanine green angiography (ICGA) to characterize lesion types in laser-induced CNV mouse models. This method is crucial for investigating the mechanisms and treatment strategies for anti-VEGF resistance in wet AMD. It is recommended to incorporate ICGA alongside FA for comprehensive assessment of both leakage and vascular features of CNV in mechanistic and therapeutic studies.","container-title":"Journal of visualized experiments : JoVE","DOI":"10.3791/65682","journalAbbreviation":"Journal of visualized experiments : JoVE","title":"Characterization of Vascular Morphology of Neovascular Age-Related Macular Degeneration by Indocyanine Green Angiography.","URL":"https://consensus.app/papers/characterization-of-vascular-morphology-of-neovascular-attarde-riad/561f41acab2357469dc7bfd03114ac4b/","volume":"198","author":[{"family":"Attarde","given":"Anish"},{"family":"Riad","given":"T."},{"family":"Zhang","given":"Zhao"},{"family":"Ahir","given":"Manisha"},{"family":"Fu","given":"Yingbin"}],"issued":{"date-parts":[["2023"]]}}},{"id":1212,"uris":["http://zotero.org/users/2658636/items/8RK6XC6F"],"itemData":{"id":1212,"type":"article-journal","abstract":"Despite extensive use of intravitreal anti-vascular endothelial growth factor (anti-VEGF) biologics for over a decade, neovascular age-related macular degeneration (nAMD) or choroidal neovascularization (CNV) continues to be a major cause of irreversible vision loss in developed countries. Many nAMD patients demonstrate persistent disease activity or experience declining responses over time despite anti-VEGF treatment. The underlying mechanisms of anti-VEGF resistance are poorly understood, and no effective treatment strategies are available to date. Here we review evidence from animal models and clinical studies that supports the roles of neovascular remodeling and arteriolar CNV formation in anti-VEGF resistance. Cholesterol dysregulation, inflammation, and ensuing macrophage activation are critically involved in arteriolar CNV formation and anti-VEGF resistance. Combination therapy by neutralizing VEGF and enhancing cholesterol removal from macrophages is a promising strategy to combat anti-VEGF resistance in CNV.","container-title":"Biomolecules","DOI":"10.3390/biom14030252","journalAbbreviation":"Biomolecules","page":"252","title":"Treatment Strategies for Anti-VEGF Resistance in Neovascular Age-Related Macular Degeneration by Targeting Arteriolar Choroidal Neovascularization.","volume":"14","author":[{"family":"Fu","given":"Yingbin"},{"family":"Zhang","given":"Zhao"},{"family":"Webster","given":"Keith"},{"family":"Paulus","given":"Y."}],"issued":{"date-parts":[["2024"]]}}}],"schema":"https://github.com/citation-style-language/schema/raw/master/csl-citation.json"} </w:instrText>
      </w:r>
      <w:r w:rsidR="00D743CF">
        <w:rPr>
          <w:rFonts w:ascii="Arial" w:hAnsi="Arial" w:cs="Arial"/>
        </w:rPr>
        <w:fldChar w:fldCharType="separate"/>
      </w:r>
      <w:r w:rsidR="00397FEA" w:rsidRPr="00397FEA">
        <w:rPr>
          <w:rFonts w:ascii="Arial" w:hAnsi="Arial" w:cs="Arial"/>
          <w:vertAlign w:val="superscript"/>
        </w:rPr>
        <w:t>23–25</w:t>
      </w:r>
      <w:r w:rsidR="00D743CF">
        <w:rPr>
          <w:rFonts w:ascii="Arial" w:hAnsi="Arial" w:cs="Arial"/>
        </w:rPr>
        <w:fldChar w:fldCharType="end"/>
      </w:r>
      <w:r w:rsidR="00FF737C" w:rsidRPr="00FF737C">
        <w:rPr>
          <w:rFonts w:ascii="Arial" w:hAnsi="Arial" w:cs="Arial"/>
        </w:rPr>
        <w:t xml:space="preserve">. This lack of standardization has impeded objective assessment of treatment response. Our framework contributes to resolving this issue by directly mapping these biological processes to quantitative metrics. </w:t>
      </w:r>
      <w:r w:rsidR="00554C6C">
        <w:rPr>
          <w:rFonts w:ascii="Arial" w:hAnsi="Arial" w:cs="Arial"/>
        </w:rPr>
        <w:t xml:space="preserve">In addition, </w:t>
      </w:r>
      <w:r w:rsidR="00FF737C" w:rsidRPr="00FF737C">
        <w:rPr>
          <w:rFonts w:ascii="Arial" w:hAnsi="Arial" w:cs="Arial"/>
        </w:rPr>
        <w:t xml:space="preserve">Arterialization, defined as the </w:t>
      </w:r>
      <w:r w:rsidR="00FF737C" w:rsidRPr="00FF737C">
        <w:rPr>
          <w:rFonts w:ascii="Arial" w:hAnsi="Arial" w:cs="Arial"/>
        </w:rPr>
        <w:lastRenderedPageBreak/>
        <w:t xml:space="preserve">formation of large-caliber, potentially treatment-resistant vessels, is captured by our </w:t>
      </w:r>
      <w:proofErr w:type="spellStart"/>
      <w:r w:rsidR="00FF737C" w:rsidRPr="00FF737C">
        <w:rPr>
          <w:rFonts w:ascii="Arial" w:hAnsi="Arial" w:cs="Arial"/>
        </w:rPr>
        <w:t>Arteriolarization</w:t>
      </w:r>
      <w:proofErr w:type="spellEnd"/>
      <w:r w:rsidR="00FF737C" w:rsidRPr="00FF737C">
        <w:rPr>
          <w:rFonts w:ascii="Arial" w:hAnsi="Arial" w:cs="Arial"/>
        </w:rPr>
        <w:t xml:space="preserve"> Segment Detection algorithm. </w:t>
      </w:r>
      <w:r w:rsidR="00554C6C">
        <w:rPr>
          <w:rFonts w:ascii="Arial" w:hAnsi="Arial" w:cs="Arial"/>
        </w:rPr>
        <w:t>T</w:t>
      </w:r>
      <w:r w:rsidR="00FF737C" w:rsidRPr="00FF737C">
        <w:rPr>
          <w:rFonts w:ascii="Arial" w:hAnsi="Arial" w:cs="Arial"/>
        </w:rPr>
        <w:t xml:space="preserve">he unstable vascular state described by Spaide as </w:t>
      </w:r>
      <w:proofErr w:type="spellStart"/>
      <w:r w:rsidR="00FF737C" w:rsidRPr="00FF737C">
        <w:rPr>
          <w:rFonts w:ascii="Arial" w:hAnsi="Arial" w:cs="Arial"/>
        </w:rPr>
        <w:t>abnormalization</w:t>
      </w:r>
      <w:proofErr w:type="spellEnd"/>
      <w:r w:rsidR="00435FF0" w:rsidRPr="00FF737C">
        <w:rPr>
          <w:rFonts w:ascii="Arial" w:hAnsi="Arial" w:cs="Arial"/>
        </w:rPr>
        <w:t xml:space="preserve"> </w:t>
      </w:r>
      <w:r w:rsidR="00435FF0">
        <w:rPr>
          <w:rFonts w:ascii="Arial" w:hAnsi="Arial" w:cs="Arial"/>
        </w:rPr>
        <w:fldChar w:fldCharType="begin"/>
      </w:r>
      <w:r w:rsidR="00397FEA">
        <w:rPr>
          <w:rFonts w:ascii="Arial" w:hAnsi="Arial" w:cs="Arial"/>
        </w:rPr>
        <w:instrText xml:space="preserve"> ADDIN ZOTERO_ITEM CSL_CITATION {"citationID":"L8ZhsyQO","properties":{"unsorted":false,"formattedCitation":"\\super 26\\nosupersub{}","plainCitation":"26","noteIndex":0},"citationItems":[{"id":1214,"uris":["http://zotero.org/users/2658636/items/HE4J897B"],"itemData":{"id":1214,"type":"article-journal","abstract":"&lt;h4&gt;Purpose&lt;/h4&gt;To investigate the vascular appearance of choroidal neovascularization (CNV) treated with recurrent intravitreous anti-vascular endothelial growth factor (VEGF) injections, which have been proposed to cause transient vascular normalization along with decreased vascularity and leakage.&lt;h4&gt;Design&lt;/h4&gt;Retrospective case series with perspective on the topic.&lt;h4&gt;Methods&lt;/h4&gt;Patients with treated CNV secondary to age-related macular degeneration from a community-based retinal referral practice were evaluated with optical coherence tomography angiography employing split-spectrum amplitude decorrelation. The choroidal neovascular morphology of the 17 eyes of 14 consecutive patients was described.&lt;h4&gt;Results&lt;/h4&gt;The mean age of the patients, 8 men and 6 women, was 78.4 (standard deviation ± 9.3) years. The mean greatest linear dimension of the lesion was 3600 μm. The mean number of anti-VEGF injections was 47 (±21). The vascular diameter of the vessels in the CNV appeared large even in small lesions, with feeder vessels approaching the size of the major arcade vessels of the retina. The vessels had few branch points and many vascular anastomotic connections among larger vessels. There was a paucity of capillaries visualized within the lesions.&lt;h4&gt;Conclusions&lt;/h4&gt;The findings of this study do not support the hypothesis of vascular normalization in eyes receiving recurrent periodic antiangiogenic treatment. The observed \"abnormalization\" of the vessels may be explained by periodic pruning of angiogenic vascular sprouts by VEGF withdrawal in the face of unimpeded arteriogenesis. As the eye is a readily accessible VEGF laboratory, features expressed therein may also apply to neovascularization elsewhere in the body, such as in tumors.","container-title":"American journal of ophthalmology","DOI":"10.1016/j.ajo.2015.04.012","journalAbbreviation":"American journal of ophthalmology","page":"6-16","title":"Optical Coherence Tomography Angiography Signs of Vascular Abnormalization With Antiangiogenic Therapy for Choroidal Neovascularization.","volume":"160 1","author":[{"family":"Spaide","given":"R."}],"issued":{"date-parts":[["2015"]]}}}],"schema":"https://github.com/citation-style-language/schema/raw/master/csl-citation.json"} </w:instrText>
      </w:r>
      <w:r w:rsidR="00435FF0">
        <w:rPr>
          <w:rFonts w:ascii="Arial" w:hAnsi="Arial" w:cs="Arial"/>
        </w:rPr>
        <w:fldChar w:fldCharType="separate"/>
      </w:r>
      <w:r w:rsidR="00397FEA" w:rsidRPr="00397FEA">
        <w:rPr>
          <w:rFonts w:ascii="Arial" w:hAnsi="Arial" w:cs="Arial"/>
          <w:vertAlign w:val="superscript"/>
        </w:rPr>
        <w:t>26</w:t>
      </w:r>
      <w:r w:rsidR="00435FF0">
        <w:rPr>
          <w:rFonts w:ascii="Arial" w:hAnsi="Arial" w:cs="Arial"/>
        </w:rPr>
        <w:fldChar w:fldCharType="end"/>
      </w:r>
      <w:r w:rsidR="00FF737C" w:rsidRPr="00FF737C">
        <w:rPr>
          <w:rFonts w:ascii="Arial" w:hAnsi="Arial" w:cs="Arial"/>
        </w:rPr>
        <w:t xml:space="preserve"> is quantified by the Vascular Stability Score, with low values indicating an unstable, treatment-responsive phenotype and high values reflecting maturation and stabilization. </w:t>
      </w:r>
    </w:p>
    <w:p w14:paraId="0A6EF62A" w14:textId="77777777" w:rsidR="00FF737C" w:rsidRPr="00FF737C" w:rsidRDefault="00FF737C" w:rsidP="00FF737C">
      <w:pPr>
        <w:spacing w:line="480" w:lineRule="auto"/>
        <w:rPr>
          <w:rFonts w:ascii="Arial" w:hAnsi="Arial" w:cs="Arial"/>
        </w:rPr>
      </w:pPr>
    </w:p>
    <w:p w14:paraId="2BD65D67" w14:textId="41823F61" w:rsidR="00BB22F1" w:rsidRPr="004A4607" w:rsidRDefault="00BB22F1" w:rsidP="00BB22F1">
      <w:pPr>
        <w:spacing w:line="480" w:lineRule="auto"/>
        <w:rPr>
          <w:rFonts w:ascii="Arial" w:hAnsi="Arial" w:cs="Arial"/>
          <w:b/>
          <w:bCs/>
        </w:rPr>
      </w:pPr>
      <w:r w:rsidRPr="004A4607">
        <w:rPr>
          <w:rFonts w:ascii="Arial" w:hAnsi="Arial" w:cs="Arial"/>
          <w:b/>
          <w:bCs/>
        </w:rPr>
        <w:t>Conclusion</w:t>
      </w:r>
    </w:p>
    <w:p w14:paraId="59CA0AEA" w14:textId="77777777" w:rsidR="00BB22F1" w:rsidRPr="00BB22F1" w:rsidRDefault="00BB22F1" w:rsidP="00BB22F1">
      <w:pPr>
        <w:spacing w:line="480" w:lineRule="auto"/>
        <w:rPr>
          <w:rFonts w:ascii="Arial" w:hAnsi="Arial" w:cs="Arial"/>
        </w:rPr>
      </w:pPr>
      <w:r w:rsidRPr="00BB22F1">
        <w:rPr>
          <w:rFonts w:ascii="Arial" w:hAnsi="Arial" w:cs="Arial"/>
        </w:rPr>
        <w:t xml:space="preserve">We have developed and validated a novel, semi-automated ImageJ-based system that represents a paradigm shift in the quantitative analysis of macular neovascularization. By systematically addressing the methodological flaws of existing tools, incorporating all major established biomarkers from the most recent literature, and introducing a suite of innovative, integrated scores for complexity, stability, and spatial organization, our system provides the most comprehensive and accurate characterization of MNV architecture to date. Crucially, it is the first system to provide quantitative tools to differentiate the clinically critical pathways of arterialization and </w:t>
      </w:r>
      <w:proofErr w:type="spellStart"/>
      <w:r w:rsidRPr="00BB22F1">
        <w:rPr>
          <w:rFonts w:ascii="Arial" w:hAnsi="Arial" w:cs="Arial"/>
        </w:rPr>
        <w:t>abnormalization</w:t>
      </w:r>
      <w:proofErr w:type="spellEnd"/>
      <w:r w:rsidRPr="00BB22F1">
        <w:rPr>
          <w:rFonts w:ascii="Arial" w:hAnsi="Arial" w:cs="Arial"/>
        </w:rPr>
        <w:t>, and to offer an automated morphological-pathophysiological classification logic that resolves long-standing terminological ambiguities. This powerful new platform standardizes research, accelerates the discovery of prognostic imaging biomarkers, and ultimately enhances the clinical management of neovascular AMD.</w:t>
      </w:r>
    </w:p>
    <w:p w14:paraId="37118C53" w14:textId="77777777" w:rsidR="00BB22F1" w:rsidRPr="00BB22F1" w:rsidRDefault="00BB22F1" w:rsidP="00BB22F1">
      <w:pPr>
        <w:spacing w:line="480" w:lineRule="auto"/>
        <w:rPr>
          <w:rFonts w:ascii="Arial" w:hAnsi="Arial" w:cs="Arial"/>
        </w:rPr>
      </w:pPr>
    </w:p>
    <w:p w14:paraId="37411369" w14:textId="77777777" w:rsidR="00BB22F1" w:rsidRPr="00EE25ED" w:rsidRDefault="00BB22F1" w:rsidP="00BB22F1">
      <w:pPr>
        <w:spacing w:line="480" w:lineRule="auto"/>
        <w:rPr>
          <w:rFonts w:ascii="Arial" w:hAnsi="Arial" w:cs="Arial"/>
          <w:b/>
          <w:bCs/>
        </w:rPr>
      </w:pPr>
      <w:r w:rsidRPr="00EE25ED">
        <w:rPr>
          <w:rFonts w:ascii="Arial" w:hAnsi="Arial" w:cs="Arial"/>
          <w:b/>
          <w:bCs/>
        </w:rPr>
        <w:t>References</w:t>
      </w:r>
    </w:p>
    <w:p w14:paraId="7018C149" w14:textId="77777777" w:rsidR="00015FE0" w:rsidRPr="00015FE0" w:rsidRDefault="001E6ACB" w:rsidP="00015FE0">
      <w:pPr>
        <w:pStyle w:val="aa"/>
      </w:pPr>
      <w:r>
        <w:rPr>
          <w:rFonts w:ascii="Arial" w:hAnsi="Arial" w:cs="Arial"/>
        </w:rPr>
        <w:fldChar w:fldCharType="begin"/>
      </w:r>
      <w:r w:rsidR="00B657FA">
        <w:rPr>
          <w:rFonts w:ascii="Arial" w:hAnsi="Arial" w:cs="Arial"/>
        </w:rPr>
        <w:instrText xml:space="preserve"> ADDIN ZOTERO_BIBL {"uncited":[],"omitted":[],"custom":[]} CSL_BIBLIOGRAPHY </w:instrText>
      </w:r>
      <w:r>
        <w:rPr>
          <w:rFonts w:ascii="Arial" w:hAnsi="Arial" w:cs="Arial"/>
        </w:rPr>
        <w:fldChar w:fldCharType="separate"/>
      </w:r>
      <w:r w:rsidR="00015FE0" w:rsidRPr="00015FE0">
        <w:t>1.</w:t>
      </w:r>
      <w:r w:rsidR="00015FE0" w:rsidRPr="00015FE0">
        <w:tab/>
        <w:t xml:space="preserve">Guo, J., Tang, W., Xu, S., Liu, W. &amp; Xu, G. OCTA evaluation of treatment-naïve flat irregular PED (FIPED)-associated CNV in chronic central serous chorioretinopathy before and after half-dose PDT. </w:t>
      </w:r>
      <w:r w:rsidR="00015FE0" w:rsidRPr="00015FE0">
        <w:rPr>
          <w:i/>
          <w:iCs/>
        </w:rPr>
        <w:t>Eye</w:t>
      </w:r>
      <w:r w:rsidR="00015FE0" w:rsidRPr="00015FE0">
        <w:t xml:space="preserve"> </w:t>
      </w:r>
      <w:r w:rsidR="00015FE0" w:rsidRPr="00015FE0">
        <w:rPr>
          <w:b/>
          <w:bCs/>
        </w:rPr>
        <w:t>35</w:t>
      </w:r>
      <w:r w:rsidR="00015FE0" w:rsidRPr="00015FE0">
        <w:t>, 2871–2878 (2021).</w:t>
      </w:r>
    </w:p>
    <w:p w14:paraId="00BBFAEB" w14:textId="77777777" w:rsidR="00015FE0" w:rsidRPr="00015FE0" w:rsidRDefault="00015FE0" w:rsidP="00015FE0">
      <w:pPr>
        <w:pStyle w:val="aa"/>
      </w:pPr>
      <w:r w:rsidRPr="00015FE0">
        <w:lastRenderedPageBreak/>
        <w:t>2.</w:t>
      </w:r>
      <w:r w:rsidRPr="00015FE0">
        <w:tab/>
        <w:t xml:space="preserve">Zudaire, E., Gambardella, L., Kurcz, C. &amp; Vermeren, S. A Computational Tool for Quantitative Analysis of Vascular Networks. </w:t>
      </w:r>
      <w:r w:rsidRPr="00015FE0">
        <w:rPr>
          <w:i/>
          <w:iCs/>
        </w:rPr>
        <w:t>PLOS ONE</w:t>
      </w:r>
      <w:r w:rsidRPr="00015FE0">
        <w:t xml:space="preserve"> </w:t>
      </w:r>
      <w:r w:rsidRPr="00015FE0">
        <w:rPr>
          <w:b/>
          <w:bCs/>
        </w:rPr>
        <w:t>6</w:t>
      </w:r>
      <w:r w:rsidRPr="00015FE0">
        <w:t>, e27385 (2011).</w:t>
      </w:r>
    </w:p>
    <w:p w14:paraId="4695C457" w14:textId="77777777" w:rsidR="00015FE0" w:rsidRPr="00015FE0" w:rsidRDefault="00015FE0" w:rsidP="00015FE0">
      <w:pPr>
        <w:pStyle w:val="aa"/>
      </w:pPr>
      <w:r w:rsidRPr="00015FE0">
        <w:t>3.</w:t>
      </w:r>
      <w:r w:rsidRPr="00015FE0">
        <w:tab/>
        <w:t xml:space="preserve">Told, R. </w:t>
      </w:r>
      <w:r w:rsidRPr="00015FE0">
        <w:rPr>
          <w:i/>
          <w:iCs/>
        </w:rPr>
        <w:t>et al.</w:t>
      </w:r>
      <w:r w:rsidRPr="00015FE0">
        <w:t xml:space="preserve"> Profiling neovascular age-related macular degeneration choroidal neovascularization lesion response to anti-vascular endothelial growth factor therapy using SSOCTA. </w:t>
      </w:r>
      <w:r w:rsidRPr="00015FE0">
        <w:rPr>
          <w:i/>
          <w:iCs/>
        </w:rPr>
        <w:t>Acta Ophthalmol. (Copenh.)</w:t>
      </w:r>
      <w:r w:rsidRPr="00015FE0">
        <w:t xml:space="preserve"> </w:t>
      </w:r>
      <w:r w:rsidRPr="00015FE0">
        <w:rPr>
          <w:b/>
          <w:bCs/>
        </w:rPr>
        <w:t>99</w:t>
      </w:r>
      <w:r w:rsidRPr="00015FE0">
        <w:t>, e240–e246 (2021).</w:t>
      </w:r>
    </w:p>
    <w:p w14:paraId="7A9A1592" w14:textId="77777777" w:rsidR="00015FE0" w:rsidRPr="00015FE0" w:rsidRDefault="00015FE0" w:rsidP="00015FE0">
      <w:pPr>
        <w:pStyle w:val="aa"/>
      </w:pPr>
      <w:r w:rsidRPr="00015FE0">
        <w:t>4.</w:t>
      </w:r>
      <w:r w:rsidRPr="00015FE0">
        <w:tab/>
        <w:t xml:space="preserve">Montesel, A. </w:t>
      </w:r>
      <w:r w:rsidRPr="00015FE0">
        <w:rPr>
          <w:i/>
          <w:iCs/>
        </w:rPr>
        <w:t>et al.</w:t>
      </w:r>
      <w:r w:rsidRPr="00015FE0">
        <w:t xml:space="preserve"> Quantitative response of macular neovascularisation to loading phase of aflibercept in neovascular age-related macular degeneration. </w:t>
      </w:r>
      <w:r w:rsidRPr="00015FE0">
        <w:rPr>
          <w:i/>
          <w:iCs/>
        </w:rPr>
        <w:t>Eye</w:t>
      </w:r>
      <w:r w:rsidRPr="00015FE0">
        <w:t xml:space="preserve"> </w:t>
      </w:r>
      <w:r w:rsidRPr="00015FE0">
        <w:rPr>
          <w:b/>
          <w:bCs/>
        </w:rPr>
        <w:t>37</w:t>
      </w:r>
      <w:r w:rsidRPr="00015FE0">
        <w:t>, 3648–3655 (2023).</w:t>
      </w:r>
    </w:p>
    <w:p w14:paraId="043A70C9" w14:textId="77777777" w:rsidR="00015FE0" w:rsidRPr="00015FE0" w:rsidRDefault="00015FE0" w:rsidP="00015FE0">
      <w:pPr>
        <w:pStyle w:val="aa"/>
      </w:pPr>
      <w:r w:rsidRPr="00015FE0">
        <w:t>5.</w:t>
      </w:r>
      <w:r w:rsidRPr="00015FE0">
        <w:tab/>
        <w:t xml:space="preserve">Carlà, M. M. </w:t>
      </w:r>
      <w:r w:rsidRPr="00015FE0">
        <w:rPr>
          <w:i/>
          <w:iCs/>
        </w:rPr>
        <w:t>et al.</w:t>
      </w:r>
      <w:r w:rsidRPr="00015FE0">
        <w:t xml:space="preserve"> MORPHOMETRIC CHANGES IN MACULAR NEOVASCULARIZATION ARCHITECTURE AFTER FARICIMAB TREATMENT IN NEOVASCULAR AGE-RELATED MACULAR DEGENERATION: Comparison Between Naive and Switched Eyes. </w:t>
      </w:r>
      <w:r w:rsidRPr="00015FE0">
        <w:rPr>
          <w:i/>
          <w:iCs/>
        </w:rPr>
        <w:t>Retina</w:t>
      </w:r>
      <w:r w:rsidRPr="00015FE0">
        <w:t xml:space="preserve"> 125–135 (2026) doi:10.1097/iae.0000000000004635.</w:t>
      </w:r>
    </w:p>
    <w:p w14:paraId="51059454" w14:textId="77777777" w:rsidR="00015FE0" w:rsidRPr="00015FE0" w:rsidRDefault="00015FE0" w:rsidP="00015FE0">
      <w:pPr>
        <w:pStyle w:val="aa"/>
      </w:pPr>
      <w:r w:rsidRPr="00015FE0">
        <w:t>6.</w:t>
      </w:r>
      <w:r w:rsidRPr="00015FE0">
        <w:tab/>
        <w:t xml:space="preserve">Munk, M. R. </w:t>
      </w:r>
      <w:r w:rsidRPr="00015FE0">
        <w:rPr>
          <w:i/>
          <w:iCs/>
        </w:rPr>
        <w:t>et al.</w:t>
      </w:r>
      <w:r w:rsidRPr="00015FE0">
        <w:t xml:space="preserve"> OCT-angiography: A qualitative and quantitative comparison of 4 OCT-A devices. </w:t>
      </w:r>
      <w:r w:rsidRPr="00015FE0">
        <w:rPr>
          <w:i/>
          <w:iCs/>
        </w:rPr>
        <w:t>PLOS ONE</w:t>
      </w:r>
      <w:r w:rsidRPr="00015FE0">
        <w:t xml:space="preserve"> </w:t>
      </w:r>
      <w:r w:rsidRPr="00015FE0">
        <w:rPr>
          <w:b/>
          <w:bCs/>
        </w:rPr>
        <w:t>12</w:t>
      </w:r>
      <w:r w:rsidRPr="00015FE0">
        <w:t>, e0177059 (2017).</w:t>
      </w:r>
    </w:p>
    <w:p w14:paraId="5E183507" w14:textId="77777777" w:rsidR="00015FE0" w:rsidRPr="00015FE0" w:rsidRDefault="00015FE0" w:rsidP="00015FE0">
      <w:pPr>
        <w:pStyle w:val="aa"/>
      </w:pPr>
      <w:r w:rsidRPr="00015FE0">
        <w:t>7.</w:t>
      </w:r>
      <w:r w:rsidRPr="00015FE0">
        <w:tab/>
        <w:t xml:space="preserve">Miere, A. </w:t>
      </w:r>
      <w:r w:rsidRPr="00015FE0">
        <w:rPr>
          <w:i/>
          <w:iCs/>
        </w:rPr>
        <w:t>et al.</w:t>
      </w:r>
      <w:r w:rsidRPr="00015FE0">
        <w:t xml:space="preserve"> VASCULAR REMODELING OF CHOROIDAL NEOVASCULARIZATION AFTER ANTI-VASCULAR ENDOTHELIAL GROWTH FACTOR THERAPY VISUALIZED ON OPTICAL COHERENCE TOMOGRAPHY ANGIOGRAPHY. </w:t>
      </w:r>
      <w:r w:rsidRPr="00015FE0">
        <w:rPr>
          <w:i/>
          <w:iCs/>
        </w:rPr>
        <w:t>Retina</w:t>
      </w:r>
      <w:r w:rsidRPr="00015FE0">
        <w:t xml:space="preserve"> </w:t>
      </w:r>
      <w:r w:rsidRPr="00015FE0">
        <w:rPr>
          <w:b/>
          <w:bCs/>
        </w:rPr>
        <w:t>39</w:t>
      </w:r>
      <w:r w:rsidRPr="00015FE0">
        <w:t>, 548–557 (2019).</w:t>
      </w:r>
    </w:p>
    <w:p w14:paraId="61B73791" w14:textId="77777777" w:rsidR="00015FE0" w:rsidRPr="00015FE0" w:rsidRDefault="00015FE0" w:rsidP="00015FE0">
      <w:pPr>
        <w:pStyle w:val="aa"/>
      </w:pPr>
      <w:r w:rsidRPr="00015FE0">
        <w:t>8.</w:t>
      </w:r>
      <w:r w:rsidRPr="00015FE0">
        <w:tab/>
        <w:t xml:space="preserve">Tew, T. </w:t>
      </w:r>
      <w:r w:rsidRPr="00015FE0">
        <w:rPr>
          <w:i/>
          <w:iCs/>
        </w:rPr>
        <w:t>et al.</w:t>
      </w:r>
      <w:r w:rsidRPr="00015FE0">
        <w:t xml:space="preserve"> Comparison of different morphologies of choroidal neovascularization evaluated by ocular coherence tomography angiography in age-related macular degeneration. </w:t>
      </w:r>
      <w:r w:rsidRPr="00015FE0">
        <w:rPr>
          <w:i/>
          <w:iCs/>
        </w:rPr>
        <w:t>Clin. Experiment. Ophthalmol.</w:t>
      </w:r>
      <w:r w:rsidRPr="00015FE0">
        <w:t xml:space="preserve"> </w:t>
      </w:r>
      <w:r w:rsidRPr="00015FE0">
        <w:rPr>
          <w:b/>
          <w:bCs/>
        </w:rPr>
        <w:t>48</w:t>
      </w:r>
      <w:r w:rsidRPr="00015FE0">
        <w:t>, 927–937 (2020).</w:t>
      </w:r>
    </w:p>
    <w:p w14:paraId="4CDB9057" w14:textId="77777777" w:rsidR="00015FE0" w:rsidRPr="00015FE0" w:rsidRDefault="00015FE0" w:rsidP="00015FE0">
      <w:pPr>
        <w:pStyle w:val="aa"/>
      </w:pPr>
      <w:r w:rsidRPr="00015FE0">
        <w:t>9.</w:t>
      </w:r>
      <w:r w:rsidRPr="00015FE0">
        <w:tab/>
        <w:t xml:space="preserve">Coscas, F. </w:t>
      </w:r>
      <w:r w:rsidRPr="00015FE0">
        <w:rPr>
          <w:i/>
          <w:iCs/>
        </w:rPr>
        <w:t>et al.</w:t>
      </w:r>
      <w:r w:rsidRPr="00015FE0">
        <w:t xml:space="preserve"> Optical coherence tomography angiography in exudative age-related macular degeneration: A predictive model for treatment decisions. </w:t>
      </w:r>
      <w:r w:rsidRPr="00015FE0">
        <w:rPr>
          <w:i/>
          <w:iCs/>
        </w:rPr>
        <w:t>Br. J. Ophthalmol.</w:t>
      </w:r>
      <w:r w:rsidRPr="00015FE0">
        <w:t xml:space="preserve"> </w:t>
      </w:r>
      <w:r w:rsidRPr="00015FE0">
        <w:rPr>
          <w:b/>
          <w:bCs/>
        </w:rPr>
        <w:t>103</w:t>
      </w:r>
      <w:r w:rsidRPr="00015FE0">
        <w:t>, 1342–1356 (2019).</w:t>
      </w:r>
    </w:p>
    <w:p w14:paraId="1E3D2B34" w14:textId="77777777" w:rsidR="00015FE0" w:rsidRPr="00015FE0" w:rsidRDefault="00015FE0" w:rsidP="00015FE0">
      <w:pPr>
        <w:pStyle w:val="aa"/>
      </w:pPr>
      <w:r w:rsidRPr="00015FE0">
        <w:t>10.</w:t>
      </w:r>
      <w:r w:rsidRPr="00015FE0">
        <w:tab/>
        <w:t xml:space="preserve">Oliveira, W. S., Teixeira, J. V., Ren, T. I., Cavalcanti, G. D. C. &amp; Sijbers, J. </w:t>
      </w:r>
      <w:r w:rsidRPr="00015FE0">
        <w:lastRenderedPageBreak/>
        <w:t xml:space="preserve">Unsupervised Retinal Vessel Segmentation Using Combined Filters. </w:t>
      </w:r>
      <w:r w:rsidRPr="00015FE0">
        <w:rPr>
          <w:i/>
          <w:iCs/>
        </w:rPr>
        <w:t>PLoS ONE</w:t>
      </w:r>
      <w:r w:rsidRPr="00015FE0">
        <w:t xml:space="preserve"> </w:t>
      </w:r>
      <w:r w:rsidRPr="00015FE0">
        <w:rPr>
          <w:b/>
          <w:bCs/>
        </w:rPr>
        <w:t>11</w:t>
      </w:r>
      <w:r w:rsidRPr="00015FE0">
        <w:t>, e0149943 (2016).</w:t>
      </w:r>
    </w:p>
    <w:p w14:paraId="2BAF3C50" w14:textId="77777777" w:rsidR="00015FE0" w:rsidRPr="00015FE0" w:rsidRDefault="00015FE0" w:rsidP="00015FE0">
      <w:pPr>
        <w:pStyle w:val="aa"/>
      </w:pPr>
      <w:r w:rsidRPr="00015FE0">
        <w:t>11.</w:t>
      </w:r>
      <w:r w:rsidRPr="00015FE0">
        <w:tab/>
        <w:t xml:space="preserve">Ma, Y. </w:t>
      </w:r>
      <w:r w:rsidRPr="00015FE0">
        <w:rPr>
          <w:i/>
          <w:iCs/>
        </w:rPr>
        <w:t>et al.</w:t>
      </w:r>
      <w:r w:rsidRPr="00015FE0">
        <w:t xml:space="preserve"> Multichannel Retinal Blood Vessel Segmentation Based on the Combination of Matched Filter and U-Net Network. </w:t>
      </w:r>
      <w:r w:rsidRPr="00015FE0">
        <w:rPr>
          <w:i/>
          <w:iCs/>
        </w:rPr>
        <w:t>BioMed Res. Int.</w:t>
      </w:r>
      <w:r w:rsidRPr="00015FE0">
        <w:t xml:space="preserve"> </w:t>
      </w:r>
      <w:r w:rsidRPr="00015FE0">
        <w:rPr>
          <w:b/>
          <w:bCs/>
        </w:rPr>
        <w:t>2021</w:t>
      </w:r>
      <w:r w:rsidRPr="00015FE0">
        <w:t>, 5561125 (2021).</w:t>
      </w:r>
    </w:p>
    <w:p w14:paraId="7CA99B68" w14:textId="77777777" w:rsidR="00015FE0" w:rsidRPr="00015FE0" w:rsidRDefault="00015FE0" w:rsidP="00015FE0">
      <w:pPr>
        <w:pStyle w:val="aa"/>
      </w:pPr>
      <w:r w:rsidRPr="00015FE0">
        <w:t>12.</w:t>
      </w:r>
      <w:r w:rsidRPr="00015FE0">
        <w:tab/>
        <w:t xml:space="preserve">Memari, N., Ramli, A. R., Bin Saripan, M. I., Mashohor, S. &amp; Moghbel, M. Supervised retinal vessel segmentation from color fundus images based on matched filtering and AdaBoost classifier. </w:t>
      </w:r>
      <w:r w:rsidRPr="00015FE0">
        <w:rPr>
          <w:i/>
          <w:iCs/>
        </w:rPr>
        <w:t>PLoS ONE</w:t>
      </w:r>
      <w:r w:rsidRPr="00015FE0">
        <w:t xml:space="preserve"> </w:t>
      </w:r>
      <w:r w:rsidRPr="00015FE0">
        <w:rPr>
          <w:b/>
          <w:bCs/>
        </w:rPr>
        <w:t>12</w:t>
      </w:r>
      <w:r w:rsidRPr="00015FE0">
        <w:t>, e0188939 (2017).</w:t>
      </w:r>
    </w:p>
    <w:p w14:paraId="11BBD687" w14:textId="77777777" w:rsidR="00015FE0" w:rsidRPr="00015FE0" w:rsidRDefault="00015FE0" w:rsidP="00015FE0">
      <w:pPr>
        <w:pStyle w:val="aa"/>
      </w:pPr>
      <w:r w:rsidRPr="00015FE0">
        <w:t>13.</w:t>
      </w:r>
      <w:r w:rsidRPr="00015FE0">
        <w:tab/>
        <w:t xml:space="preserve">Wang, M. </w:t>
      </w:r>
      <w:r w:rsidRPr="00015FE0">
        <w:rPr>
          <w:i/>
          <w:iCs/>
        </w:rPr>
        <w:t>et al.</w:t>
      </w:r>
      <w:r w:rsidRPr="00015FE0">
        <w:t xml:space="preserve"> Evaluating Polypoidal Choroidal Vasculopathy With Optical Coherence Tomography Angiography. </w:t>
      </w:r>
      <w:r w:rsidRPr="00015FE0">
        <w:rPr>
          <w:i/>
          <w:iCs/>
        </w:rPr>
        <w:t>Investig. Opthalmology Vis. Sci.</w:t>
      </w:r>
      <w:r w:rsidRPr="00015FE0">
        <w:t xml:space="preserve"> </w:t>
      </w:r>
      <w:r w:rsidRPr="00015FE0">
        <w:rPr>
          <w:b/>
          <w:bCs/>
        </w:rPr>
        <w:t>57</w:t>
      </w:r>
      <w:r w:rsidRPr="00015FE0">
        <w:t>, OCT526-32 (2016).</w:t>
      </w:r>
    </w:p>
    <w:p w14:paraId="6E21A22D" w14:textId="77777777" w:rsidR="00015FE0" w:rsidRPr="00015FE0" w:rsidRDefault="00015FE0" w:rsidP="00015FE0">
      <w:pPr>
        <w:pStyle w:val="aa"/>
      </w:pPr>
      <w:r w:rsidRPr="00015FE0">
        <w:t>14.</w:t>
      </w:r>
      <w:r w:rsidRPr="00015FE0">
        <w:tab/>
        <w:t xml:space="preserve">Xue, J. </w:t>
      </w:r>
      <w:r w:rsidRPr="00015FE0">
        <w:rPr>
          <w:i/>
          <w:iCs/>
        </w:rPr>
        <w:t>et al.</w:t>
      </w:r>
      <w:r w:rsidRPr="00015FE0">
        <w:t xml:space="preserve"> Automatic quantification of choroidal neovascularization lesion area on OCT angiography based on density cell-like P systems with active membranes. </w:t>
      </w:r>
      <w:r w:rsidRPr="00015FE0">
        <w:rPr>
          <w:i/>
          <w:iCs/>
        </w:rPr>
        <w:t>Biomed. Opt. Express</w:t>
      </w:r>
      <w:r w:rsidRPr="00015FE0">
        <w:t xml:space="preserve"> </w:t>
      </w:r>
      <w:r w:rsidRPr="00015FE0">
        <w:rPr>
          <w:b/>
          <w:bCs/>
        </w:rPr>
        <w:t>9 7</w:t>
      </w:r>
      <w:r w:rsidRPr="00015FE0">
        <w:t>, 3208–3219 (2018).</w:t>
      </w:r>
    </w:p>
    <w:p w14:paraId="1B578DD6" w14:textId="77777777" w:rsidR="00015FE0" w:rsidRPr="00015FE0" w:rsidRDefault="00015FE0" w:rsidP="00015FE0">
      <w:pPr>
        <w:pStyle w:val="aa"/>
      </w:pPr>
      <w:r w:rsidRPr="00015FE0">
        <w:t>15.</w:t>
      </w:r>
      <w:r w:rsidRPr="00015FE0">
        <w:tab/>
        <w:t xml:space="preserve">Babiuch, A. </w:t>
      </w:r>
      <w:r w:rsidRPr="00015FE0">
        <w:rPr>
          <w:i/>
          <w:iCs/>
        </w:rPr>
        <w:t>et al.</w:t>
      </w:r>
      <w:r w:rsidRPr="00015FE0">
        <w:t xml:space="preserve"> IMPACT OF OPTICAL COHERENCE TOMOGRAPHY ANGIOGRAPHY REVIEW STRATEGY ON DETECTION OF CHOROIDAL NEOVASCULARIZATION. </w:t>
      </w:r>
      <w:r w:rsidRPr="00015FE0">
        <w:rPr>
          <w:i/>
          <w:iCs/>
        </w:rPr>
        <w:t>Retina</w:t>
      </w:r>
      <w:r w:rsidRPr="00015FE0">
        <w:t xml:space="preserve"> 672–678 (2020) doi:10.1097/iae.0000000000002443.</w:t>
      </w:r>
    </w:p>
    <w:p w14:paraId="08E91D64" w14:textId="77777777" w:rsidR="00015FE0" w:rsidRPr="00015FE0" w:rsidRDefault="00015FE0" w:rsidP="00015FE0">
      <w:pPr>
        <w:pStyle w:val="aa"/>
      </w:pPr>
      <w:r w:rsidRPr="00015FE0">
        <w:t>16.</w:t>
      </w:r>
      <w:r w:rsidRPr="00015FE0">
        <w:tab/>
        <w:t xml:space="preserve">Smith, A. &amp; Zavala, V. The Euler characteristic: A general topological descriptor for complex data. </w:t>
      </w:r>
      <w:r w:rsidRPr="00015FE0">
        <w:rPr>
          <w:i/>
          <w:iCs/>
        </w:rPr>
        <w:t>Comput Chem Eng</w:t>
      </w:r>
      <w:r w:rsidRPr="00015FE0">
        <w:t xml:space="preserve"> </w:t>
      </w:r>
      <w:r w:rsidRPr="00015FE0">
        <w:rPr>
          <w:b/>
          <w:bCs/>
        </w:rPr>
        <w:t>154</w:t>
      </w:r>
      <w:r w:rsidRPr="00015FE0">
        <w:t>, 107463 (2021).</w:t>
      </w:r>
    </w:p>
    <w:p w14:paraId="72194637" w14:textId="77777777" w:rsidR="00015FE0" w:rsidRPr="00015FE0" w:rsidRDefault="00015FE0" w:rsidP="00015FE0">
      <w:pPr>
        <w:pStyle w:val="aa"/>
      </w:pPr>
      <w:r w:rsidRPr="00015FE0">
        <w:t>17.</w:t>
      </w:r>
      <w:r w:rsidRPr="00015FE0">
        <w:tab/>
        <w:t xml:space="preserve">Willführ, A. </w:t>
      </w:r>
      <w:r w:rsidRPr="00015FE0">
        <w:rPr>
          <w:i/>
          <w:iCs/>
        </w:rPr>
        <w:t>et al.</w:t>
      </w:r>
      <w:r w:rsidRPr="00015FE0">
        <w:t xml:space="preserve"> Estimation of the number of alveolar capillaries by the Euler number (Euler-Poincaré characteristic). </w:t>
      </w:r>
      <w:r w:rsidRPr="00015FE0">
        <w:rPr>
          <w:i/>
          <w:iCs/>
        </w:rPr>
        <w:t>Am. J. Physiol. Lung Cell. Mol. Physiol.</w:t>
      </w:r>
      <w:r w:rsidRPr="00015FE0">
        <w:t xml:space="preserve"> </w:t>
      </w:r>
      <w:r w:rsidRPr="00015FE0">
        <w:rPr>
          <w:b/>
          <w:bCs/>
        </w:rPr>
        <w:t>309</w:t>
      </w:r>
      <w:r w:rsidRPr="00015FE0">
        <w:t>, L1286-93 (2015).</w:t>
      </w:r>
    </w:p>
    <w:p w14:paraId="4EA7915C" w14:textId="77777777" w:rsidR="00015FE0" w:rsidRPr="00015FE0" w:rsidRDefault="00015FE0" w:rsidP="00015FE0">
      <w:pPr>
        <w:pStyle w:val="aa"/>
      </w:pPr>
      <w:r w:rsidRPr="00015FE0">
        <w:t>18.</w:t>
      </w:r>
      <w:r w:rsidRPr="00015FE0">
        <w:tab/>
        <w:t xml:space="preserve">Santos, F. </w:t>
      </w:r>
      <w:r w:rsidRPr="00015FE0">
        <w:rPr>
          <w:i/>
          <w:iCs/>
        </w:rPr>
        <w:t>et al.</w:t>
      </w:r>
      <w:r w:rsidRPr="00015FE0">
        <w:t xml:space="preserve"> Topological phase transitions in functional brain networks. </w:t>
      </w:r>
      <w:r w:rsidRPr="00015FE0">
        <w:rPr>
          <w:i/>
          <w:iCs/>
        </w:rPr>
        <w:t>bioRxiv</w:t>
      </w:r>
      <w:r w:rsidRPr="00015FE0">
        <w:t xml:space="preserve"> https://doi.org/10.1101/469478 (2018) doi:10.1101/469478.</w:t>
      </w:r>
    </w:p>
    <w:p w14:paraId="0D804720" w14:textId="77777777" w:rsidR="00015FE0" w:rsidRPr="00015FE0" w:rsidRDefault="00015FE0" w:rsidP="00015FE0">
      <w:pPr>
        <w:pStyle w:val="aa"/>
      </w:pPr>
      <w:r w:rsidRPr="00015FE0">
        <w:t>19.</w:t>
      </w:r>
      <w:r w:rsidRPr="00015FE0">
        <w:tab/>
        <w:t xml:space="preserve">Viallard, C. &amp; Larrivée, B. Tumor angiogenesis and vascular normalization: </w:t>
      </w:r>
      <w:r w:rsidRPr="00015FE0">
        <w:lastRenderedPageBreak/>
        <w:t xml:space="preserve">alternative therapeutic targets. </w:t>
      </w:r>
      <w:r w:rsidRPr="00015FE0">
        <w:rPr>
          <w:i/>
          <w:iCs/>
        </w:rPr>
        <w:t>Angiogenesis</w:t>
      </w:r>
      <w:r w:rsidRPr="00015FE0">
        <w:t xml:space="preserve"> </w:t>
      </w:r>
      <w:r w:rsidRPr="00015FE0">
        <w:rPr>
          <w:b/>
          <w:bCs/>
        </w:rPr>
        <w:t>20</w:t>
      </w:r>
      <w:r w:rsidRPr="00015FE0">
        <w:t>, 409–426 (2017).</w:t>
      </w:r>
    </w:p>
    <w:p w14:paraId="0D353BCB" w14:textId="77777777" w:rsidR="00015FE0" w:rsidRPr="00015FE0" w:rsidRDefault="00015FE0" w:rsidP="00015FE0">
      <w:pPr>
        <w:pStyle w:val="aa"/>
      </w:pPr>
      <w:r w:rsidRPr="00015FE0">
        <w:t>20.</w:t>
      </w:r>
      <w:r w:rsidRPr="00015FE0">
        <w:tab/>
        <w:t xml:space="preserve">Goker, Y. S. &amp; Demir, G. Comparison of optical coherence tomography angiography features in type 1 versus type 2 choroidal neovascular membranes secondary to age-related macular degeneration. </w:t>
      </w:r>
      <w:r w:rsidRPr="00015FE0">
        <w:rPr>
          <w:i/>
          <w:iCs/>
        </w:rPr>
        <w:t>Med. Hypothesis Discov. Innov. Ophthalmol. J.</w:t>
      </w:r>
      <w:r w:rsidRPr="00015FE0">
        <w:t xml:space="preserve"> </w:t>
      </w:r>
      <w:r w:rsidRPr="00015FE0">
        <w:rPr>
          <w:b/>
          <w:bCs/>
        </w:rPr>
        <w:t>10</w:t>
      </w:r>
      <w:r w:rsidRPr="00015FE0">
        <w:t>, 67–73 (2021).</w:t>
      </w:r>
    </w:p>
    <w:p w14:paraId="4E4391D1" w14:textId="77777777" w:rsidR="00015FE0" w:rsidRPr="00015FE0" w:rsidRDefault="00015FE0" w:rsidP="00015FE0">
      <w:pPr>
        <w:pStyle w:val="aa"/>
      </w:pPr>
      <w:r w:rsidRPr="00015FE0">
        <w:t>21.</w:t>
      </w:r>
      <w:r w:rsidRPr="00015FE0">
        <w:tab/>
        <w:t xml:space="preserve">Li, J. </w:t>
      </w:r>
      <w:r w:rsidRPr="00015FE0">
        <w:rPr>
          <w:i/>
          <w:iCs/>
        </w:rPr>
        <w:t>et al.</w:t>
      </w:r>
      <w:r w:rsidRPr="00015FE0">
        <w:t xml:space="preserve"> Comparative quantitative analysis of optical coherence tomography angiography in varied morphologies of macular neovascularization following intravitreal conbercept and ranibizumab treatments for neovascular age‑related macular degeneration. </w:t>
      </w:r>
      <w:r w:rsidRPr="00015FE0">
        <w:rPr>
          <w:i/>
          <w:iCs/>
        </w:rPr>
        <w:t>Exp. Ther. Med.</w:t>
      </w:r>
      <w:r w:rsidRPr="00015FE0">
        <w:t xml:space="preserve"> </w:t>
      </w:r>
      <w:r w:rsidRPr="00015FE0">
        <w:rPr>
          <w:b/>
          <w:bCs/>
        </w:rPr>
        <w:t>27</w:t>
      </w:r>
      <w:r w:rsidRPr="00015FE0">
        <w:t>, 214 (2024).</w:t>
      </w:r>
    </w:p>
    <w:p w14:paraId="113DEC2D" w14:textId="77777777" w:rsidR="00015FE0" w:rsidRPr="00015FE0" w:rsidRDefault="00015FE0" w:rsidP="00015FE0">
      <w:pPr>
        <w:pStyle w:val="aa"/>
      </w:pPr>
      <w:r w:rsidRPr="00015FE0">
        <w:t>22.</w:t>
      </w:r>
      <w:r w:rsidRPr="00015FE0">
        <w:tab/>
        <w:t xml:space="preserve">Tew, T. B. </w:t>
      </w:r>
      <w:r w:rsidRPr="00015FE0">
        <w:rPr>
          <w:i/>
          <w:iCs/>
        </w:rPr>
        <w:t>et al.</w:t>
      </w:r>
      <w:r w:rsidRPr="00015FE0">
        <w:t xml:space="preserve"> Comparison of different morphologies of choroidal neovascularization evaluated by ocular coherence tomography angiography in age-related macular degeneration. </w:t>
      </w:r>
      <w:r w:rsidRPr="00015FE0">
        <w:rPr>
          <w:i/>
          <w:iCs/>
        </w:rPr>
        <w:t>Clin. Experiment. Ophthalmol.</w:t>
      </w:r>
      <w:r w:rsidRPr="00015FE0">
        <w:t xml:space="preserve"> </w:t>
      </w:r>
      <w:r w:rsidRPr="00015FE0">
        <w:rPr>
          <w:b/>
          <w:bCs/>
        </w:rPr>
        <w:t>48</w:t>
      </w:r>
      <w:r w:rsidRPr="00015FE0">
        <w:t>, 927–937 (2020).</w:t>
      </w:r>
    </w:p>
    <w:p w14:paraId="0F9A2762" w14:textId="77777777" w:rsidR="00015FE0" w:rsidRPr="00015FE0" w:rsidRDefault="00015FE0" w:rsidP="00015FE0">
      <w:pPr>
        <w:pStyle w:val="aa"/>
      </w:pPr>
      <w:r w:rsidRPr="00015FE0">
        <w:t>23.</w:t>
      </w:r>
      <w:r w:rsidRPr="00015FE0">
        <w:tab/>
        <w:t xml:space="preserve">Mettu, P. S., Allingham, M. J. &amp; Cousins, S. W. Incomplete response to Anti-VEGF therapy in neovascular AMD: Exploring disease mechanisms and therapeutic opportunities. </w:t>
      </w:r>
      <w:r w:rsidRPr="00015FE0">
        <w:rPr>
          <w:i/>
          <w:iCs/>
        </w:rPr>
        <w:t>Prog. Retin. Eye Res.</w:t>
      </w:r>
      <w:r w:rsidRPr="00015FE0">
        <w:t xml:space="preserve"> </w:t>
      </w:r>
      <w:r w:rsidRPr="00015FE0">
        <w:rPr>
          <w:b/>
          <w:bCs/>
        </w:rPr>
        <w:t>82</w:t>
      </w:r>
      <w:r w:rsidRPr="00015FE0">
        <w:t>, 100906 (2021).</w:t>
      </w:r>
    </w:p>
    <w:p w14:paraId="27E59473" w14:textId="77777777" w:rsidR="00015FE0" w:rsidRPr="00015FE0" w:rsidRDefault="00015FE0" w:rsidP="00015FE0">
      <w:pPr>
        <w:pStyle w:val="aa"/>
      </w:pPr>
      <w:r w:rsidRPr="00015FE0">
        <w:t>24.</w:t>
      </w:r>
      <w:r w:rsidRPr="00015FE0">
        <w:tab/>
        <w:t xml:space="preserve">Attarde, A., Riad, T., Zhang, Z., Ahir, M. &amp; Fu, Y. Characterization of Vascular Morphology of Neovascular Age-Related Macular Degeneration by Indocyanine Green Angiography. </w:t>
      </w:r>
      <w:r w:rsidRPr="00015FE0">
        <w:rPr>
          <w:i/>
          <w:iCs/>
        </w:rPr>
        <w:t>J. Vis. Exp. JoVE</w:t>
      </w:r>
      <w:r w:rsidRPr="00015FE0">
        <w:t xml:space="preserve"> </w:t>
      </w:r>
      <w:r w:rsidRPr="00015FE0">
        <w:rPr>
          <w:b/>
          <w:bCs/>
        </w:rPr>
        <w:t>198</w:t>
      </w:r>
      <w:r w:rsidRPr="00015FE0">
        <w:t>, (2023).</w:t>
      </w:r>
    </w:p>
    <w:p w14:paraId="2D7CBBF2" w14:textId="77777777" w:rsidR="00015FE0" w:rsidRPr="00015FE0" w:rsidRDefault="00015FE0" w:rsidP="00015FE0">
      <w:pPr>
        <w:pStyle w:val="aa"/>
      </w:pPr>
      <w:r w:rsidRPr="00015FE0">
        <w:t>25.</w:t>
      </w:r>
      <w:r w:rsidRPr="00015FE0">
        <w:tab/>
        <w:t xml:space="preserve">Fu, Y., Zhang, Z., Webster, K. &amp; Paulus, Y. Treatment Strategies for Anti-VEGF Resistance in Neovascular Age-Related Macular Degeneration by Targeting Arteriolar Choroidal Neovascularization. </w:t>
      </w:r>
      <w:r w:rsidRPr="00015FE0">
        <w:rPr>
          <w:i/>
          <w:iCs/>
        </w:rPr>
        <w:t>Biomolecules</w:t>
      </w:r>
      <w:r w:rsidRPr="00015FE0">
        <w:t xml:space="preserve"> </w:t>
      </w:r>
      <w:r w:rsidRPr="00015FE0">
        <w:rPr>
          <w:b/>
          <w:bCs/>
        </w:rPr>
        <w:t>14</w:t>
      </w:r>
      <w:r w:rsidRPr="00015FE0">
        <w:t>, 252 (2024).</w:t>
      </w:r>
    </w:p>
    <w:p w14:paraId="25430749" w14:textId="77777777" w:rsidR="00015FE0" w:rsidRPr="00015FE0" w:rsidRDefault="00015FE0" w:rsidP="00015FE0">
      <w:pPr>
        <w:pStyle w:val="aa"/>
      </w:pPr>
      <w:r w:rsidRPr="00015FE0">
        <w:t>26.</w:t>
      </w:r>
      <w:r w:rsidRPr="00015FE0">
        <w:tab/>
        <w:t xml:space="preserve">Spaide, R. Optical Coherence Tomography Angiography Signs of Vascular Abnormalization With Antiangiogenic Therapy for Choroidal Neovascularization. </w:t>
      </w:r>
      <w:r w:rsidRPr="00015FE0">
        <w:rPr>
          <w:i/>
          <w:iCs/>
        </w:rPr>
        <w:t>Am. J. Ophthalmol.</w:t>
      </w:r>
      <w:r w:rsidRPr="00015FE0">
        <w:t xml:space="preserve"> </w:t>
      </w:r>
      <w:r w:rsidRPr="00015FE0">
        <w:rPr>
          <w:b/>
          <w:bCs/>
        </w:rPr>
        <w:t>160 1</w:t>
      </w:r>
      <w:r w:rsidRPr="00015FE0">
        <w:t>, 6–16 (2015).</w:t>
      </w:r>
    </w:p>
    <w:p w14:paraId="4611297F" w14:textId="24ED33E9" w:rsidR="00BD301A" w:rsidRDefault="001E6ACB" w:rsidP="00164C8C">
      <w:pPr>
        <w:pStyle w:val="aa"/>
        <w:rPr>
          <w:rFonts w:ascii="Arial" w:hAnsi="Arial" w:cs="Arial"/>
        </w:rPr>
      </w:pPr>
      <w:r>
        <w:rPr>
          <w:rFonts w:ascii="Arial" w:hAnsi="Arial" w:cs="Arial"/>
        </w:rPr>
        <w:fldChar w:fldCharType="end"/>
      </w:r>
    </w:p>
    <w:p w14:paraId="2E654CD1" w14:textId="77777777" w:rsidR="00BD301A" w:rsidRPr="00BD301A" w:rsidRDefault="00BD301A" w:rsidP="00BD301A">
      <w:pPr>
        <w:pStyle w:val="aa"/>
        <w:ind w:left="0" w:firstLine="0"/>
        <w:rPr>
          <w:rFonts w:ascii="Arial" w:hAnsi="Arial" w:cs="Arial"/>
          <w:b/>
          <w:bCs/>
        </w:rPr>
      </w:pPr>
      <w:r w:rsidRPr="00BD301A">
        <w:rPr>
          <w:rFonts w:ascii="Arial" w:hAnsi="Arial" w:cs="Arial"/>
          <w:b/>
          <w:bCs/>
        </w:rPr>
        <w:lastRenderedPageBreak/>
        <w:t>Figure</w:t>
      </w:r>
    </w:p>
    <w:p w14:paraId="5EF9AE2C" w14:textId="77777777" w:rsidR="00BD301A" w:rsidRPr="00BD301A" w:rsidRDefault="00BD301A" w:rsidP="00BD301A">
      <w:pPr>
        <w:pStyle w:val="aa"/>
        <w:ind w:left="0" w:firstLine="0"/>
        <w:rPr>
          <w:rFonts w:ascii="Arial" w:hAnsi="Arial" w:cs="Arial"/>
        </w:rPr>
      </w:pPr>
      <w:r w:rsidRPr="00BD301A">
        <w:rPr>
          <w:rFonts w:ascii="Arial" w:hAnsi="Arial" w:cs="Arial"/>
          <w:b/>
          <w:bCs/>
        </w:rPr>
        <w:t>Representative OCT-A images demonstrating consistent MNV segmentation across multiple platforms.</w:t>
      </w:r>
      <w:r w:rsidRPr="00BD301A">
        <w:rPr>
          <w:rFonts w:ascii="Arial" w:hAnsi="Arial" w:cs="Arial"/>
        </w:rPr>
        <w:t xml:space="preserve"> </w:t>
      </w:r>
    </w:p>
    <w:p w14:paraId="03E936EF" w14:textId="2C26939D" w:rsidR="00FA0491" w:rsidRPr="00BD301A" w:rsidRDefault="00BD301A" w:rsidP="00BD301A">
      <w:pPr>
        <w:pStyle w:val="aa"/>
        <w:ind w:left="0" w:firstLine="0"/>
        <w:rPr>
          <w:rFonts w:ascii="Arial" w:hAnsi="Arial" w:cs="Arial"/>
        </w:rPr>
      </w:pPr>
      <w:r w:rsidRPr="00BD301A">
        <w:rPr>
          <w:rFonts w:ascii="Arial" w:hAnsi="Arial" w:cs="Arial"/>
        </w:rPr>
        <w:t xml:space="preserve">Images were acquired using: </w:t>
      </w:r>
      <w:r w:rsidRPr="00BD301A">
        <w:rPr>
          <w:rFonts w:ascii="Arial" w:hAnsi="Arial" w:cs="Arial"/>
          <w:b/>
          <w:bCs/>
        </w:rPr>
        <w:t>(A)</w:t>
      </w:r>
      <w:r w:rsidRPr="00BD301A">
        <w:rPr>
          <w:rFonts w:ascii="Arial" w:hAnsi="Arial" w:cs="Arial"/>
        </w:rPr>
        <w:t xml:space="preserve"> Zeiss </w:t>
      </w:r>
      <w:proofErr w:type="spellStart"/>
      <w:r w:rsidRPr="00BD301A">
        <w:rPr>
          <w:rFonts w:ascii="Arial" w:hAnsi="Arial" w:cs="Arial"/>
        </w:rPr>
        <w:t>PlexElite</w:t>
      </w:r>
      <w:proofErr w:type="spellEnd"/>
      <w:r w:rsidRPr="00BD301A">
        <w:rPr>
          <w:rFonts w:ascii="Arial" w:hAnsi="Arial" w:cs="Arial"/>
        </w:rPr>
        <w:t xml:space="preserve"> 9000 (6×6 mm), </w:t>
      </w:r>
      <w:r w:rsidRPr="00BD301A">
        <w:rPr>
          <w:rFonts w:ascii="Arial" w:hAnsi="Arial" w:cs="Arial"/>
          <w:b/>
          <w:bCs/>
        </w:rPr>
        <w:t>(B)</w:t>
      </w:r>
      <w:r w:rsidRPr="00BD301A">
        <w:rPr>
          <w:rFonts w:ascii="Arial" w:hAnsi="Arial" w:cs="Arial"/>
        </w:rPr>
        <w:t xml:space="preserve"> </w:t>
      </w:r>
      <w:proofErr w:type="spellStart"/>
      <w:r w:rsidRPr="00BD301A">
        <w:rPr>
          <w:rFonts w:ascii="Arial" w:hAnsi="Arial" w:cs="Arial"/>
        </w:rPr>
        <w:t>Optovue</w:t>
      </w:r>
      <w:proofErr w:type="spellEnd"/>
      <w:r w:rsidRPr="00BD301A">
        <w:rPr>
          <w:rFonts w:ascii="Arial" w:hAnsi="Arial" w:cs="Arial"/>
        </w:rPr>
        <w:t xml:space="preserve"> Solix (6×6 mm), and </w:t>
      </w:r>
      <w:r w:rsidRPr="00BD301A">
        <w:rPr>
          <w:rFonts w:ascii="Arial" w:hAnsi="Arial" w:cs="Arial"/>
          <w:b/>
          <w:bCs/>
        </w:rPr>
        <w:t>(C)</w:t>
      </w:r>
      <w:r w:rsidRPr="00BD301A">
        <w:rPr>
          <w:rFonts w:ascii="Arial" w:hAnsi="Arial" w:cs="Arial"/>
        </w:rPr>
        <w:t xml:space="preserve"> Zeiss HD series (3×3 mm). The system provides consistent segmentation of MNV lesions across these devices. The semi-automatically delineated lesion areas (yellow) and dilated neovascular segments (red) accurately follow the internal lesion architecture. </w:t>
      </w:r>
      <w:r w:rsidRPr="00492CAB">
        <w:rPr>
          <w:rFonts w:ascii="Arial" w:hAnsi="Arial" w:cs="Arial"/>
        </w:rPr>
        <w:t>Note that the region of interest (ROI) is refined to the non-perfused tissue border to minimize boundary artifacts, and incomplete peripheral vessel segments are excluded from the quantitative analysis to ensure morphometric accuracy.</w:t>
      </w:r>
    </w:p>
    <w:sectPr w:rsidR="00FA0491" w:rsidRPr="00BD301A">
      <w:footerReference w:type="even"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A3D5A" w14:textId="77777777" w:rsidR="004E4A3C" w:rsidRDefault="004E4A3C" w:rsidP="00C57BC2">
      <w:r>
        <w:separator/>
      </w:r>
    </w:p>
  </w:endnote>
  <w:endnote w:type="continuationSeparator" w:id="0">
    <w:p w14:paraId="686F4CBC" w14:textId="77777777" w:rsidR="004E4A3C" w:rsidRDefault="004E4A3C" w:rsidP="00C57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532847664"/>
      <w:docPartObj>
        <w:docPartGallery w:val="Page Numbers (Bottom of Page)"/>
        <w:docPartUnique/>
      </w:docPartObj>
    </w:sdtPr>
    <w:sdtEndPr>
      <w:rPr>
        <w:rStyle w:val="af0"/>
      </w:rPr>
    </w:sdtEndPr>
    <w:sdtContent>
      <w:p w14:paraId="5D471799" w14:textId="2D15857F" w:rsidR="007F6EC5" w:rsidRDefault="007F6EC5" w:rsidP="00F10E61">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0A14DBF6" w14:textId="77777777" w:rsidR="007F6EC5" w:rsidRDefault="007F6EC5" w:rsidP="007F6EC5">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879901242"/>
      <w:docPartObj>
        <w:docPartGallery w:val="Page Numbers (Bottom of Page)"/>
        <w:docPartUnique/>
      </w:docPartObj>
    </w:sdtPr>
    <w:sdtEndPr>
      <w:rPr>
        <w:rStyle w:val="af0"/>
      </w:rPr>
    </w:sdtEndPr>
    <w:sdtContent>
      <w:p w14:paraId="36DD2496" w14:textId="107780FF" w:rsidR="007F6EC5" w:rsidRDefault="007F6EC5" w:rsidP="00F10E61">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59F21359" w14:textId="77777777" w:rsidR="007F6EC5" w:rsidRDefault="007F6EC5" w:rsidP="007F6EC5">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7E52A" w14:textId="77777777" w:rsidR="004E4A3C" w:rsidRDefault="004E4A3C" w:rsidP="00C57BC2">
      <w:r>
        <w:separator/>
      </w:r>
    </w:p>
  </w:footnote>
  <w:footnote w:type="continuationSeparator" w:id="0">
    <w:p w14:paraId="41A85A98" w14:textId="77777777" w:rsidR="004E4A3C" w:rsidRDefault="004E4A3C" w:rsidP="00C57B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F3B5FC1"/>
    <w:multiLevelType w:val="hybridMultilevel"/>
    <w:tmpl w:val="67A49016"/>
    <w:lvl w:ilvl="0" w:tplc="0EE4C1B8">
      <w:start w:val="1"/>
      <w:numFmt w:val="bullet"/>
      <w:lvlText w:val="•"/>
      <w:lvlJc w:val="left"/>
      <w:pPr>
        <w:ind w:left="720" w:hanging="360"/>
      </w:pPr>
    </w:lvl>
    <w:lvl w:ilvl="1" w:tplc="44AC0918">
      <w:start w:val="1"/>
      <w:numFmt w:val="bullet"/>
      <w:lvlText w:val="◦"/>
      <w:lvlJc w:val="left"/>
      <w:pPr>
        <w:ind w:left="1440" w:hanging="360"/>
      </w:pPr>
    </w:lvl>
    <w:lvl w:ilvl="2" w:tplc="47E0E068">
      <w:start w:val="1"/>
      <w:numFmt w:val="bullet"/>
      <w:lvlText w:val="•"/>
      <w:lvlJc w:val="left"/>
      <w:pPr>
        <w:ind w:left="2160" w:hanging="360"/>
      </w:pPr>
    </w:lvl>
    <w:lvl w:ilvl="3" w:tplc="7CA8C4DC">
      <w:start w:val="1"/>
      <w:numFmt w:val="bullet"/>
      <w:lvlText w:val="◦"/>
      <w:lvlJc w:val="left"/>
      <w:pPr>
        <w:ind w:left="2880" w:hanging="360"/>
      </w:pPr>
    </w:lvl>
    <w:lvl w:ilvl="4" w:tplc="A4B09E60">
      <w:start w:val="1"/>
      <w:numFmt w:val="bullet"/>
      <w:lvlText w:val="•"/>
      <w:lvlJc w:val="left"/>
      <w:pPr>
        <w:ind w:left="3600" w:hanging="360"/>
      </w:pPr>
    </w:lvl>
    <w:lvl w:ilvl="5" w:tplc="6E6C9970">
      <w:start w:val="1"/>
      <w:numFmt w:val="bullet"/>
      <w:lvlText w:val="◦"/>
      <w:lvlJc w:val="left"/>
      <w:pPr>
        <w:ind w:left="4320" w:hanging="360"/>
      </w:pPr>
    </w:lvl>
    <w:lvl w:ilvl="6" w:tplc="E1DAF80C">
      <w:start w:val="1"/>
      <w:numFmt w:val="bullet"/>
      <w:lvlText w:val="•"/>
      <w:lvlJc w:val="left"/>
      <w:pPr>
        <w:ind w:left="5040" w:hanging="360"/>
      </w:pPr>
    </w:lvl>
    <w:lvl w:ilvl="7" w:tplc="80000A16">
      <w:numFmt w:val="decimal"/>
      <w:lvlText w:val=""/>
      <w:lvlJc w:val="left"/>
    </w:lvl>
    <w:lvl w:ilvl="8" w:tplc="4798E448">
      <w:numFmt w:val="decimal"/>
      <w:lvlText w:val=""/>
      <w:lvlJc w:val="left"/>
    </w:lvl>
  </w:abstractNum>
  <w:abstractNum w:abstractNumId="2" w15:restartNumberingAfterBreak="0">
    <w:nsid w:val="7030334D"/>
    <w:multiLevelType w:val="multilevel"/>
    <w:tmpl w:val="3AC894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2DD69BF"/>
    <w:multiLevelType w:val="hybridMultilevel"/>
    <w:tmpl w:val="04AEC522"/>
    <w:lvl w:ilvl="0" w:tplc="25F0AC2A">
      <w:start w:val="1"/>
      <w:numFmt w:val="bullet"/>
      <w:lvlText w:val="●"/>
      <w:lvlJc w:val="left"/>
      <w:pPr>
        <w:ind w:left="720" w:hanging="360"/>
      </w:pPr>
    </w:lvl>
    <w:lvl w:ilvl="1" w:tplc="6D6C4912">
      <w:start w:val="1"/>
      <w:numFmt w:val="bullet"/>
      <w:lvlText w:val="○"/>
      <w:lvlJc w:val="left"/>
      <w:pPr>
        <w:ind w:left="1440" w:hanging="360"/>
      </w:pPr>
    </w:lvl>
    <w:lvl w:ilvl="2" w:tplc="C450A3EA">
      <w:start w:val="1"/>
      <w:numFmt w:val="bullet"/>
      <w:lvlText w:val="■"/>
      <w:lvlJc w:val="left"/>
      <w:pPr>
        <w:ind w:left="2160" w:hanging="360"/>
      </w:pPr>
    </w:lvl>
    <w:lvl w:ilvl="3" w:tplc="B2363904">
      <w:start w:val="1"/>
      <w:numFmt w:val="bullet"/>
      <w:lvlText w:val="●"/>
      <w:lvlJc w:val="left"/>
      <w:pPr>
        <w:ind w:left="2880" w:hanging="360"/>
      </w:pPr>
    </w:lvl>
    <w:lvl w:ilvl="4" w:tplc="C63A5CB2">
      <w:start w:val="1"/>
      <w:numFmt w:val="bullet"/>
      <w:lvlText w:val="○"/>
      <w:lvlJc w:val="left"/>
      <w:pPr>
        <w:ind w:left="3600" w:hanging="360"/>
      </w:pPr>
    </w:lvl>
    <w:lvl w:ilvl="5" w:tplc="995E4858">
      <w:start w:val="1"/>
      <w:numFmt w:val="bullet"/>
      <w:lvlText w:val="■"/>
      <w:lvlJc w:val="left"/>
      <w:pPr>
        <w:ind w:left="4320" w:hanging="360"/>
      </w:pPr>
    </w:lvl>
    <w:lvl w:ilvl="6" w:tplc="BF1E79D4">
      <w:start w:val="1"/>
      <w:numFmt w:val="bullet"/>
      <w:lvlText w:val="●"/>
      <w:lvlJc w:val="left"/>
      <w:pPr>
        <w:ind w:left="5040" w:hanging="360"/>
      </w:pPr>
    </w:lvl>
    <w:lvl w:ilvl="7" w:tplc="4F221964">
      <w:start w:val="1"/>
      <w:numFmt w:val="bullet"/>
      <w:lvlText w:val="●"/>
      <w:lvlJc w:val="left"/>
      <w:pPr>
        <w:ind w:left="5760" w:hanging="360"/>
      </w:pPr>
    </w:lvl>
    <w:lvl w:ilvl="8" w:tplc="8C089AEC">
      <w:start w:val="1"/>
      <w:numFmt w:val="bullet"/>
      <w:lvlText w:val="●"/>
      <w:lvlJc w:val="left"/>
      <w:pPr>
        <w:ind w:left="6480" w:hanging="360"/>
      </w:pPr>
    </w:lvl>
  </w:abstractNum>
  <w:num w:numId="1" w16cid:durableId="69011227">
    <w:abstractNumId w:val="3"/>
    <w:lvlOverride w:ilvl="0">
      <w:startOverride w:val="1"/>
    </w:lvlOverride>
  </w:num>
  <w:num w:numId="2" w16cid:durableId="584073755">
    <w:abstractNumId w:val="2"/>
    <w:lvlOverride w:ilvl="0">
      <w:startOverride w:val="1"/>
    </w:lvlOverride>
  </w:num>
  <w:num w:numId="3" w16cid:durableId="2140032905">
    <w:abstractNumId w:val="1"/>
    <w:lvlOverride w:ilvl="0">
      <w:startOverride w:val="1"/>
    </w:lvlOverride>
  </w:num>
  <w:num w:numId="4" w16cid:durableId="66559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B98"/>
    <w:rsid w:val="00015FE0"/>
    <w:rsid w:val="00017CD5"/>
    <w:rsid w:val="0002120C"/>
    <w:rsid w:val="000501AD"/>
    <w:rsid w:val="0006311D"/>
    <w:rsid w:val="000643FE"/>
    <w:rsid w:val="00073E57"/>
    <w:rsid w:val="00074D01"/>
    <w:rsid w:val="0008075F"/>
    <w:rsid w:val="0008333D"/>
    <w:rsid w:val="00092A86"/>
    <w:rsid w:val="0009369E"/>
    <w:rsid w:val="000A450C"/>
    <w:rsid w:val="000A5060"/>
    <w:rsid w:val="000C6C5C"/>
    <w:rsid w:val="000C6F6A"/>
    <w:rsid w:val="000D2702"/>
    <w:rsid w:val="000D4790"/>
    <w:rsid w:val="000E13D1"/>
    <w:rsid w:val="000E64EC"/>
    <w:rsid w:val="000F25D8"/>
    <w:rsid w:val="001021F1"/>
    <w:rsid w:val="001041F8"/>
    <w:rsid w:val="00104BAA"/>
    <w:rsid w:val="001104AB"/>
    <w:rsid w:val="001118B9"/>
    <w:rsid w:val="00124F4F"/>
    <w:rsid w:val="001277F9"/>
    <w:rsid w:val="0013587C"/>
    <w:rsid w:val="00146ED1"/>
    <w:rsid w:val="00147CB5"/>
    <w:rsid w:val="00151624"/>
    <w:rsid w:val="001544FA"/>
    <w:rsid w:val="0015541B"/>
    <w:rsid w:val="00164C8C"/>
    <w:rsid w:val="0017026E"/>
    <w:rsid w:val="00196F82"/>
    <w:rsid w:val="001A3BDE"/>
    <w:rsid w:val="001A6AA6"/>
    <w:rsid w:val="001B3714"/>
    <w:rsid w:val="001B49F6"/>
    <w:rsid w:val="001B4F57"/>
    <w:rsid w:val="001C6B39"/>
    <w:rsid w:val="001D5DB6"/>
    <w:rsid w:val="001D7FDE"/>
    <w:rsid w:val="001E24C7"/>
    <w:rsid w:val="001E6ACB"/>
    <w:rsid w:val="002103CE"/>
    <w:rsid w:val="002169A2"/>
    <w:rsid w:val="00220F58"/>
    <w:rsid w:val="002235A4"/>
    <w:rsid w:val="00226092"/>
    <w:rsid w:val="00234155"/>
    <w:rsid w:val="0023470D"/>
    <w:rsid w:val="00234854"/>
    <w:rsid w:val="00243718"/>
    <w:rsid w:val="00251C15"/>
    <w:rsid w:val="0025360F"/>
    <w:rsid w:val="002543CB"/>
    <w:rsid w:val="00257B50"/>
    <w:rsid w:val="00267648"/>
    <w:rsid w:val="00277A6C"/>
    <w:rsid w:val="00277B78"/>
    <w:rsid w:val="00280CD4"/>
    <w:rsid w:val="002905FB"/>
    <w:rsid w:val="00291E63"/>
    <w:rsid w:val="00293A50"/>
    <w:rsid w:val="002A5B75"/>
    <w:rsid w:val="002C37B1"/>
    <w:rsid w:val="002D37EF"/>
    <w:rsid w:val="002D55AD"/>
    <w:rsid w:val="003013F0"/>
    <w:rsid w:val="00320E6F"/>
    <w:rsid w:val="003222A7"/>
    <w:rsid w:val="00323EF8"/>
    <w:rsid w:val="00327465"/>
    <w:rsid w:val="0033504A"/>
    <w:rsid w:val="00354CFD"/>
    <w:rsid w:val="00385104"/>
    <w:rsid w:val="00397FEA"/>
    <w:rsid w:val="003A3459"/>
    <w:rsid w:val="003B5D40"/>
    <w:rsid w:val="003E7654"/>
    <w:rsid w:val="003F1C7F"/>
    <w:rsid w:val="003F27AF"/>
    <w:rsid w:val="003F46E1"/>
    <w:rsid w:val="003F492A"/>
    <w:rsid w:val="0040001E"/>
    <w:rsid w:val="00435FF0"/>
    <w:rsid w:val="00436963"/>
    <w:rsid w:val="004616ED"/>
    <w:rsid w:val="0047226C"/>
    <w:rsid w:val="00472BB5"/>
    <w:rsid w:val="0048168B"/>
    <w:rsid w:val="00481BB8"/>
    <w:rsid w:val="00487AD3"/>
    <w:rsid w:val="00492CAB"/>
    <w:rsid w:val="004A257B"/>
    <w:rsid w:val="004A4607"/>
    <w:rsid w:val="004A5BD2"/>
    <w:rsid w:val="004B1DC5"/>
    <w:rsid w:val="004C0289"/>
    <w:rsid w:val="004D5DF2"/>
    <w:rsid w:val="004E4A3C"/>
    <w:rsid w:val="0050233E"/>
    <w:rsid w:val="0050322F"/>
    <w:rsid w:val="0050363C"/>
    <w:rsid w:val="00507774"/>
    <w:rsid w:val="0052287D"/>
    <w:rsid w:val="005262A1"/>
    <w:rsid w:val="005339D2"/>
    <w:rsid w:val="005346D0"/>
    <w:rsid w:val="00550F84"/>
    <w:rsid w:val="00554C6C"/>
    <w:rsid w:val="005611B9"/>
    <w:rsid w:val="00575D0C"/>
    <w:rsid w:val="00577A46"/>
    <w:rsid w:val="00590792"/>
    <w:rsid w:val="0059775E"/>
    <w:rsid w:val="005A4918"/>
    <w:rsid w:val="005C513C"/>
    <w:rsid w:val="005D5965"/>
    <w:rsid w:val="005E5680"/>
    <w:rsid w:val="005E6BA6"/>
    <w:rsid w:val="006000B3"/>
    <w:rsid w:val="00606F4C"/>
    <w:rsid w:val="006146D3"/>
    <w:rsid w:val="00616E45"/>
    <w:rsid w:val="0063689D"/>
    <w:rsid w:val="0065466D"/>
    <w:rsid w:val="00664ADC"/>
    <w:rsid w:val="00664F05"/>
    <w:rsid w:val="006761A3"/>
    <w:rsid w:val="00676631"/>
    <w:rsid w:val="006934EC"/>
    <w:rsid w:val="006944D3"/>
    <w:rsid w:val="00696400"/>
    <w:rsid w:val="006B4158"/>
    <w:rsid w:val="006B6984"/>
    <w:rsid w:val="006C140D"/>
    <w:rsid w:val="006C2013"/>
    <w:rsid w:val="006C2CEB"/>
    <w:rsid w:val="006C4A95"/>
    <w:rsid w:val="006D0565"/>
    <w:rsid w:val="006D17B3"/>
    <w:rsid w:val="006D461C"/>
    <w:rsid w:val="006D5A76"/>
    <w:rsid w:val="006E0206"/>
    <w:rsid w:val="006E358D"/>
    <w:rsid w:val="006F2D6E"/>
    <w:rsid w:val="007047A5"/>
    <w:rsid w:val="0071342C"/>
    <w:rsid w:val="00714AE6"/>
    <w:rsid w:val="00723F49"/>
    <w:rsid w:val="00743CF4"/>
    <w:rsid w:val="00744A30"/>
    <w:rsid w:val="00745BB4"/>
    <w:rsid w:val="00753EC7"/>
    <w:rsid w:val="00770188"/>
    <w:rsid w:val="00771F7D"/>
    <w:rsid w:val="00776BD9"/>
    <w:rsid w:val="00783D7B"/>
    <w:rsid w:val="007865FA"/>
    <w:rsid w:val="007972C3"/>
    <w:rsid w:val="007C2AA2"/>
    <w:rsid w:val="007C425E"/>
    <w:rsid w:val="007C6D25"/>
    <w:rsid w:val="007D5D9D"/>
    <w:rsid w:val="007D7795"/>
    <w:rsid w:val="007E163B"/>
    <w:rsid w:val="007E6843"/>
    <w:rsid w:val="007F397D"/>
    <w:rsid w:val="007F4CD6"/>
    <w:rsid w:val="007F6EC5"/>
    <w:rsid w:val="00817FFB"/>
    <w:rsid w:val="00831B3C"/>
    <w:rsid w:val="00833FDF"/>
    <w:rsid w:val="00853DDA"/>
    <w:rsid w:val="008661DA"/>
    <w:rsid w:val="008664FD"/>
    <w:rsid w:val="008942BA"/>
    <w:rsid w:val="0089633B"/>
    <w:rsid w:val="008A45FD"/>
    <w:rsid w:val="008A6530"/>
    <w:rsid w:val="008B3824"/>
    <w:rsid w:val="008B799E"/>
    <w:rsid w:val="008C5FF6"/>
    <w:rsid w:val="008D2A33"/>
    <w:rsid w:val="008E2C47"/>
    <w:rsid w:val="008F4ADF"/>
    <w:rsid w:val="008F6437"/>
    <w:rsid w:val="009001B3"/>
    <w:rsid w:val="009347B8"/>
    <w:rsid w:val="009366DE"/>
    <w:rsid w:val="00954086"/>
    <w:rsid w:val="00974551"/>
    <w:rsid w:val="0097674E"/>
    <w:rsid w:val="009A65D9"/>
    <w:rsid w:val="009B479D"/>
    <w:rsid w:val="009B6C4B"/>
    <w:rsid w:val="009C1A7B"/>
    <w:rsid w:val="009C3AE9"/>
    <w:rsid w:val="009C6488"/>
    <w:rsid w:val="009C6543"/>
    <w:rsid w:val="009D4CA8"/>
    <w:rsid w:val="009D5DF8"/>
    <w:rsid w:val="009E47E9"/>
    <w:rsid w:val="009F4523"/>
    <w:rsid w:val="00A10216"/>
    <w:rsid w:val="00A14D04"/>
    <w:rsid w:val="00A22D0E"/>
    <w:rsid w:val="00A30022"/>
    <w:rsid w:val="00A335F2"/>
    <w:rsid w:val="00A440A6"/>
    <w:rsid w:val="00A44B68"/>
    <w:rsid w:val="00A50608"/>
    <w:rsid w:val="00A56FDB"/>
    <w:rsid w:val="00A74694"/>
    <w:rsid w:val="00A771C6"/>
    <w:rsid w:val="00A77C46"/>
    <w:rsid w:val="00A92D0C"/>
    <w:rsid w:val="00A92F9E"/>
    <w:rsid w:val="00A94BD4"/>
    <w:rsid w:val="00A9643A"/>
    <w:rsid w:val="00A96D7F"/>
    <w:rsid w:val="00AA0CE7"/>
    <w:rsid w:val="00AA52A9"/>
    <w:rsid w:val="00AC1E9B"/>
    <w:rsid w:val="00AE3632"/>
    <w:rsid w:val="00AE7832"/>
    <w:rsid w:val="00AF4AFD"/>
    <w:rsid w:val="00AF5E4B"/>
    <w:rsid w:val="00B028CE"/>
    <w:rsid w:val="00B04821"/>
    <w:rsid w:val="00B074AC"/>
    <w:rsid w:val="00B10B57"/>
    <w:rsid w:val="00B23B29"/>
    <w:rsid w:val="00B31B47"/>
    <w:rsid w:val="00B36185"/>
    <w:rsid w:val="00B46600"/>
    <w:rsid w:val="00B517D9"/>
    <w:rsid w:val="00B657FA"/>
    <w:rsid w:val="00B668B9"/>
    <w:rsid w:val="00B670FB"/>
    <w:rsid w:val="00B733EF"/>
    <w:rsid w:val="00B80BD8"/>
    <w:rsid w:val="00B842BB"/>
    <w:rsid w:val="00BA078E"/>
    <w:rsid w:val="00BA4C03"/>
    <w:rsid w:val="00BB1258"/>
    <w:rsid w:val="00BB22F1"/>
    <w:rsid w:val="00BB44AE"/>
    <w:rsid w:val="00BC652C"/>
    <w:rsid w:val="00BD301A"/>
    <w:rsid w:val="00BE0BB8"/>
    <w:rsid w:val="00BE16E4"/>
    <w:rsid w:val="00BE42B8"/>
    <w:rsid w:val="00BF2999"/>
    <w:rsid w:val="00BF4DB1"/>
    <w:rsid w:val="00C003ED"/>
    <w:rsid w:val="00C00BB4"/>
    <w:rsid w:val="00C102FF"/>
    <w:rsid w:val="00C177A0"/>
    <w:rsid w:val="00C2160A"/>
    <w:rsid w:val="00C247D1"/>
    <w:rsid w:val="00C331C8"/>
    <w:rsid w:val="00C57BC2"/>
    <w:rsid w:val="00C87BD6"/>
    <w:rsid w:val="00C9616D"/>
    <w:rsid w:val="00CB29A5"/>
    <w:rsid w:val="00CB2B00"/>
    <w:rsid w:val="00CB612F"/>
    <w:rsid w:val="00CC0802"/>
    <w:rsid w:val="00CD151C"/>
    <w:rsid w:val="00CE347D"/>
    <w:rsid w:val="00CE3A08"/>
    <w:rsid w:val="00CE5475"/>
    <w:rsid w:val="00CE79EE"/>
    <w:rsid w:val="00CF2FA5"/>
    <w:rsid w:val="00CF5A96"/>
    <w:rsid w:val="00D028F3"/>
    <w:rsid w:val="00D1461A"/>
    <w:rsid w:val="00D176EA"/>
    <w:rsid w:val="00D212EE"/>
    <w:rsid w:val="00D40D12"/>
    <w:rsid w:val="00D4259D"/>
    <w:rsid w:val="00D45470"/>
    <w:rsid w:val="00D61E0D"/>
    <w:rsid w:val="00D671DC"/>
    <w:rsid w:val="00D71EF6"/>
    <w:rsid w:val="00D743CF"/>
    <w:rsid w:val="00D76381"/>
    <w:rsid w:val="00D92D8C"/>
    <w:rsid w:val="00DA39BE"/>
    <w:rsid w:val="00DB7B0C"/>
    <w:rsid w:val="00DC5526"/>
    <w:rsid w:val="00DD000F"/>
    <w:rsid w:val="00DD1E9D"/>
    <w:rsid w:val="00DE446B"/>
    <w:rsid w:val="00DF114D"/>
    <w:rsid w:val="00DF5E33"/>
    <w:rsid w:val="00E0121F"/>
    <w:rsid w:val="00E112B1"/>
    <w:rsid w:val="00E12EAD"/>
    <w:rsid w:val="00E43F44"/>
    <w:rsid w:val="00E637DE"/>
    <w:rsid w:val="00E730D7"/>
    <w:rsid w:val="00E75B98"/>
    <w:rsid w:val="00EA12D1"/>
    <w:rsid w:val="00EB7D0C"/>
    <w:rsid w:val="00EC60BE"/>
    <w:rsid w:val="00ED2FE5"/>
    <w:rsid w:val="00ED4477"/>
    <w:rsid w:val="00ED624C"/>
    <w:rsid w:val="00EE25ED"/>
    <w:rsid w:val="00EE7588"/>
    <w:rsid w:val="00EF64EF"/>
    <w:rsid w:val="00F00470"/>
    <w:rsid w:val="00F04ECA"/>
    <w:rsid w:val="00F143D4"/>
    <w:rsid w:val="00F23F65"/>
    <w:rsid w:val="00F310BE"/>
    <w:rsid w:val="00F32B42"/>
    <w:rsid w:val="00F33E03"/>
    <w:rsid w:val="00F36872"/>
    <w:rsid w:val="00F403D9"/>
    <w:rsid w:val="00F4156B"/>
    <w:rsid w:val="00F43092"/>
    <w:rsid w:val="00F75107"/>
    <w:rsid w:val="00F761FD"/>
    <w:rsid w:val="00F77901"/>
    <w:rsid w:val="00F8089A"/>
    <w:rsid w:val="00F925FE"/>
    <w:rsid w:val="00F96914"/>
    <w:rsid w:val="00FA0491"/>
    <w:rsid w:val="00FA652D"/>
    <w:rsid w:val="00FB5451"/>
    <w:rsid w:val="00FC11F6"/>
    <w:rsid w:val="00FD17A0"/>
    <w:rsid w:val="00FD5962"/>
    <w:rsid w:val="00FE077D"/>
    <w:rsid w:val="00FE1AE5"/>
    <w:rsid w:val="00FE2849"/>
    <w:rsid w:val="00FE6E93"/>
    <w:rsid w:val="00FE7BA1"/>
    <w:rsid w:val="00FF73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30BA28"/>
  <w15:docId w15:val="{E7542C4F-4A07-2849-B5DA-92DBAFF75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FE0"/>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styleId="a9">
    <w:name w:val="Placeholder Text"/>
    <w:basedOn w:val="a0"/>
    <w:uiPriority w:val="99"/>
    <w:semiHidden/>
    <w:rsid w:val="006D461C"/>
    <w:rPr>
      <w:color w:val="666666"/>
    </w:rPr>
  </w:style>
  <w:style w:type="paragraph" w:styleId="aa">
    <w:name w:val="Bibliography"/>
    <w:basedOn w:val="a"/>
    <w:next w:val="a"/>
    <w:uiPriority w:val="37"/>
    <w:unhideWhenUsed/>
    <w:rsid w:val="00B517D9"/>
    <w:pPr>
      <w:tabs>
        <w:tab w:val="left" w:pos="260"/>
      </w:tabs>
      <w:spacing w:line="480" w:lineRule="auto"/>
      <w:ind w:left="264" w:hanging="264"/>
    </w:pPr>
  </w:style>
  <w:style w:type="paragraph" w:styleId="ab">
    <w:name w:val="endnote text"/>
    <w:basedOn w:val="a"/>
    <w:link w:val="ac"/>
    <w:uiPriority w:val="99"/>
    <w:semiHidden/>
    <w:unhideWhenUsed/>
    <w:rsid w:val="00A9643A"/>
    <w:pPr>
      <w:snapToGrid w:val="0"/>
    </w:pPr>
  </w:style>
  <w:style w:type="character" w:customStyle="1" w:styleId="ac">
    <w:name w:val="文末脚注文字列 (文字)"/>
    <w:basedOn w:val="a0"/>
    <w:link w:val="ab"/>
    <w:uiPriority w:val="99"/>
    <w:semiHidden/>
    <w:rsid w:val="00A9643A"/>
  </w:style>
  <w:style w:type="character" w:styleId="ad">
    <w:name w:val="endnote reference"/>
    <w:basedOn w:val="a0"/>
    <w:uiPriority w:val="99"/>
    <w:semiHidden/>
    <w:unhideWhenUsed/>
    <w:rsid w:val="00A9643A"/>
    <w:rPr>
      <w:vertAlign w:val="superscript"/>
    </w:rPr>
  </w:style>
  <w:style w:type="paragraph" w:styleId="ae">
    <w:name w:val="footer"/>
    <w:basedOn w:val="a"/>
    <w:link w:val="af"/>
    <w:uiPriority w:val="99"/>
    <w:unhideWhenUsed/>
    <w:rsid w:val="007F6EC5"/>
    <w:pPr>
      <w:tabs>
        <w:tab w:val="center" w:pos="4252"/>
        <w:tab w:val="right" w:pos="8504"/>
      </w:tabs>
      <w:snapToGrid w:val="0"/>
    </w:pPr>
  </w:style>
  <w:style w:type="character" w:customStyle="1" w:styleId="af">
    <w:name w:val="フッター (文字)"/>
    <w:basedOn w:val="a0"/>
    <w:link w:val="ae"/>
    <w:uiPriority w:val="99"/>
    <w:rsid w:val="007F6EC5"/>
  </w:style>
  <w:style w:type="character" w:styleId="af0">
    <w:name w:val="page number"/>
    <w:basedOn w:val="a0"/>
    <w:uiPriority w:val="99"/>
    <w:semiHidden/>
    <w:unhideWhenUsed/>
    <w:rsid w:val="007F6EC5"/>
  </w:style>
  <w:style w:type="character" w:styleId="af1">
    <w:name w:val="Unresolved Mention"/>
    <w:basedOn w:val="a0"/>
    <w:uiPriority w:val="99"/>
    <w:semiHidden/>
    <w:unhideWhenUsed/>
    <w:rsid w:val="003E7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D2FAC9-BD8A-654F-A171-B6B9EC0D7ABE}">
  <we:reference id="f78a3046-9e99-4300-aa2b-5814002b01a2" version="1.55.1.0" store="EXCatalog" storeType="EXCatalog"/>
  <we:alternateReferences>
    <we:reference id="WA104382081" version="1.55.1.0" store="ja-JP" storeType="OMEX"/>
  </we:alternateReferences>
  <we:properties>
    <we:property name="MENDELEY_BIBLIOGRAPHY_IS_DIRTY" value="true"/>
    <we:property name="MENDELEY_BIBLIOGRAPHY_LAST_MODIFIED" value="1772178663270"/>
    <we:property name="MENDELEY_CITATIONS" value="[]"/>
    <we:property name="MENDELEY_CITATIONS_LOCALE_CODE" value="&quot;en-GB&quot;"/>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752D6-315B-6B47-BEAD-E793940D3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22</Pages>
  <Words>13941</Words>
  <Characters>90199</Characters>
  <Application>Microsoft Office Word</Application>
  <DocSecurity>0</DocSecurity>
  <Lines>1610</Lines>
  <Paragraphs>381</Paragraphs>
  <ScaleCrop>false</ScaleCrop>
  <Company/>
  <LinksUpToDate>false</LinksUpToDate>
  <CharactersWithSpaces>103759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柳　靖雄</cp:lastModifiedBy>
  <cp:revision>321</cp:revision>
  <dcterms:created xsi:type="dcterms:W3CDTF">2026-02-14T06:23:00Z</dcterms:created>
  <dcterms:modified xsi:type="dcterms:W3CDTF">2026-03-16T03:23:00Z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id="6wCecmOO"/&gt;&lt;style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