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d390c6c8ca6abf36b654ce4124ea06102b0ff15"/>
    <w:p>
      <w:pPr>
        <w:pStyle w:val="Heading1"/>
      </w:pPr>
      <w:r>
        <w:t xml:space="preserve">Novel Semi-Automated System for Multi-Dimensional Analysis of Macular Neovascularization: Quantitative Biomarkers and Rule-Based Morphological Categorization Across OCTA Platforms</w:t>
      </w:r>
    </w:p>
    <w:p>
      <w:pPr>
        <w:pStyle w:val="FirstParagraph"/>
      </w:pPr>
      <w:r>
        <w:t xml:space="preserve">Yasuo Yanagi, Maiko Maruyama-Inoue, Tatsuya Inoue and Kazuaki Kadonosono</w:t>
      </w:r>
    </w:p>
    <w:p>
      <w:pPr>
        <w:pStyle w:val="BodyText"/>
      </w:pPr>
      <w:r>
        <w:t xml:space="preserve">Department of Ophthalmology and Micro-Technology, Yokohama City University, 4-57 Urafune, Minami-ku, Yokohama, Kanagawa, 232-0024, Japan.</w:t>
      </w:r>
    </w:p>
    <w:p>
      <w:pPr>
        <w:pStyle w:val="BodyText"/>
      </w:pPr>
      <w:r>
        <w:rPr>
          <w:b/>
          <w:bCs/>
        </w:rPr>
        <w:t xml:space="preserve">Correspondence:</w:t>
      </w:r>
      <w:r>
        <w:t xml:space="preserve"> </w:t>
      </w:r>
      <w:r>
        <w:t xml:space="preserve">Yasuo Yanagi</w:t>
      </w:r>
      <w:r>
        <w:t xml:space="preserve"> </w:t>
      </w:r>
      <w:r>
        <w:t xml:space="preserve">yanagi.yas.wu@yokohama-cu.ac.jp</w:t>
      </w:r>
      <w:r>
        <w:t xml:space="preserve"> </w:t>
      </w:r>
      <w:r>
        <w:t xml:space="preserve">Department of Ophthalmology and Micro-technology, Graduate School of Medicine, Yokohama City University, Yokohama, Japan</w:t>
      </w:r>
    </w:p>
    <w:p>
      <w:pPr>
        <w:pStyle w:val="BodyText"/>
      </w:pPr>
      <w:r>
        <w:rPr>
          <w:b/>
          <w:bCs/>
        </w:rPr>
        <w:t xml:space="preserve">Conflict of Interest:</w:t>
      </w:r>
      <w:r>
        <w:t xml:space="preserve"> </w:t>
      </w:r>
      <w:r>
        <w:t xml:space="preserve">Y. Yanagi — Consultant/Speaker for Astellas Pharmaceutical, Bayer Yakuhin Ltd, Roche/Chugai Pharmaceutical Co., Ltd., Novartis Pharma K.K., Boehringer Ingelheim Co., Ltd., Santen Pharmaceutical Co., Ltd., Senju Pharmaceutical Co.</w:t>
      </w:r>
    </w:p>
    <w:p>
      <w:pPr>
        <w:pStyle w:val="BodyText"/>
      </w:pPr>
      <w:r>
        <w:rPr>
          <w:b/>
          <w:bCs/>
        </w:rPr>
        <w:t xml:space="preserve">Funding Declaration:</w:t>
      </w:r>
      <w:r>
        <w:t xml:space="preserve"> </w:t>
      </w:r>
      <w:r>
        <w:t xml:space="preserve">Micron Co., Ltd. provided funding support to the development of the image analysis system.</w:t>
      </w:r>
    </w:p>
    <w:p>
      <w:pPr>
        <w:pStyle w:val="BodyText"/>
      </w:pPr>
      <w:r>
        <w:rPr>
          <w:b/>
          <w:bCs/>
        </w:rPr>
        <w:t xml:space="preserve">Author contributions:</w:t>
      </w:r>
      <w:r>
        <w:t xml:space="preserve"> </w:t>
      </w:r>
      <w:r>
        <w:t xml:space="preserve">Y.Y. wrote the main manuscript text and T.I. and M.I. prepared figures. All authors reviewed the manuscript.</w:t>
      </w:r>
    </w:p>
    <w:p>
      <w:r>
        <w:pict>
          <v:rect style="width:0;height:1.5pt" o:hralign="center" o:hrstd="t" o:hr="t"/>
        </w:pict>
      </w:r>
    </w:p>
    <w:bookmarkStart w:id="9" w:name="key-messages"/>
    <w:p>
      <w:pPr>
        <w:pStyle w:val="Heading2"/>
      </w:pPr>
      <w:r>
        <w:t xml:space="preserve">Key Messages</w:t>
      </w:r>
    </w:p>
    <w:p>
      <w:pPr>
        <w:pStyle w:val="FirstParagraph"/>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Vascular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Purpose:</w:t>
      </w:r>
      <w:r>
        <w:t xml:space="preserve"> </w:t>
      </w:r>
      <w:r>
        <w:t xml:space="preserve">To introduce a novel semi-automated ImageJ-/Python-based pipeline for multi-dimensional analysis of macular neovascularization (MNV) on OCTA. The system is benchmarked against quantitative parameters from recent literature and provides standardized biomarkers together with rule-based morphological categorization and morphology-derived interpretive labels (hypothesis-generating; not clinically validated disease-behavior classes).</w:t>
      </w:r>
    </w:p>
    <w:p>
      <w:pPr>
        <w:pStyle w:val="BodyText"/>
      </w:pPr>
      <w:r>
        <w:rPr>
          <w:b/>
          <w:bCs/>
        </w:rPr>
        <w:t xml:space="preserve">Methods:</w:t>
      </w:r>
      <w:r>
        <w:t xml:space="preserve"> </w:t>
      </w:r>
      <w:r>
        <w:t xml:space="preserve">We developed an image-processing pipeline incorporating hybrid multiscale vessel enhancement (Frangi/tubeness and Laplacian of Gaussian filters), Phansalkar adaptive binarization, dynamic region-of-interest (ROI) refinement, and boundary-branch exclusion. The system generates a Standardized Vascular Complexity Score and a Standardized Caliber Uniformity Score (0–100), a Standardized Maturity Index, and rule-based labels for Medusa, Seafan, Glomerular, Tree in bud, and Dead tree patterns, with disclosed percentile and trunk-pattern thresholds. Morphology-derived interpretive categories (Active-pattern, Mature-quiescent-pattern, Transitional-pattern, Arteriolarized-pattern) are assigned from quantitative rules and published morphological criteria, without longitudinal clinical anchors. A total of 112 MNV lesions imaged on three OCTA platforms (Zeiss PlexElite 6×6 mm, Zeiss CIRRUS AngioPlex 3×3 mm, Optovue Solix 6×6 mm) were analyzed. Masked expert–automated morphological agreement was assessed on a stratified subset (n = 54). Inter-observer reproducibility was assessed with three operators on n = 46 lesions (ICC(2,1)); same-operator intra-observer test–retest was assessed as a supplement (n = 46). Between-stratum score differences were summarized with Kruskal–Wallis tests and ε² effect sizes with bootstrap 95% confidence intervals.</w:t>
      </w:r>
    </w:p>
    <w:p>
      <w:pPr>
        <w:pStyle w:val="BodyText"/>
      </w:pPr>
      <w:r>
        <w:rPr>
          <w:b/>
          <w:bCs/>
        </w:rPr>
        <w:t xml:space="preserve">Results:</w:t>
      </w:r>
      <w:r>
        <w:t xml:space="preserve"> </w:t>
      </w:r>
      <w:r>
        <w:t xml:space="preserve">Raw topological metrics differed substantially by device, precluding direct numerical comparison. Stratum-specific standardization (PCA for Vascular Complexity; Standardized Caliber Uniformity Score from NV Diameter CV + Dilated vessel %) placed scores on a common 0–100 reporting scale for rule-based thresholds; because median-anchored piecewise mapping targets 50 by construction, median proximity to 50 is not evidence of biological equivalence across devices. Under the Standardized Caliber Uniformity Score, Complexity Score, Caliber Uniformity, and Maturity Index did not differ significantly across strata (Kruskal–Wallis p = 0.425 / 0.572 / 0.582; ε² ≈ 0). Rule-based morphological categorization identified the spectrum of MNV subtypes across platforms. Agreement with masked expert grading was modest-to-moderate (overall agreement 57.4%; quadratic weighted κ = 0.507). Inter-observer ICC(2,1) was good for lesion area (0.859), Complexity Score (0.807), and Standardized Caliber Uniformity Score (0.770), and moderate for Maturity Index derived from that Caliber score (0.593).</w:t>
      </w:r>
    </w:p>
    <w:p>
      <w:pPr>
        <w:pStyle w:val="BodyText"/>
      </w:pPr>
      <w:r>
        <w:rPr>
          <w:b/>
          <w:bCs/>
        </w:rPr>
        <w:t xml:space="preserve">Conclusion:</w:t>
      </w:r>
      <w:r>
        <w:t xml:space="preserve"> </w:t>
      </w:r>
      <w:r>
        <w:t xml:space="preserve">This system provides a transparent platform for stratum-standardized quantification and rule-based morphological reporting of MNV architecture across OCTA platforms, establishing a common reporting framework for comparative analyses. Morphology-derived interpretive categories are hypothesis-generating. Future outcome-linked and multi-center evaluations will further establish the clinical utility of these quantitative tools.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pPr>
        <w:pStyle w:val="BodyText"/>
      </w:pPr>
      <w:r>
        <w:t xml:space="preserve">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pPr>
        <w:pStyle w:val="BodyText"/>
      </w:pPr>
      <w:r>
        <w:t xml:space="preserve">This paper presents a novel semi-automated framework designed to enhance the transparency and reproducibility of MNV quantification. We benchmark our parameters against recent literature and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p>
    <w:p>
      <w:r>
        <w:pict>
          <v:rect style="width:0;height:1.5pt" o:hralign="center" o:hrstd="t" o:hr="t"/>
        </w:pict>
      </w:r>
    </w:p>
    <w:bookmarkEnd w:id="11"/>
    <w:bookmarkStart w:id="24" w:name="methods"/>
    <w:p>
      <w:pPr>
        <w:pStyle w:val="Heading2"/>
      </w:pPr>
      <w:r>
        <w:t xml:space="preserve">Methods</w:t>
      </w:r>
    </w:p>
    <w:bookmarkStart w:id="12" w:name="X7854f73b4d5bf32e32719e61e54cbb18a80d6f9"/>
    <w:p>
      <w:pPr>
        <w:pStyle w:val="Heading3"/>
      </w:pPr>
      <w:r>
        <w:t xml:space="preserve">Study Population and Acquisition Protocols</w:t>
      </w:r>
    </w:p>
    <w:p>
      <w:pPr>
        <w:pStyle w:val="FirstParagraph"/>
      </w:pPr>
      <w:r>
        <w:t xml:space="preserve">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w:t>
      </w:r>
      <w:r>
        <w:t xml:space="preserve"> </w:t>
      </w:r>
      <w:r>
        <w:rPr>
          <w:b/>
          <w:bCs/>
        </w:rPr>
        <w:t xml:space="preserve">large</w:t>
      </w:r>
      <w:r>
        <w:t xml:space="preserve"> </w:t>
      </w:r>
      <w:r>
        <w:t xml:space="preserve">group (n = 49) comprised 6×6 mm acquisitions on the Zeiss PlexElite 9000 (swept-source OCTA, 1060 nm). The</w:t>
      </w:r>
      <w:r>
        <w:t xml:space="preserve"> </w:t>
      </w:r>
      <w:r>
        <w:rPr>
          <w:b/>
          <w:bCs/>
        </w:rPr>
        <w:t xml:space="preserve">small_3mm</w:t>
      </w:r>
      <w:r>
        <w:t xml:space="preserve"> </w:t>
      </w:r>
      <w:r>
        <w:t xml:space="preserve">group (n = 30) comprised 3×3 mm acquisitions on the Zeiss CIRRUS HD-OCT with AngioPlex (spectral-domain OCTA, 840 nm). The</w:t>
      </w:r>
      <w:r>
        <w:t xml:space="preserve"> </w:t>
      </w:r>
      <w:r>
        <w:rPr>
          <w:b/>
          <w:bCs/>
        </w:rPr>
        <w:t xml:space="preserve">small</w:t>
      </w:r>
      <w:r>
        <w:t xml:space="preserve"> </w:t>
      </w:r>
      <w:r>
        <w:t xml:space="preserve">group (n = 33) comprised 6×6 mm acquisitions on the</w:t>
      </w:r>
      <w:r>
        <w:t xml:space="preserve"> </w:t>
      </w:r>
      <w:r>
        <w:rPr>
          <w:b/>
          <w:bCs/>
        </w:rPr>
        <w:t xml:space="preserve">Optovue Solix</w:t>
      </w:r>
      <w:r>
        <w:t xml:space="preserve"> </w:t>
      </w:r>
      <w:r>
        <w:t xml:space="preserve">(Optovue/Visionix; swept-source OCTA, 1060 nm).</w:t>
      </w:r>
    </w:p>
    <w:p>
      <w:pPr>
        <w:pStyle w:val="BodyText"/>
      </w:pPr>
      <w:r>
        <w:t xml:space="preserve">All included eyes were</w:t>
      </w:r>
      <w:r>
        <w:t xml:space="preserve"> </w:t>
      </w:r>
      <w:r>
        <w:rPr>
          <w:b/>
          <w:bCs/>
        </w:rPr>
        <w:t xml:space="preserve">treatment-naïve</w:t>
      </w:r>
      <w:r>
        <w:t xml:space="preserve"> </w:t>
      </w:r>
      <w:r>
        <w:t xml:space="preserve">Type 1 or Type 2 MNV secondary to neovascular AMD, diagnosed by retinal specialists using structural OCT and multimodal imaging. To ensure patient privacy in the anonymized research archive, detailed demographic and clinical covariates (age, sex, laterality, visual acuity, finer lesion-type breakdown) were excluded from the dataset; consequently, these cannot be tabulated by device group. The use of three hardware platforms—differing in manufacturer, OCTA modality, wavelength, scanning protocol, and field size—was intentional: it provides a multi-device setting in which to evaluate stratum-specific standardization for cross-device</w:t>
      </w:r>
      <w:r>
        <w:t xml:space="preserve"> </w:t>
      </w:r>
      <w:r>
        <w:rPr>
          <w:b/>
          <w:bCs/>
        </w:rPr>
        <w:t xml:space="preserve">reporting</w:t>
      </w:r>
      <w:r>
        <w:t xml:space="preserve">, not a claim of biological interchangeability of raw metrics.</w:t>
      </w:r>
    </w:p>
    <w:bookmarkEnd w:id="12"/>
    <w:bookmarkStart w:id="13" w:name="analytical-framework"/>
    <w:p>
      <w:pPr>
        <w:pStyle w:val="Heading3"/>
      </w:pPr>
      <w:r>
        <w:t xml:space="preserve">Analytical Framework</w:t>
      </w:r>
    </w:p>
    <w:p>
      <w:pPr>
        <w:pStyle w:val="FirstParagraph"/>
      </w:pPr>
      <w:r>
        <w:t xml:space="preserve">The analytical framework was initially implemented as a comprehensive ImageJ macro and later in Python. 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pPr>
        <w:pStyle w:val="BodyText"/>
      </w:pPr>
      <w:r>
        <w:t xml:space="preserve">The core pipeline operates after freehand delineation of the MNV lesion by the user. This input defines the ROI for subsequent automated processing (Figure 2; representative processing panels in Figure 3). The pipeline comprises the stages below.</w:t>
      </w:r>
    </w:p>
    <w:bookmarkEnd w:id="13"/>
    <w:bookmarkStart w:id="14" w:name="Xb8173c599fb4ef779aa8cd4698af836e7635b53"/>
    <w:p>
      <w:pPr>
        <w:pStyle w:val="Heading3"/>
      </w:pPr>
      <w:r>
        <w:t xml:space="preserve">Artifact Mitigation and Spatial Organization</w:t>
      </w:r>
    </w:p>
    <w:p>
      <w:pPr>
        <w:pStyle w:val="FirstParagraph"/>
      </w:pPr>
      <w:r>
        <w:t xml:space="preserve">This stage addresses critical sources of error in existing analysis software.</w:t>
      </w:r>
    </w:p>
    <w:p>
      <w:pPr>
        <w:numPr>
          <w:ilvl w:val="0"/>
          <w:numId w:val="1001"/>
        </w:numPr>
      </w:pPr>
      <w:r>
        <w:rPr>
          <w:b/>
          <w:bCs/>
        </w:rPr>
        <w:t xml:space="preserve">ROI refinement.</w:t>
      </w:r>
      <w:r>
        <w:t xml:space="preserve"> </w:t>
      </w:r>
      <w:r>
        <w:t xml:space="preserve">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pPr>
        <w:numPr>
          <w:ilvl w:val="0"/>
          <w:numId w:val="1001"/>
        </w:numPr>
      </w:pPr>
      <w:r>
        <w:rPr>
          <w:b/>
          <w:bCs/>
        </w:rPr>
        <w:t xml:space="preserve">Hybrid multiscale vessel enhancement.</w:t>
      </w:r>
      <w:r>
        <w:t xml:space="preserve"> </w:t>
      </w:r>
      <w:r>
        <w:t xml:space="preserve">A combination of Frangi (tubeness) and Laplacian of Gaussian (LoG) filters accentuates vessels of varying calibers. Fusion of complementary filters can improve vessel detection relative to single-filter methods [10–12]. Frangi (scales 0.8–4.0) identifies tubular structures; LoG detects edges. Their combined use supports enhancement of complex, multi-scale MNV networks in low-contrast OCTA images.</w:t>
      </w:r>
    </w:p>
    <w:p>
      <w:pPr>
        <w:numPr>
          <w:ilvl w:val="0"/>
          <w:numId w:val="1001"/>
        </w:numPr>
      </w:pPr>
      <w:r>
        <w:rPr>
          <w:b/>
          <w:bCs/>
        </w:rPr>
        <w:t xml:space="preserve">Binarization</w:t>
      </w:r>
      <w:r>
        <w:t xml:space="preserve"> </w:t>
      </w:r>
      <w:r>
        <w:t xml:space="preserve">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cut-point—often leading to the erosion of fine peripheral capillaries or the inclusion of background speckles in overlapping distributions—Phansalkar’s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p>
    <w:p>
      <w:pPr>
        <w:numPr>
          <w:ilvl w:val="0"/>
          <w:numId w:val="1001"/>
        </w:numPr>
      </w:pPr>
      <w:r>
        <w:rPr>
          <w:b/>
          <w:bCs/>
        </w:rPr>
        <w:t xml:space="preserve">Post-processing and skeletonization.</w:t>
      </w:r>
      <w:r>
        <w:t xml:space="preserve"> </w:t>
      </w:r>
      <w:r>
        <w:t xml:space="preserve">The binary image is refined by morphological reconstitution and skeletonized to a one-pixel-wide centerline for topological analysis.</w:t>
      </w:r>
    </w:p>
    <w:p>
      <w:pPr>
        <w:numPr>
          <w:ilvl w:val="0"/>
          <w:numId w:val="1001"/>
        </w:numPr>
      </w:pPr>
      <w:r>
        <w:rPr>
          <w:b/>
          <w:bCs/>
        </w:rPr>
        <w:t xml:space="preserve">Boundary-branch exclusion.</w:t>
      </w:r>
      <w:r>
        <w:t xml:space="preserve"> </w:t>
      </w:r>
      <w:r>
        <w:t xml:space="preserve">The refined ROI is divided into Center and Periphery zones. Branches existing solely within the Periphery or spanning both zones are flagged as boundary branches and excluded from calculations of average branch length, junction density, and tortuosity, limiting skew from incomplete peripheral vessels.</w:t>
      </w:r>
    </w:p>
    <w:bookmarkEnd w:id="14"/>
    <w:bookmarkStart w:id="15" w:name="quantitative-analysis"/>
    <w:p>
      <w:pPr>
        <w:pStyle w:val="Heading3"/>
      </w:pPr>
      <w:r>
        <w:t xml:space="preserve">Quantitative Analysis</w:t>
      </w:r>
    </w:p>
    <w:p>
      <w:pPr>
        <w:pStyle w:val="FirstParagraph"/>
      </w:pPr>
      <w:r>
        <w:t xml:space="preserve">This stage computes a comprehensive set of parameters, including major metrics identified in the literature review, and introduces integrated scores. Table 1 summarizes the quantitative parameters obtained in this study; separate columns list inter-rater and intra-rater ICC(2,1) (or κ for morphological subtypes) for available lesion metrics.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bookmarkEnd w:id="15"/>
    <w:bookmarkStart w:id="19" w:name="standardized-score-computation"/>
    <w:p>
      <w:pPr>
        <w:pStyle w:val="Heading3"/>
      </w:pPr>
      <w:r>
        <w:t xml:space="preserve">Standardized Score Computation</w:t>
      </w:r>
    </w:p>
    <w:bookmarkStart w:id="16" w:name="X62fc10c18012e46062b00f54b899d057c99cedc"/>
    <w:p>
      <w:pPr>
        <w:pStyle w:val="Heading4"/>
      </w:pPr>
      <w:r>
        <w:t xml:space="preserve">Standardized Vascular Complexity Score (0–100)</w:t>
      </w:r>
    </w:p>
    <w:p>
      <w:pPr>
        <w:pStyle w:val="FirstParagraph"/>
      </w:pPr>
      <w:r>
        <w:t xml:space="preserve">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fixed trunk-distribution constant (TrunkDist = 50, used in the absence of device-specific calibration) using weights 0.7, 0.2, and 0.1. To place scores on a common 0–100</w:t>
      </w:r>
      <w:r>
        <w:t xml:space="preserve"> </w:t>
      </w:r>
      <w:r>
        <w:rPr>
          <w:b/>
          <w:bCs/>
        </w:rPr>
        <w:t xml:space="preserve">reporting</w:t>
      </w:r>
      <w:r>
        <w:t xml:space="preserve"> </w:t>
      </w:r>
      <w:r>
        <w:t xml:space="preserve">scale within each stratum, PC1 and PC2 were independently subjected to piecewise-linear normalization in which the within-stratum median maps to 50, the stratum minimum to 0, and the stratum maximum to 100. This normalization ensures consistent within-stratum scaling for rule-based thresholds, establishing a standardized framework for comparative reporting across diverse acquisition settings.</w:t>
      </w:r>
    </w:p>
    <w:bookmarkEnd w:id="16"/>
    <w:bookmarkStart w:id="17" w:name="X326695e2ddfb990c0fa24a0fd0639d08e390a29"/>
    <w:p>
      <w:pPr>
        <w:pStyle w:val="Heading4"/>
      </w:pPr>
      <w:r>
        <w:t xml:space="preserve">Standardized Caliber Uniformity Score (0–100)</w:t>
      </w:r>
    </w:p>
    <w:p>
      <w:pPr>
        <w:pStyle w:val="FirstParagraph"/>
      </w:pPr>
      <w:r>
        <w:t xml:space="preserve">Vascular caliber uniformity was quantified from two skeleton-derived morphometric features already exported by the pipeline: (1) the coefficient of variation of neovascular vessel diameter (NV Diameter CV); and (2) the fraction of dilated vessel length (Dilated vessel %; segments exceeding mean + 2.0 × SD of vessel diameters). An initial PCA-based score was developed; however, it showed suboptimal inter-observer concordance and was therefore replaced by the current Standardized Caliber Uniformity Score. For each acquisition stratum (large, small, and small_3mm — corresponding to Zeiss PlexElite 6×6 mm, Optovue Solix 6×6 mm, and Zeiss CIRRUS AngioPlex 3×3 mm), reference min/median/max cuts for both features were locked from the manuscript reference cohorts and were not re-estimated on analysis batches or on the ICC pool. Each feature was converted to a uniformity axis by piecewise-linear scaling of its negated value (−NV Diameter CV; −Dilated vessel fraction) so that the stratum minimum, median, and maximum map to 0, 50, and 100, respectively (higher score = more uniform caliber / fewer dilated extremes as operationalized). The Standardized Caliber Uniformity Score was then defined as</w:t>
      </w:r>
    </w:p>
    <w:p>
      <w:pPr>
        <w:pStyle w:val="BodyText"/>
      </w:pPr>
      <w:r>
        <w:t xml:space="preserve">Score = clip(0.75 × U(−NV Diameter CV) + 0.25 × U(−Dilated vessel %), 0, 100),</w:t>
      </w:r>
    </w:p>
    <w:p>
      <w:pPr>
        <w:pStyle w:val="BodyText"/>
      </w:pPr>
      <w:r>
        <w:t xml:space="preserve">where U(·) denotes the stratum-specific piecewise map. Weights (0.75 / 0.25) emphasize global diameter dispersion while retaining an independent dilated-fraction axis. Where the text refers conceptually to “stability,” this denotes caliber uniformity as operationalized by this score.</w:t>
      </w:r>
    </w:p>
    <w:bookmarkEnd w:id="17"/>
    <w:bookmarkStart w:id="18" w:name="standardized-maturity-index-0100"/>
    <w:p>
      <w:pPr>
        <w:pStyle w:val="Heading4"/>
      </w:pPr>
      <w:r>
        <w:t xml:space="preserve">Standardized Maturity Index (0–100)</w:t>
      </w:r>
    </w:p>
    <w:p>
      <w:pPr>
        <w:pStyle w:val="FirstParagraph"/>
      </w:pPr>
      <w:r>
        <w:t xml:space="preserve">The Standardized Maturity Index was defined as:</w:t>
      </w:r>
    </w:p>
    <w:p>
      <w:pPr>
        <w:pStyle w:val="BodyText"/>
      </w:pPr>
      <w:r>
        <w:t xml:space="preserve">Maturity Index = clip(50 + (Caliber Uniformity Score − Complexity Score) / 2, 0, 100).</w:t>
      </w:r>
    </w:p>
    <w:p>
      <w:pPr>
        <w:pStyle w:val="BodyText"/>
      </w:pPr>
      <w:r>
        <w:t xml:space="preserve">This formulation encodes the morphological notion that higher caliber uniformity relative to network complexity yields higher index values; values above 50 indicate a uniformity-dominant pattern and values below 50 a complexity-dominant pattern. These values are treated as</w:t>
      </w:r>
      <w:r>
        <w:t xml:space="preserve"> </w:t>
      </w:r>
      <w:r>
        <w:rPr>
          <w:b/>
          <w:bCs/>
        </w:rPr>
        <w:t xml:space="preserve">morphology-derived</w:t>
      </w:r>
      <w:r>
        <w:t xml:space="preserve"> </w:t>
      </w:r>
      <w:r>
        <w:t xml:space="preserve">descriptors, not as confirmed clinical maturity or quiescence.</w:t>
      </w:r>
    </w:p>
    <w:bookmarkEnd w:id="18"/>
    <w:bookmarkEnd w:id="19"/>
    <w:bookmarkStart w:id="20" w:name="X689f10bb5cb75aca66f2cea65f56da6e72ac435"/>
    <w:p>
      <w:pPr>
        <w:pStyle w:val="Heading3"/>
      </w:pPr>
      <w:r>
        <w:t xml:space="preserve">Rule-Based Morphological Categorization and Morphology-Derived Interpretive Categories</w:t>
      </w:r>
    </w:p>
    <w:p>
      <w:pPr>
        <w:pStyle w:val="FirstParagraph"/>
      </w:pPr>
      <w:r>
        <w:rPr>
          <w:b/>
          <w:bCs/>
        </w:rPr>
        <w:t xml:space="preserve">Level 1 — morphological subtypes (operational five-class scheme).</w:t>
      </w:r>
      <w:r>
        <w:t xml:space="preserve"> </w:t>
      </w:r>
      <w:r>
        <w:t xml:space="preserve">Using stratum-specific reference percentiles of the Standardized Vascular Complexity Score and the trunk pattern (MEDUSA / SEAFAN / INTERMEDIATE) derived from spatial organization of large-caliber segments, lesions are labeled in priority order as:</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Subtype</w:t>
            </w:r>
          </w:p>
        </w:tc>
        <w:tc>
          <w:tcPr/>
          <w:p>
            <w:pPr>
              <w:pStyle w:val="Compact"/>
            </w:pPr>
            <w:r>
              <w:t xml:space="preserve">Decision rule (summary)</w:t>
            </w:r>
          </w:p>
        </w:tc>
      </w:tr>
      <w:tr>
        <w:tc>
          <w:tcPr/>
          <w:p>
            <w:pPr>
              <w:pStyle w:val="Compact"/>
            </w:pPr>
            <w:r>
              <w:t xml:space="preserve">Dead tree</w:t>
            </w:r>
          </w:p>
        </w:tc>
        <w:tc>
          <w:tcPr/>
          <w:p>
            <w:pPr>
              <w:pStyle w:val="Compact"/>
            </w:pPr>
            <w:r>
              <w:t xml:space="preserve">Complexity Score &lt; stratum P10</w:t>
            </w:r>
          </w:p>
        </w:tc>
      </w:tr>
      <w:tr>
        <w:tc>
          <w:tcPr/>
          <w:p>
            <w:pPr>
              <w:pStyle w:val="Compact"/>
            </w:pPr>
            <w:r>
              <w:t xml:space="preserve">Medusa</w:t>
            </w:r>
          </w:p>
        </w:tc>
        <w:tc>
          <w:tcPr/>
          <w:p>
            <w:pPr>
              <w:pStyle w:val="Compact"/>
            </w:pPr>
            <w:r>
              <w:t xml:space="preserve">Trunk pattern MEDUSA and Complexity Score ≥ stratum P65</w:t>
            </w:r>
          </w:p>
        </w:tc>
      </w:tr>
      <w:tr>
        <w:tc>
          <w:tcPr/>
          <w:p>
            <w:pPr>
              <w:pStyle w:val="Compact"/>
            </w:pPr>
            <w:r>
              <w:t xml:space="preserve">Seafan</w:t>
            </w:r>
          </w:p>
        </w:tc>
        <w:tc>
          <w:tcPr/>
          <w:p>
            <w:pPr>
              <w:pStyle w:val="Compact"/>
            </w:pPr>
            <w:r>
              <w:t xml:space="preserve">Trunk pattern SEAFAN and Complexity Score ≥ stratum P40</w:t>
            </w:r>
          </w:p>
        </w:tc>
      </w:tr>
      <w:tr>
        <w:tc>
          <w:tcPr/>
          <w:p>
            <w:pPr>
              <w:pStyle w:val="Compact"/>
            </w:pPr>
            <w:r>
              <w:t xml:space="preserve">Glomerular</w:t>
            </w:r>
          </w:p>
        </w:tc>
        <w:tc>
          <w:tcPr/>
          <w:p>
            <w:pPr>
              <w:pStyle w:val="Compact"/>
            </w:pPr>
            <w:r>
              <w:t xml:space="preserve">Complexity Score ≥ stratum P30 (trunk-independent)</w:t>
            </w:r>
          </w:p>
        </w:tc>
      </w:tr>
      <w:tr>
        <w:tc>
          <w:tcPr/>
          <w:p>
            <w:pPr>
              <w:pStyle w:val="Compact"/>
            </w:pPr>
            <w:r>
              <w:t xml:space="preserve">Tree in bud</w:t>
            </w:r>
          </w:p>
        </w:tc>
        <w:tc>
          <w:tcPr/>
          <w:p>
            <w:pPr>
              <w:pStyle w:val="Compact"/>
            </w:pPr>
            <w:r>
              <w:t xml:space="preserve">Remainder (typically intermediate trunk / mid-low complexity)</w:t>
            </w:r>
          </w:p>
        </w:tc>
      </w:tr>
    </w:tbl>
    <w:p>
      <w:pPr>
        <w:pStyle w:val="BodyText"/>
      </w:pPr>
      <w:r>
        <w:t xml:space="preserve">Exact stratum percentile cut-points are taken from the locked reference files used by the classifier and are summarized in Supplementary Table S1. For the small (Optovue Solix) stratum, the Complexity percentile locking cohort has n = 34, whereas the primary analysis batch used for Table 3 has n = 33; locked cut-points were not re-estimated on the analysis batch. Spelling is standardized to</w:t>
      </w:r>
      <w:r>
        <w:t xml:space="preserve"> </w:t>
      </w:r>
      <w:r>
        <w:rPr>
          <w:b/>
          <w:bCs/>
        </w:rPr>
        <w:t xml:space="preserve">Tree in bud</w:t>
      </w:r>
      <w:r>
        <w:t xml:space="preserve">. Categories such as “Pruned tree” or “Large vessels” are</w:t>
      </w:r>
      <w:r>
        <w:t xml:space="preserve"> </w:t>
      </w:r>
      <w:r>
        <w:rPr>
          <w:b/>
          <w:bCs/>
        </w:rPr>
        <w:t xml:space="preserve">not</w:t>
      </w:r>
      <w:r>
        <w:t xml:space="preserve"> </w:t>
      </w:r>
      <w:r>
        <w:t xml:space="preserve">part of this operational scheme.</w:t>
      </w:r>
    </w:p>
    <w:p>
      <w:pPr>
        <w:pStyle w:val="BodyText"/>
      </w:pPr>
      <w:r>
        <w:rPr>
          <w:b/>
          <w:bCs/>
        </w:rPr>
        <w:t xml:space="preserve">Level 2 — morphology-derived interpretive categories (hypothesis-generating).</w:t>
      </w:r>
      <w:r>
        <w:t xml:space="preserve"> </w:t>
      </w:r>
      <w:r>
        <w:t xml:space="preserve">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[9]. These labels are</w:t>
      </w:r>
      <w:r>
        <w:t xml:space="preserve"> </w:t>
      </w:r>
      <w:r>
        <w:rPr>
          <w:b/>
          <w:bCs/>
        </w:rPr>
        <w:t xml:space="preserve">not</w:t>
      </w:r>
      <w:r>
        <w:t xml:space="preserve"> </w:t>
      </w:r>
      <w:r>
        <w:t xml:space="preserve">anchored to fluid status, treatment response, or longitudinal outcomes in this dataset and must not be interpreted as validated pathophysiological disease states.</w:t>
      </w:r>
    </w:p>
    <w:bookmarkEnd w:id="20"/>
    <w:bookmarkStart w:id="21" w:name="expertautomated-agreement-assessment"/>
    <w:p>
      <w:pPr>
        <w:pStyle w:val="Heading3"/>
      </w:pPr>
      <w:r>
        <w:t xml:space="preserve">Expert–Automated Agreement Assessment</w:t>
      </w:r>
    </w:p>
    <w:p>
      <w:pPr>
        <w:pStyle w:val="FirstParagraph"/>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stratum allocation 24 / 16 / 14 for large / small / small_3mm; random seed 20260727), without access to automated subtype labels at the time of grading. Expert grades were compared with rule-based automated labels. Overall percent agreement and quadratic weighted Cohen’s κ were computed with ordinal order Dead tree → Tree in bud → Glomerular → Seafan → Medusa; bootstrap 95% CIs used 10 000 resamples (seed 20260727). The confusion matrix is provided in Supplementary Material. For the small stratum, some automated subtypes were score-rederived from disclosed classifier rules when subtype labels were not present in the analysis export. This analysis is expert–algorithm agreement,</w:t>
      </w:r>
      <w:r>
        <w:t xml:space="preserve"> </w:t>
      </w:r>
      <w:r>
        <w:rPr>
          <w:b/>
          <w:bCs/>
        </w:rPr>
        <w:t xml:space="preserve">not</w:t>
      </w:r>
      <w:r>
        <w:t xml:space="preserve"> </w:t>
      </w:r>
      <w:r>
        <w:t xml:space="preserve">multi-human inter-grader κ, and is framed as an agreement assessment rather than definitive validation.</w:t>
      </w:r>
    </w:p>
    <w:bookmarkEnd w:id="21"/>
    <w:bookmarkStart w:id="22" w:name="Xb1139b25dc3be5d9a5fd683633b814aac0b1229"/>
    <w:p>
      <w:pPr>
        <w:pStyle w:val="Heading3"/>
      </w:pPr>
      <w:r>
        <w:t xml:space="preserve">Reproducibility: Inter- and Intra-Observer ICC</w:t>
      </w:r>
    </w:p>
    <w:p>
      <w:pPr>
        <w:pStyle w:val="FirstParagraph"/>
      </w:pPr>
      <w:r>
        <w:t xml:space="preserve">Inter-observer (primary multi-rater analysis). Three independent operators performed freehand ROI delineation. Complete three-observer data were available for</w:t>
      </w:r>
      <w:r>
        <w:t xml:space="preserve"> </w:t>
      </w:r>
      <w:r>
        <w:rPr>
          <w:b/>
          <w:bCs/>
        </w:rPr>
        <w:t xml:space="preserve">n = 46</w:t>
      </w:r>
      <w:r>
        <w:t xml:space="preserve"> </w:t>
      </w:r>
      <w:r>
        <w:t xml:space="preserve">cases. Automated processing after ROI delineation was identical across observers. All images were Angiography 3×3 mm acquisitions on Zeiss CIRRUS AngioPlex (small_3mm stratum).</w:t>
      </w:r>
    </w:p>
    <w:p>
      <w:pPr>
        <w:pStyle w:val="BodyText"/>
      </w:pPr>
      <w:r>
        <w:t xml:space="preserve">Intra-rater and inter-rater reliabilities were assessed using intraclass correlation coefficients (ICCs) [32,33].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[34].</w:t>
      </w:r>
    </w:p>
    <w:p>
      <w:pPr>
        <w:pStyle w:val="BodyText"/>
      </w:pPr>
      <w:r>
        <w:t xml:space="preserve">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p>
    <w:bookmarkEnd w:id="22"/>
    <w:bookmarkStart w:id="23" w:name="statistical-analysis"/>
    <w:p>
      <w:pPr>
        <w:pStyle w:val="Heading3"/>
      </w:pPr>
      <w:r>
        <w:t xml:space="preserve">Statistical Analysis</w:t>
      </w:r>
    </w:p>
    <w:p>
      <w:pPr>
        <w:pStyle w:val="FirstParagraph"/>
      </w:pPr>
      <w:r>
        <w:t xml:space="preserve">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p>
    <w:p>
      <w:r>
        <w:pict>
          <v:rect style="width:0;height:1.5pt" o:hralign="center" o:hrstd="t" o:hr="t"/>
        </w:pict>
      </w:r>
    </w:p>
    <w:bookmarkEnd w:id="23"/>
    <w:bookmarkEnd w:id="24"/>
    <w:bookmarkStart w:id="30" w:name="results"/>
    <w:p>
      <w:pPr>
        <w:pStyle w:val="Heading2"/>
      </w:pPr>
      <w:r>
        <w:t xml:space="preserve">Results</w:t>
      </w:r>
    </w:p>
    <w:bookmarkStart w:id="25" w:name="X51184362531dbb53cbff755f5d115bb43a2f0d3"/>
    <w:p>
      <w:pPr>
        <w:pStyle w:val="Heading3"/>
      </w:pPr>
      <w:r>
        <w:t xml:space="preserve">Robust Segmentation and Artifact Mitigation</w:t>
      </w:r>
    </w:p>
    <w:p>
      <w:pPr>
        <w:pStyle w:val="FirstParagraph"/>
      </w:pPr>
      <w:r>
        <w:t xml:space="preserve">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end-to-end processing workflow is summarized in Figure 2; representative intermediate panels (Frangi enhancement, Phansalkar binarization, skeletonization) are shown in Figure 3.</w:t>
      </w:r>
    </w:p>
    <w:bookmarkEnd w:id="25"/>
    <w:bookmarkStart w:id="26" w:name="X6dec76c0ca16e28718e72374c0c3df2152214ab"/>
    <w:p>
      <w:pPr>
        <w:pStyle w:val="Heading3"/>
      </w:pPr>
      <w:r>
        <w:t xml:space="preserve">Cross-Device Raw Metrics and the Necessity of Standardization</w:t>
      </w:r>
    </w:p>
    <w:p>
      <w:pPr>
        <w:pStyle w:val="FirstParagraph"/>
      </w:pPr>
      <w:r>
        <w:t xml:space="preserve">Table 2 presents raw topological and morphometric parameters across the three acquisition protocols (mean ± SD; n = 112). As expected from differences in imaged vascular territory and device-specific resolution, raw metrics differed substantially across platforms. Mean total loop count (center + periphery) ranged from 300.3 ± 199.2 in the large (PlexElite 6×6 mm) group to 165.2 ± 118.0 in the small_3mm (CIRRUS AngioPlex / HD series 3×3 mm) group and 89.5 ± 53.4 in the small (Optovue Solix 6×6 mm) group—a 3.4-fold difference between the highest and lowest values. Mean Euler number (center + periphery) ranged from −168.4 ± 146.0 to −61.6 ± 48.2, and mean junction density from 25.85 ± 1.77 to 15.89 ± 2.88 mm⁻². Mean skeleton-derived vessel diameter showed the reverse ordering (16.0, 23.7, and 32.3 µm for large, small_3mm, and small, respectively). These systematic differences confirm that direct cross-device comparison of raw parameters is not feasible and motivate stratum-specific standardization for a shared reporting scale.</w:t>
      </w:r>
    </w:p>
    <w:bookmarkEnd w:id="26"/>
    <w:bookmarkStart w:id="27" w:name="X14460cdd968308cdce2f398de1e3c7c97b20b72"/>
    <w:p>
      <w:pPr>
        <w:pStyle w:val="Heading3"/>
      </w:pPr>
      <w:r>
        <w:t xml:space="preserve">Interpretation of Stratum-Standardized Scores</w:t>
      </w:r>
    </w:p>
    <w:p>
      <w:pPr>
        <w:pStyle w:val="FirstParagraph"/>
      </w:pPr>
      <w:r>
        <w:t xml:space="preserve">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 they are not presented as evidence of biological equivalence across devices.</w:t>
      </w:r>
    </w:p>
    <w:p>
      <w:pPr>
        <w:pStyle w:val="BodyText"/>
      </w:pPr>
      <w:r>
        <w:rPr>
          <w:b/>
          <w:bCs/>
        </w:rPr>
        <w:t xml:space="preserve">Interpretation.</w:t>
      </w:r>
      <w:r>
        <w:t xml:space="preserve"> </w:t>
      </w:r>
      <w:r>
        <w:t xml:space="preserve">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p>
    <w:bookmarkEnd w:id="27"/>
    <w:bookmarkStart w:id="28" w:name="Xe575b6a1e953484ba773ffc29a932fce909d414"/>
    <w:p>
      <w:pPr>
        <w:pStyle w:val="Heading3"/>
      </w:pPr>
      <w:r>
        <w:t xml:space="preserve">Rule-Based Morphological Categorization and Expert Agreement</w:t>
      </w:r>
    </w:p>
    <w:p>
      <w:pPr>
        <w:pStyle w:val="FirstParagraph"/>
      </w:pPr>
      <w:r>
        <w:t xml:space="preserve">Table 4 presents the distribution of morphological subtypes across acquisition platforms (n = 112). The spectrum of MNV subtypes was identified across the three devices. Glomerular pattern was the most prevalent subtype in the large group (n = 29, 59.2%) and was also well-represented in the small_3mm and small groups (30.0% and 36.4%, respectively). Medusa pattern was observed only in the large group (n = 6, 12.2%). Seafan pattern was more common in the small_3mm group (n = 11, 36.7%) than in the small group (n = 2, 6.1%) and was absent in the large group. Dead tree pattern was identified in all three groups (8.2%, 20.0%, and 15.2%). Tree in bud pattern was present in all groups (20.4%, 13.3%, 42.4%). Between-platform differences in subtype prevalence may reflect sampling, case-mix, and differences in scan area rather than classifier instability alone.</w:t>
      </w:r>
    </w:p>
    <w:p>
      <w:pPr>
        <w:pStyle w:val="BodyText"/>
      </w:pPr>
      <w:r>
        <w:t xml:space="preserve">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 qualitative OCTA morphological grading can show moderate reliability across raters. Our rule-based quantitative operationalization with disclosed thresholds aims to reduce rater-dependent ambiguity relative to purely descriptive labels, complementing expert judgment.</w:t>
      </w:r>
    </w:p>
    <w:bookmarkEnd w:id="28"/>
    <w:bookmarkStart w:id="29" w:name="X577a94a20f263abf41ea07bd7a9e60674f9aea1"/>
    <w:p>
      <w:pPr>
        <w:pStyle w:val="Heading3"/>
      </w:pPr>
      <w:r>
        <w:t xml:space="preserve">Inter- and Intra-Observer Reproducibility</w:t>
      </w:r>
    </w:p>
    <w:p>
      <w:pPr>
        <w:pStyle w:val="FirstParagraph"/>
      </w:pPr>
      <w:r>
        <w:rPr>
          <w:b/>
          <w:bCs/>
        </w:rPr>
        <w:t xml:space="preserve">Primary inter-observer ICC(2,1) (3 raters,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Standardized Vascular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w:t>
            </w:r>
          </w:p>
        </w:tc>
        <w:tc>
          <w:tcPr/>
          <w:p>
            <w:pPr>
              <w:pStyle w:val="Compact"/>
            </w:pPr>
            <w:r>
              <w:t xml:space="preserve">0.770</w:t>
            </w:r>
          </w:p>
        </w:tc>
        <w:tc>
          <w:tcPr/>
          <w:p>
            <w:pPr>
              <w:pStyle w:val="Compact"/>
            </w:pPr>
            <w:r>
              <w:t xml:space="preserve">0.660–0.860</w:t>
            </w:r>
          </w:p>
        </w:tc>
      </w:tr>
      <w:tr>
        <w:tc>
          <w:tcPr/>
          <w:p>
            <w:pPr>
              <w:pStyle w:val="Compact"/>
            </w:pPr>
            <w:r>
              <w:t xml:space="preserve">Maturity Index</w:t>
            </w:r>
          </w:p>
        </w:tc>
        <w:tc>
          <w:tcPr/>
          <w:p>
            <w:pPr>
              <w:pStyle w:val="Compact"/>
            </w:pPr>
            <w:r>
              <w:t xml:space="preserve">0.593</w:t>
            </w:r>
          </w:p>
        </w:tc>
        <w:tc>
          <w:tcPr/>
          <w:p>
            <w:pPr>
              <w:pStyle w:val="Compact"/>
            </w:pPr>
            <w:r>
              <w:t xml:space="preserve">0.430–0.730</w:t>
            </w:r>
          </w:p>
        </w:tc>
      </w:tr>
    </w:tbl>
    <w:p>
      <w:pPr>
        <w:pStyle w:val="BodyText"/>
      </w:pPr>
      <w:r>
        <w:t xml:space="preserve">Lesion area, Complexity Score, and the Standardized Caliber Uniformity Score showed good inter-observer agreement on conventional ICC benchmarks; Maturity Index derived from that Caliber score was moderate.</w:t>
      </w:r>
    </w:p>
    <w:p>
      <w:pPr>
        <w:pStyle w:val="BodyText"/>
      </w:pPr>
      <w:r>
        <w:rPr>
          <w:b/>
          <w:bCs/>
        </w:rPr>
        <w:t xml:space="preserve">Intra-observer (YY Session 1 vs Session 2, n = 46; standardized Caliber/Maturity definition applied to both sessions):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0.979</w:t>
            </w:r>
          </w:p>
        </w:tc>
        <w:tc>
          <w:tcPr/>
          <w:p>
            <w:pPr>
              <w:pStyle w:val="Compact"/>
            </w:pPr>
            <w:r>
              <w:t xml:space="preserve">0.962–0.988</w:t>
            </w:r>
          </w:p>
        </w:tc>
      </w:tr>
      <w:tr>
        <w:tc>
          <w:tcPr/>
          <w:p>
            <w:pPr>
              <w:pStyle w:val="Compact"/>
            </w:pPr>
            <w:r>
              <w:t xml:space="preserve">Standardized Vascular Complexity Score</w:t>
            </w:r>
          </w:p>
        </w:tc>
        <w:tc>
          <w:tcPr/>
          <w:p>
            <w:pPr>
              <w:pStyle w:val="Compact"/>
            </w:pPr>
            <w:r>
              <w:t xml:space="preserve">0.950</w:t>
            </w:r>
          </w:p>
        </w:tc>
        <w:tc>
          <w:tcPr/>
          <w:p>
            <w:pPr>
              <w:pStyle w:val="Compact"/>
            </w:pPr>
            <w:r>
              <w:t xml:space="preserve">0.913–0.973</w:t>
            </w:r>
          </w:p>
        </w:tc>
      </w:tr>
      <w:tr>
        <w:tc>
          <w:tcPr/>
          <w:p>
            <w:pPr>
              <w:pStyle w:val="Compact"/>
            </w:pPr>
            <w:r>
              <w:t xml:space="preserve">Caliber Uniformity Score</w:t>
            </w:r>
          </w:p>
        </w:tc>
        <w:tc>
          <w:tcPr/>
          <w:p>
            <w:pPr>
              <w:pStyle w:val="Compact"/>
            </w:pPr>
            <w:r>
              <w:t xml:space="preserve">0.925</w:t>
            </w:r>
          </w:p>
        </w:tc>
        <w:tc>
          <w:tcPr/>
          <w:p>
            <w:pPr>
              <w:pStyle w:val="Compact"/>
            </w:pPr>
            <w:r>
              <w:t xml:space="preserve">0.871–0.959</w:t>
            </w:r>
          </w:p>
        </w:tc>
      </w:tr>
      <w:tr>
        <w:tc>
          <w:tcPr/>
          <w:p>
            <w:pPr>
              <w:pStyle w:val="Compact"/>
            </w:pPr>
            <w:r>
              <w:t xml:space="preserve">Maturity Index</w:t>
            </w:r>
          </w:p>
        </w:tc>
        <w:tc>
          <w:tcPr/>
          <w:p>
            <w:pPr>
              <w:pStyle w:val="Compact"/>
            </w:pPr>
            <w:r>
              <w:t xml:space="preserve">0.917</w:t>
            </w:r>
          </w:p>
        </w:tc>
        <w:tc>
          <w:tcPr/>
          <w:p>
            <w:pPr>
              <w:pStyle w:val="Compact"/>
            </w:pPr>
            <w:r>
              <w:t xml:space="preserve">0.857–0.954</w:t>
            </w:r>
          </w:p>
        </w:tc>
      </w:tr>
    </w:tbl>
    <w:p>
      <w:pPr>
        <w:pStyle w:val="BodyText"/>
      </w:pPr>
      <w:r>
        <w:t xml:space="preserve">Within-rater agreement was excellent for Area, Complexity Score, Caliber Uniformity, and Maturity Index under this fixed score definition (all ICC(2,1) ≥ 0.917); these estimates supplement the primary multi-rater claim.</w:t>
      </w:r>
    </w:p>
    <w:p>
      <w:r>
        <w:pict>
          <v:rect style="width:0;height:1.5pt" o:hralign="center" o:hrstd="t" o:hr="t"/>
        </w:pict>
      </w:r>
    </w:p>
    <w:bookmarkEnd w:id="29"/>
    <w:bookmarkEnd w:id="30"/>
    <w:bookmarkStart w:id="32" w:name="discussion"/>
    <w:p>
      <w:pPr>
        <w:pStyle w:val="Heading2"/>
      </w:pPr>
      <w:r>
        <w:t xml:space="preserve">Discussion</w:t>
      </w:r>
    </w:p>
    <w:p>
      <w:pPr>
        <w:pStyle w:val="FirstParagraph"/>
      </w:pPr>
      <w:r>
        <w:t xml:space="preserve">This work advances quantitative MNV analysis by combining hybrid vessel enhancement, adaptive binarization, skeleton-based topology, and stratum-standardized multi-parameter scores with disclosed rule-based morphological categories. While existing tools and recent studies provide a foundational set of metrics, they often fail to capture the holistic nature of the neovascular complex and remain vulnerable to methodological artifacts.</w:t>
      </w:r>
    </w:p>
    <w:p>
      <w:pPr>
        <w:pStyle w:val="BodyText"/>
      </w:pPr>
      <w:r>
        <w:t xml:space="preserve">A central feature of the present system is generation of stratum-standardized reporting scores across different acquisition conditions. In contrast to tools that report only raw, device-specific metrics unsuitable for shared numerical thresholds, the framework produces three standardized scores—Standardized Vascular Complexity Score (stratum-specific PCA), Standardized Caliber Uniformity Score (NV Diameter CV + Dilated vessel %), and Standardized Maturity Index (from Caliber − Complexity)—on a common 0–100 scale within each stratum. The median-anchored piecewise scaling is designed to place scores on a common reporting axis, rather than to demonstrate biological equivalence across devices [6]. Informative aspects of the framework include: (i) large between-device differences in raw metrics (Table 2); (ii) consistency of Complexity PCA structure (PC1 loadings and explained variance) across strata; and (iii) within-stratum score distributions in relation to morphological categories and expert comparison. Under the Standardized Caliber Uniformity Score there are no significant between-stratum differences for Complexity, Caliber Uniformity, or Maturity Index (ε² ≈ 0)—reflecting the intended effect of the scaling procedure to attenuate stratum-mean contrasts by design. Prior work has shown that quantitative vascular metrics are often not interchangeable across OCTA devices/algorithms without device-aware reporting.</w:t>
      </w:r>
    </w:p>
    <w:p>
      <w:pPr>
        <w:pStyle w:val="BodyText"/>
      </w:pPr>
      <w:r>
        <w:t xml:space="preserve">Several methodological aspects warrant consideration. The ROI refinement algorithm addresses a long-standing challenge in quantitative OCTA analysis [7,13–15] by encouraging the ROI boundary to lie in non-perfused tissue. The Euler number and loop count remain core elements of the Vascular Complexity construct because they quantify connectivity and mesh-like organization [16–18]. Immature, angiogenesis-dominant networks often appear as dense, highly interconnected plexuses [19]; markedly negative Euler numbers with elevated loop counts are therefore useful morphological biomarkers of complexity-dominant architecture. Terms such as</w:t>
      </w:r>
      <w:r>
        <w:t xml:space="preserve"> </w:t>
      </w:r>
      <w:r>
        <w:t xml:space="preserve">“dead tree,”</w:t>
      </w:r>
      <w:r>
        <w:t xml:space="preserve"> </w:t>
      </w:r>
      <w:r>
        <w:t xml:space="preserve">“tree in bud,”</w:t>
      </w:r>
      <w:r>
        <w:t xml:space="preserve"> </w:t>
      </w:r>
      <w:r>
        <w:t xml:space="preserve">“medusa,”</w:t>
      </w:r>
      <w:r>
        <w:t xml:space="preserve"> </w:t>
      </w:r>
      <w:r>
        <w:t xml:space="preserve">“sea fan,”</w:t>
      </w:r>
      <w:r>
        <w:t xml:space="preserve"> </w:t>
      </w:r>
      <w:r>
        <w:t xml:space="preserve">and</w:t>
      </w:r>
      <w:r>
        <w:t xml:space="preserve"> </w:t>
      </w:r>
      <w:r>
        <w:t xml:space="preserve">“glomerular”</w:t>
      </w:r>
      <w:r>
        <w:t xml:space="preserve"> </w:t>
      </w:r>
      <w:r>
        <w:t xml:space="preserve">have previously been applied in a primarily descriptive manner. The present framework supplies operational definitions with disclosed thresholds. Table 5 is restricted to the five operational subtypes; inconsistent literature-only labels (e.g.,</w:t>
      </w:r>
      <w:r>
        <w:t xml:space="preserve"> </w:t>
      </w:r>
      <w:r>
        <w:t xml:space="preserve">“Pruned tree,”</w:t>
      </w:r>
      <w:r>
        <w:t xml:space="preserve"> </w:t>
      </w:r>
      <w:r>
        <w:t xml:space="preserve">“Large vessels”</w:t>
      </w:r>
      <w:r>
        <w:t xml:space="preserve">) are omitted so that Table 4, Table 5, and the classification Methods remain aligned on the five-subtype operational scheme.</w:t>
      </w:r>
    </w:p>
    <w:p>
      <w:pPr>
        <w:pStyle w:val="BodyText"/>
      </w:pPr>
      <w:r>
        <w:t xml:space="preserve">We also address terminological ambiguity around maturation, arterialization, and abnormalization [22–25]. Our morphology-derived interpretive categories map quantitative patterns onto labels informed by published criteria, including arteriolarization-segment detection and caliber-uniformity scores related to the unstable vascular state described by Spaide as abnormalization [25]. These categories are explicitly hypothesis-generating and require outcome-linked studies to establish their utility in clinical decision-making or prognostic stratification.</w:t>
      </w:r>
    </w:p>
    <w:p>
      <w:pPr>
        <w:pStyle w:val="BodyText"/>
      </w:pPr>
      <w:r>
        <w:t xml:space="preserve">Masked expert–automated agreement (κ = 0.507) was modest-to-moderate. This level of agreement aligns with prior reports that qualitative OCTA pattern labels remain partly descriptive and ambiguous [8], and that qualitative assessments can be less reliable than quantitative metrics [26]. Quantitative operationalization with disclosed rules offers a transparency and reproducibility aid relative to purely visual labels. Related quantitative OCTA biomarker work further supports objectifying morphology and activity descriptors [30,31].</w:t>
      </w:r>
    </w:p>
    <w:bookmarkStart w:id="31" w:name="limitations"/>
    <w:p>
      <w:pPr>
        <w:pStyle w:val="Heading3"/>
      </w:pPr>
      <w:r>
        <w:t xml:space="preserve">Limitations</w:t>
      </w:r>
    </w:p>
    <w:p>
      <w:pPr>
        <w:pStyle w:val="FirstParagraph"/>
      </w:pPr>
      <w:r>
        <w:t xml:space="preserve">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p>
    <w:p>
      <w:pPr>
        <w:pStyle w:val="BodyText"/>
      </w:pPr>
      <w: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p>
    <w:p>
      <w:r>
        <w:pict>
          <v:rect style="width:0;height:1.5pt" o:hralign="center" o:hrstd="t" o:hr="t"/>
        </w:pict>
      </w:r>
    </w:p>
    <w:bookmarkEnd w:id="31"/>
    <w:bookmarkEnd w:id="32"/>
    <w:bookmarkStart w:id="33" w:name="conclusion"/>
    <w:p>
      <w:pPr>
        <w:pStyle w:val="Heading2"/>
      </w:pPr>
      <w:r>
        <w:t xml:space="preserve">Conclusion</w:t>
      </w:r>
    </w:p>
    <w:p>
      <w:pPr>
        <w:pStyle w:val="FirstParagraph"/>
      </w:pPr>
      <w:r>
        <w:t xml:space="preserve">We have developed a semi-automated ImageJ-/Python-based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cross-device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p>
    <w:p>
      <w:r>
        <w:pict>
          <v:rect style="width:0;height:1.5pt" o:hralign="center" o:hrstd="t" o:hr="t"/>
        </w:pict>
      </w:r>
    </w:p>
    <w:bookmarkEnd w:id="33"/>
    <w:bookmarkStart w:id="34" w:name="references"/>
    <w:p>
      <w:pPr>
        <w:pStyle w:val="Heading2"/>
      </w:pPr>
      <w:r>
        <w:t xml:space="preserve">References</w:t>
      </w:r>
    </w:p>
    <w:p>
      <w:pPr>
        <w:pStyle w:val="Compact"/>
        <w:numPr>
          <w:ilvl w:val="0"/>
          <w:numId w:val="1002"/>
        </w:numPr>
      </w:pPr>
      <w:r>
        <w:t xml:space="preserve">Guo, J., Tang, W., Xu, S., Liu, W. &amp; Xu, G. OCTA evaluation of treatment-naïve flat irregular PED (FIPED)-associated CNV in chronic central serous chorioretinopathy before and after half-dose PDT.</w:t>
      </w:r>
      <w:r>
        <w:t xml:space="preserve"> </w:t>
      </w:r>
      <w:r>
        <w:rPr>
          <w:i/>
          <w:iCs/>
        </w:rPr>
        <w:t xml:space="preserve">Eye</w:t>
      </w:r>
      <w:r>
        <w:t xml:space="preserve"> </w:t>
      </w:r>
      <w:r>
        <w:t xml:space="preserve">35, 2871–2878 (2021).</w:t>
      </w:r>
    </w:p>
    <w:p>
      <w:pPr>
        <w:pStyle w:val="Compact"/>
        <w:numPr>
          <w:ilvl w:val="0"/>
          <w:numId w:val="1002"/>
        </w:numPr>
      </w:pPr>
      <w:r>
        <w:t xml:space="preserve">Zudaire, E., Gambardella, L., Kurcz, C. &amp; Vermeren, S. A Computational Tool for Quantitative Analysis of Vascular Networks.</w:t>
      </w:r>
      <w:r>
        <w:t xml:space="preserve"> </w:t>
      </w:r>
      <w:r>
        <w:rPr>
          <w:i/>
          <w:iCs/>
        </w:rPr>
        <w:t xml:space="preserve">PLOS ONE</w:t>
      </w:r>
      <w:r>
        <w:t xml:space="preserve"> </w:t>
      </w:r>
      <w:r>
        <w:t xml:space="preserve">6, e27385 (2011).</w:t>
      </w:r>
    </w:p>
    <w:p>
      <w:pPr>
        <w:pStyle w:val="Compact"/>
        <w:numPr>
          <w:ilvl w:val="0"/>
          <w:numId w:val="1002"/>
        </w:numPr>
      </w:pPr>
      <w:r>
        <w:t xml:space="preserve">Told, R. et al. Profiling neovascular age-related macular degeneration choroidal neovascularization lesion response to anti-vascular endothelial growth factor therapy using SSOCTA.</w:t>
      </w:r>
      <w:r>
        <w:t xml:space="preserve"> </w:t>
      </w:r>
      <w:r>
        <w:rPr>
          <w:i/>
          <w:iCs/>
        </w:rPr>
        <w:t xml:space="preserve">Acta Ophthalmol. (Copenh.)</w:t>
      </w:r>
      <w:r>
        <w:t xml:space="preserve"> </w:t>
      </w:r>
      <w:r>
        <w:t xml:space="preserve">99, e240–e246 (2021).</w:t>
      </w:r>
    </w:p>
    <w:p>
      <w:pPr>
        <w:pStyle w:val="Compact"/>
        <w:numPr>
          <w:ilvl w:val="0"/>
          <w:numId w:val="1002"/>
        </w:numPr>
      </w:pPr>
      <w:r>
        <w:t xml:space="preserve">Montesel, A. et al. Quantitative response of macular neovascularisation to loading phase of aflibercept in neovascular age-related macular degeneration.</w:t>
      </w:r>
      <w:r>
        <w:t xml:space="preserve"> </w:t>
      </w:r>
      <w:r>
        <w:rPr>
          <w:i/>
          <w:iCs/>
        </w:rPr>
        <w:t xml:space="preserve">Eye</w:t>
      </w:r>
      <w:r>
        <w:t xml:space="preserve"> </w:t>
      </w:r>
      <w:r>
        <w:t xml:space="preserve">37, 3648–3655 (2023).</w:t>
      </w:r>
    </w:p>
    <w:p>
      <w:pPr>
        <w:pStyle w:val="Compact"/>
        <w:numPr>
          <w:ilvl w:val="0"/>
          <w:numId w:val="1002"/>
        </w:numPr>
      </w:pPr>
      <w:r>
        <w:t xml:space="preserve">Carlà, M. M. et al. MORPHOMETRIC CHANGES IN MACULAR NEOVASCULARIZATION ARCHITECTURE AFTER FARICIMAB TREATMENT IN NEOVASCULAR AGE-RELATED MACULAR DEGENERATION: Comparison Between Naive and Switched Eyes.</w:t>
      </w:r>
      <w:r>
        <w:t xml:space="preserve"> </w:t>
      </w:r>
      <w:r>
        <w:rPr>
          <w:i/>
          <w:iCs/>
        </w:rPr>
        <w:t xml:space="preserve">Retina</w:t>
      </w:r>
      <w:r>
        <w:t xml:space="preserve"> </w:t>
      </w:r>
      <w:r>
        <w:t xml:space="preserve">125–135 (2026) doi:10.1097/iae.0000000000004635.</w:t>
      </w:r>
    </w:p>
    <w:p>
      <w:pPr>
        <w:pStyle w:val="Compact"/>
        <w:numPr>
          <w:ilvl w:val="0"/>
          <w:numId w:val="1002"/>
        </w:numPr>
      </w:pPr>
      <w:r>
        <w:t xml:space="preserve">Munk, M. R. et al. OCT-angiography: A qualitative and quantitative comparison of 4 OCT-A devices.</w:t>
      </w:r>
      <w:r>
        <w:t xml:space="preserve"> </w:t>
      </w:r>
      <w:r>
        <w:rPr>
          <w:i/>
          <w:iCs/>
        </w:rPr>
        <w:t xml:space="preserve">PLOS ONE</w:t>
      </w:r>
      <w:r>
        <w:t xml:space="preserve"> </w:t>
      </w:r>
      <w:r>
        <w:t xml:space="preserve">12, e0177059 (2017).</w:t>
      </w:r>
    </w:p>
    <w:p>
      <w:pPr>
        <w:pStyle w:val="Compact"/>
        <w:numPr>
          <w:ilvl w:val="0"/>
          <w:numId w:val="1002"/>
        </w:numPr>
      </w:pPr>
      <w:r>
        <w:t xml:space="preserve">Miere, A. et al. VASCULAR REMODELING OF CHOROIDAL NEOVASCULARIZATION AFTER ANTI-VASCULAR ENDOTHELIAL GROWTH FACTOR THERAPY VISUALIZED ON OPTICAL COHERENCE TOMOGRAPHY ANGIOGRAPHY.</w:t>
      </w:r>
      <w:r>
        <w:t xml:space="preserve"> </w:t>
      </w:r>
      <w:r>
        <w:rPr>
          <w:i/>
          <w:iCs/>
        </w:rPr>
        <w:t xml:space="preserve">Retina</w:t>
      </w:r>
      <w:r>
        <w:t xml:space="preserve"> </w:t>
      </w:r>
      <w:r>
        <w:t xml:space="preserve">39, 548–557 (2019).</w:t>
      </w:r>
    </w:p>
    <w:p>
      <w:pPr>
        <w:pStyle w:val="Compact"/>
        <w:numPr>
          <w:ilvl w:val="0"/>
          <w:numId w:val="1002"/>
        </w:numPr>
      </w:pPr>
      <w:r>
        <w:t xml:space="preserve">Tew, T. 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w:t>
      </w:r>
      <w:r>
        <w:t xml:space="preserve">48, 927–937 (2020).</w:t>
      </w:r>
    </w:p>
    <w:p>
      <w:pPr>
        <w:pStyle w:val="Compact"/>
        <w:numPr>
          <w:ilvl w:val="0"/>
          <w:numId w:val="1002"/>
        </w:numPr>
      </w:pPr>
      <w:r>
        <w:t xml:space="preserve">Coscas, F. et al. Optical coherence tomography angiography in exudative age-related macular degeneration: A predictive model for treatment decisions.</w:t>
      </w:r>
      <w:r>
        <w:t xml:space="preserve"> </w:t>
      </w:r>
      <w:r>
        <w:rPr>
          <w:i/>
          <w:iCs/>
        </w:rPr>
        <w:t xml:space="preserve">Br. J. Ophthalmol.</w:t>
      </w:r>
      <w:r>
        <w:t xml:space="preserve"> </w:t>
      </w:r>
      <w:r>
        <w:t xml:space="preserve">103, 1342–1356 (2019).</w:t>
      </w:r>
    </w:p>
    <w:p>
      <w:pPr>
        <w:pStyle w:val="Compact"/>
        <w:numPr>
          <w:ilvl w:val="0"/>
          <w:numId w:val="1002"/>
        </w:numPr>
      </w:pPr>
      <w:r>
        <w:t xml:space="preserve">Oliveira, W. S., Teixeira, J. V., Ren, T. I., Cavalcanti, G. D. C. &amp; Sijbers, J. Unsupervised Retinal Vessel Segmentation Using Combined Filters.</w:t>
      </w:r>
      <w:r>
        <w:t xml:space="preserve"> </w:t>
      </w:r>
      <w:r>
        <w:rPr>
          <w:i/>
          <w:iCs/>
        </w:rPr>
        <w:t xml:space="preserve">PLoS ONE</w:t>
      </w:r>
      <w:r>
        <w:t xml:space="preserve"> </w:t>
      </w:r>
      <w:r>
        <w:t xml:space="preserve">11, e0149943 (2016).</w:t>
      </w:r>
    </w:p>
    <w:p>
      <w:pPr>
        <w:pStyle w:val="Compact"/>
        <w:numPr>
          <w:ilvl w:val="0"/>
          <w:numId w:val="1002"/>
        </w:numPr>
      </w:pPr>
      <w:r>
        <w:t xml:space="preserve">Ma, Y. et al. Multichannel Retinal Blood Vessel Segmentation Based on the Combination of Matched Filter and U-Net Network.</w:t>
      </w:r>
      <w:r>
        <w:t xml:space="preserve"> </w:t>
      </w:r>
      <w:r>
        <w:rPr>
          <w:i/>
          <w:iCs/>
        </w:rPr>
        <w:t xml:space="preserve">BioMed Res. Int.</w:t>
      </w:r>
      <w:r>
        <w:t xml:space="preserve"> </w:t>
      </w:r>
      <w:r>
        <w:t xml:space="preserve">2021, 5561125 (2021).</w:t>
      </w:r>
    </w:p>
    <w:p>
      <w:pPr>
        <w:pStyle w:val="Compact"/>
        <w:numPr>
          <w:ilvl w:val="0"/>
          <w:numId w:val="1002"/>
        </w:numPr>
      </w:pPr>
      <w:r>
        <w:t xml:space="preserve">Memari, N., Ramli, A. R., Bin Saripan, M. I., Mashohor, S. &amp; Moghbel, M. Supervised retinal vessel segmentation from color fundus images based on matched filtering and AdaBoost classifier.</w:t>
      </w:r>
      <w:r>
        <w:t xml:space="preserve"> </w:t>
      </w:r>
      <w:r>
        <w:rPr>
          <w:i/>
          <w:iCs/>
        </w:rPr>
        <w:t xml:space="preserve">PLoS ONE</w:t>
      </w:r>
      <w:r>
        <w:t xml:space="preserve"> </w:t>
      </w:r>
      <w:r>
        <w:t xml:space="preserve">12, e0188939 (2017).</w:t>
      </w:r>
    </w:p>
    <w:p>
      <w:pPr>
        <w:pStyle w:val="Compact"/>
        <w:numPr>
          <w:ilvl w:val="0"/>
          <w:numId w:val="1002"/>
        </w:numPr>
      </w:pPr>
      <w:r>
        <w:t xml:space="preserve">Wang, M. et al. Evaluating Polypoidal Choroidal Vasculopathy With Optical Coherence Tomography Angiography.</w:t>
      </w:r>
      <w:r>
        <w:t xml:space="preserve"> </w:t>
      </w:r>
      <w:r>
        <w:rPr>
          <w:i/>
          <w:iCs/>
        </w:rPr>
        <w:t xml:space="preserve">Investig. Opthalmology Vis. Sci.</w:t>
      </w:r>
      <w:r>
        <w:t xml:space="preserve"> </w:t>
      </w:r>
      <w:r>
        <w:t xml:space="preserve">57, OCT526-32 (2016).</w:t>
      </w:r>
    </w:p>
    <w:p>
      <w:pPr>
        <w:pStyle w:val="Compact"/>
        <w:numPr>
          <w:ilvl w:val="0"/>
          <w:numId w:val="1002"/>
        </w:numPr>
      </w:pPr>
      <w:r>
        <w:t xml:space="preserve">Xue, J. et al. Automatic quantification of choroidal neovascularization lesion area on OCT angiography based on density cell-like P systems with active membranes.</w:t>
      </w:r>
      <w:r>
        <w:t xml:space="preserve"> </w:t>
      </w:r>
      <w:r>
        <w:rPr>
          <w:i/>
          <w:iCs/>
        </w:rPr>
        <w:t xml:space="preserve">Biomed. Opt. Express</w:t>
      </w:r>
      <w:r>
        <w:t xml:space="preserve"> </w:t>
      </w:r>
      <w:r>
        <w:t xml:space="preserve">9, 3208–3219 (2018).</w:t>
      </w:r>
    </w:p>
    <w:p>
      <w:pPr>
        <w:pStyle w:val="Compact"/>
        <w:numPr>
          <w:ilvl w:val="0"/>
          <w:numId w:val="1002"/>
        </w:numPr>
      </w:pPr>
      <w:r>
        <w:t xml:space="preserve">Babiuch, A. et al. IMPACT OF OPTICAL COHERENCE TOMOGRAPHY ANGIOGRAPHY REVIEW STRATEGY ON DETECTION OF CHOROIDAL NEOVASCULARIZATION.</w:t>
      </w:r>
      <w:r>
        <w:t xml:space="preserve"> </w:t>
      </w:r>
      <w:r>
        <w:rPr>
          <w:i/>
          <w:iCs/>
        </w:rPr>
        <w:t xml:space="preserve">Retina</w:t>
      </w:r>
      <w:r>
        <w:t xml:space="preserve"> </w:t>
      </w:r>
      <w:r>
        <w:t xml:space="preserve">672–678 (2020) doi:10.1097/iae.0000000000002443.</w:t>
      </w:r>
    </w:p>
    <w:p>
      <w:pPr>
        <w:pStyle w:val="Compact"/>
        <w:numPr>
          <w:ilvl w:val="0"/>
          <w:numId w:val="1002"/>
        </w:numPr>
      </w:pPr>
      <w:r>
        <w:t xml:space="preserve">Smith, A. &amp; Zavala, V. The Euler characteristic: A general topological descriptor for complex data.</w:t>
      </w:r>
      <w:r>
        <w:t xml:space="preserve"> </w:t>
      </w:r>
      <w:r>
        <w:rPr>
          <w:i/>
          <w:iCs/>
        </w:rPr>
        <w:t xml:space="preserve">Comput Chem Eng</w:t>
      </w:r>
      <w:r>
        <w:t xml:space="preserve"> </w:t>
      </w:r>
      <w:r>
        <w:t xml:space="preserve">154, 107463 (2021).</w:t>
      </w:r>
    </w:p>
    <w:p>
      <w:pPr>
        <w:pStyle w:val="Compact"/>
        <w:numPr>
          <w:ilvl w:val="0"/>
          <w:numId w:val="1002"/>
        </w:numPr>
      </w:pPr>
      <w:r>
        <w:t xml:space="preserve">Willführ, A. et al. Estimation of the number of alveolar capillaries by the Euler number (Euler-Poincaré characteristic).</w:t>
      </w:r>
      <w:r>
        <w:t xml:space="preserve"> </w:t>
      </w:r>
      <w:r>
        <w:rPr>
          <w:i/>
          <w:iCs/>
        </w:rPr>
        <w:t xml:space="preserve">Am. J. Physiol. Lung Cell. Mol. Physiol.</w:t>
      </w:r>
      <w:r>
        <w:t xml:space="preserve"> </w:t>
      </w:r>
      <w:r>
        <w:t xml:space="preserve">309, L1286-93 (2015).</w:t>
      </w:r>
    </w:p>
    <w:p>
      <w:pPr>
        <w:pStyle w:val="Compact"/>
        <w:numPr>
          <w:ilvl w:val="0"/>
          <w:numId w:val="1002"/>
        </w:numPr>
      </w:pPr>
      <w:r>
        <w:t xml:space="preserve">Santos, F. et al. Topological phase transitions in functional brain networks.</w:t>
      </w:r>
      <w:r>
        <w:t xml:space="preserve"> </w:t>
      </w:r>
      <w:r>
        <w:rPr>
          <w:i/>
          <w:iCs/>
        </w:rPr>
        <w:t xml:space="preserve">bioRxiv</w:t>
      </w:r>
      <w:r>
        <w:t xml:space="preserve"> </w:t>
      </w:r>
      <w:r>
        <w:t xml:space="preserve">https://doi.org/10.1101/469478 (2018) doi:10.1101/469478.</w:t>
      </w:r>
    </w:p>
    <w:p>
      <w:pPr>
        <w:pStyle w:val="Compact"/>
        <w:numPr>
          <w:ilvl w:val="0"/>
          <w:numId w:val="1002"/>
        </w:numPr>
      </w:pPr>
      <w:r>
        <w:t xml:space="preserve">Viallard, C. &amp; Larrivée, B. Tumor angiogenesis and vascular normalization: alternative therapeutic targets.</w:t>
      </w:r>
      <w:r>
        <w:t xml:space="preserve"> </w:t>
      </w:r>
      <w:r>
        <w:rPr>
          <w:i/>
          <w:iCs/>
        </w:rPr>
        <w:t xml:space="preserve">Angiogenesis</w:t>
      </w:r>
      <w:r>
        <w:t xml:space="preserve"> </w:t>
      </w:r>
      <w:r>
        <w:t xml:space="preserve">20, 409–426 (2017).</w:t>
      </w:r>
    </w:p>
    <w:p>
      <w:pPr>
        <w:pStyle w:val="Compact"/>
        <w:numPr>
          <w:ilvl w:val="0"/>
          <w:numId w:val="1002"/>
        </w:numPr>
      </w:pPr>
      <w:r>
        <w:t xml:space="preserve">Goker, Y. S. &amp; Demir, G. Comparison of optical coherence tomography angiography features in type 1 versus type 2 choroidal neovascular membranes secondary to age-related macular degeneration.</w:t>
      </w:r>
      <w:r>
        <w:t xml:space="preserve"> </w:t>
      </w:r>
      <w:r>
        <w:rPr>
          <w:i/>
          <w:iCs/>
        </w:rPr>
        <w:t xml:space="preserve">Med. Hypothesis Discov. Innov. Ophthalmol. J.</w:t>
      </w:r>
      <w:r>
        <w:t xml:space="preserve"> </w:t>
      </w:r>
      <w:r>
        <w:t xml:space="preserve">10, 67–73 (2021).</w:t>
      </w:r>
    </w:p>
    <w:p>
      <w:pPr>
        <w:pStyle w:val="Compact"/>
        <w:numPr>
          <w:ilvl w:val="0"/>
          <w:numId w:val="1002"/>
        </w:numPr>
      </w:pPr>
      <w:r>
        <w:t xml:space="preserve">Li, J. et al. Comparative quantitative analysis of optical coherence tomography angiography in varied morphologies of macular neovascularization following intravitreal conbercept and ranibizumab treatments for neovascular age‑related macular degeneration.</w:t>
      </w:r>
      <w:r>
        <w:t xml:space="preserve"> </w:t>
      </w:r>
      <w:r>
        <w:rPr>
          <w:i/>
          <w:iCs/>
        </w:rPr>
        <w:t xml:space="preserve">Exp. Ther. Med.</w:t>
      </w:r>
      <w:r>
        <w:t xml:space="preserve"> </w:t>
      </w:r>
      <w:r>
        <w:t xml:space="preserve">27, 214 (2024).</w:t>
      </w:r>
    </w:p>
    <w:p>
      <w:pPr>
        <w:pStyle w:val="Compact"/>
        <w:numPr>
          <w:ilvl w:val="0"/>
          <w:numId w:val="1002"/>
        </w:numPr>
      </w:pPr>
      <w:r>
        <w:t xml:space="preserve">Mettu, P. S., Allingham, M. J. &amp; Cousins, S. W. Incomplete response to Anti-VEGF therapy in neovascular AMD: Exploring disease mechanisms and therapeutic opportunities.</w:t>
      </w:r>
      <w:r>
        <w:t xml:space="preserve"> </w:t>
      </w:r>
      <w:r>
        <w:rPr>
          <w:i/>
          <w:iCs/>
        </w:rPr>
        <w:t xml:space="preserve">Prog. Retin. Eye Res.</w:t>
      </w:r>
      <w:r>
        <w:t xml:space="preserve"> </w:t>
      </w:r>
      <w:r>
        <w:t xml:space="preserve">82, 100906 (2021).</w:t>
      </w:r>
    </w:p>
    <w:p>
      <w:pPr>
        <w:pStyle w:val="Compact"/>
        <w:numPr>
          <w:ilvl w:val="0"/>
          <w:numId w:val="1002"/>
        </w:numPr>
      </w:pPr>
      <w:r>
        <w:t xml:space="preserve">Attarde, A., Riad, T., Zhang, Z., Ahir, M. &amp; Fu, Y. Characterization of Vascular Morphology of Neovascular Age-Related Macular Degeneration by Indocyanine Green Angiography.</w:t>
      </w:r>
      <w:r>
        <w:t xml:space="preserve"> </w:t>
      </w:r>
      <w:r>
        <w:rPr>
          <w:i/>
          <w:iCs/>
        </w:rPr>
        <w:t xml:space="preserve">J. Vis. Exp. JoVE</w:t>
      </w:r>
      <w:r>
        <w:t xml:space="preserve"> </w:t>
      </w:r>
      <w:r>
        <w:t xml:space="preserve">198, (2023).</w:t>
      </w:r>
    </w:p>
    <w:p>
      <w:pPr>
        <w:pStyle w:val="Compact"/>
        <w:numPr>
          <w:ilvl w:val="0"/>
          <w:numId w:val="1002"/>
        </w:numPr>
      </w:pPr>
      <w:r>
        <w:t xml:space="preserve">Fu, Y., Zhang, Z., Webster, K. &amp; Paulus, Y. Treatment Strategies for Anti-VEGF Resistance in Neovascular Age-Related Macular Degeneration by Targeting Arteriolar Choroidal Neovascularization.</w:t>
      </w:r>
      <w:r>
        <w:t xml:space="preserve"> </w:t>
      </w:r>
      <w:r>
        <w:rPr>
          <w:i/>
          <w:iCs/>
        </w:rPr>
        <w:t xml:space="preserve">Biomolecules</w:t>
      </w:r>
      <w:r>
        <w:t xml:space="preserve"> </w:t>
      </w:r>
      <w:r>
        <w:t xml:space="preserve">14, 252 (2024).</w:t>
      </w:r>
    </w:p>
    <w:p>
      <w:pPr>
        <w:pStyle w:val="Compact"/>
        <w:numPr>
          <w:ilvl w:val="0"/>
          <w:numId w:val="1002"/>
        </w:numPr>
      </w:pPr>
      <w:r>
        <w:t xml:space="preserve">Spaide, R. Optical Coherence Tomography Angiography Signs of Vascular Abnormalization With Antiangiogenic Therapy for Choroidal Neovascularization.</w:t>
      </w:r>
      <w:r>
        <w:t xml:space="preserve"> </w:t>
      </w:r>
      <w:r>
        <w:rPr>
          <w:i/>
          <w:iCs/>
        </w:rPr>
        <w:t xml:space="preserve">Am. J. Ophthalmol.</w:t>
      </w:r>
      <w:r>
        <w:t xml:space="preserve"> </w:t>
      </w:r>
      <w:r>
        <w:t xml:space="preserve">160, 6–16 (2015).</w:t>
      </w:r>
    </w:p>
    <w:p>
      <w:pPr>
        <w:pStyle w:val="Compact"/>
        <w:numPr>
          <w:ilvl w:val="0"/>
          <w:numId w:val="1002"/>
        </w:numPr>
      </w:pPr>
      <w:r>
        <w:t xml:space="preserve">Shah, P. N. et al. Inter-rater reliability of proliferative diabetic retinopathy assessment on wide-field OCT-angiography and fluorescein angiography.</w:t>
      </w:r>
      <w:r>
        <w:t xml:space="preserve"> </w:t>
      </w:r>
      <w:r>
        <w:rPr>
          <w:i/>
          <w:iCs/>
        </w:rPr>
        <w:t xml:space="preserve">Transl. Vis. Sci. Technol.</w:t>
      </w:r>
      <w:r>
        <w:t xml:space="preserve"> </w:t>
      </w:r>
      <w:r>
        <w:t xml:space="preserve">12(7), 13 (2023).</w:t>
      </w:r>
    </w:p>
    <w:p>
      <w:pPr>
        <w:pStyle w:val="Compact"/>
        <w:numPr>
          <w:ilvl w:val="0"/>
          <w:numId w:val="1002"/>
        </w:numPr>
      </w:pPr>
      <w:r>
        <w:t xml:space="preserve">Deák, G. G. et al. Comparison of optical coherence tomography vs. fluorescein angiography-based macular neovascularization classifications in age-related macular degeneration.</w:t>
      </w:r>
      <w:r>
        <w:t xml:space="preserve"> </w:t>
      </w:r>
      <w:r>
        <w:rPr>
          <w:i/>
          <w:iCs/>
        </w:rPr>
        <w:t xml:space="preserve">Sci. Rep.</w:t>
      </w:r>
      <w:r>
        <w:t xml:space="preserve"> </w:t>
      </w:r>
      <w:r>
        <w:t xml:space="preserve">15, 87576 (2025) doi:10.1038/s41598-025-87576-6.</w:t>
      </w:r>
    </w:p>
    <w:p>
      <w:pPr>
        <w:pStyle w:val="Compact"/>
        <w:numPr>
          <w:ilvl w:val="0"/>
          <w:numId w:val="1002"/>
        </w:numPr>
      </w:pPr>
      <w:r>
        <w:t xml:space="preserve">Corvi, F. et al. Reproducibility of vessel density, fractal dimension, and foveal avascular zone using 7 different optical coherence tomography angiography devices.</w:t>
      </w:r>
      <w:r>
        <w:t xml:space="preserve"> </w:t>
      </w:r>
      <w:r>
        <w:rPr>
          <w:i/>
          <w:iCs/>
        </w:rPr>
        <w:t xml:space="preserve">Am. J. Ophthalmol.</w:t>
      </w:r>
      <w:r>
        <w:t xml:space="preserve"> </w:t>
      </w:r>
      <w:r>
        <w:t xml:space="preserve">186, 25–31 (2018).</w:t>
      </w:r>
    </w:p>
    <w:p>
      <w:pPr>
        <w:pStyle w:val="Compact"/>
        <w:numPr>
          <w:ilvl w:val="0"/>
          <w:numId w:val="1002"/>
        </w:numPr>
      </w:pPr>
      <w:r>
        <w:t xml:space="preserve">Corvi, F. et al. Comparison between several optical coherence tomography angiography devices and indocyanine green angiography of choroidal neovascularization.</w:t>
      </w:r>
      <w:r>
        <w:t xml:space="preserve"> </w:t>
      </w:r>
      <w:r>
        <w:rPr>
          <w:i/>
          <w:iCs/>
        </w:rPr>
        <w:t xml:space="preserve">Retina</w:t>
      </w:r>
      <w:r>
        <w:t xml:space="preserve"> </w:t>
      </w:r>
      <w:r>
        <w:t xml:space="preserve">40, 873–880 (2020).</w:t>
      </w:r>
    </w:p>
    <w:p>
      <w:pPr>
        <w:pStyle w:val="Compact"/>
        <w:numPr>
          <w:ilvl w:val="0"/>
          <w:numId w:val="1002"/>
        </w:numPr>
      </w:pPr>
      <w:r>
        <w:t xml:space="preserve">Gan, Y. et al. Novel quantitative OCTA biomarkers of choroidal neovascularization and associations with disease activity and etiology.</w:t>
      </w:r>
      <w:r>
        <w:t xml:space="preserve"> </w:t>
      </w:r>
      <w:r>
        <w:rPr>
          <w:i/>
          <w:iCs/>
        </w:rPr>
        <w:t xml:space="preserve">Transl. Vis. Sci. Technol.</w:t>
      </w:r>
      <w:r>
        <w:t xml:space="preserve"> </w:t>
      </w:r>
      <w:r>
        <w:t xml:space="preserve">15(3), 10 (2026).</w:t>
      </w:r>
    </w:p>
    <w:p>
      <w:pPr>
        <w:pStyle w:val="Compact"/>
        <w:numPr>
          <w:ilvl w:val="0"/>
          <w:numId w:val="1002"/>
        </w:numPr>
      </w:pPr>
      <w:r>
        <w:t xml:space="preserve">Hsu, C. R. et al. Combined quantitative and qualitative optical coherence tomography angiography biomarkers for predicting active neovascular age-related macular degeneration.</w:t>
      </w:r>
      <w:r>
        <w:t xml:space="preserve"> </w:t>
      </w:r>
      <w:r>
        <w:rPr>
          <w:i/>
          <w:iCs/>
        </w:rPr>
        <w:t xml:space="preserve">Sci. Rep.</w:t>
      </w:r>
      <w:r>
        <w:t xml:space="preserve"> </w:t>
      </w:r>
      <w:r>
        <w:t xml:space="preserve">11, 18068 (2021).</w:t>
      </w:r>
    </w:p>
    <w:p>
      <w:pPr>
        <w:pStyle w:val="Compact"/>
        <w:numPr>
          <w:ilvl w:val="0"/>
          <w:numId w:val="1002"/>
        </w:numPr>
      </w:pPr>
      <w:r>
        <w:t xml:space="preserve">Shrout, P. E. &amp; Fleiss, J. L. Intraclass correlations: uses in assessing rater reliability.</w:t>
      </w:r>
      <w:r>
        <w:t xml:space="preserve"> </w:t>
      </w:r>
      <w:r>
        <w:rPr>
          <w:i/>
          <w:iCs/>
        </w:rPr>
        <w:t xml:space="preserve">Psychol. Bull.</w:t>
      </w:r>
      <w:r>
        <w:t xml:space="preserve"> </w:t>
      </w:r>
      <w:r>
        <w:t xml:space="preserve">86, 420–428 (1979).</w:t>
      </w:r>
    </w:p>
    <w:p>
      <w:pPr>
        <w:pStyle w:val="Compact"/>
        <w:numPr>
          <w:ilvl w:val="0"/>
          <w:numId w:val="1002"/>
        </w:numPr>
      </w:pPr>
      <w:r>
        <w:t xml:space="preserve">McGraw, K. O. &amp; Wong, S. P. Forming inferences about some intraclass correlation coefficients.</w:t>
      </w:r>
      <w:r>
        <w:t xml:space="preserve"> </w:t>
      </w:r>
      <w:r>
        <w:rPr>
          <w:i/>
          <w:iCs/>
        </w:rPr>
        <w:t xml:space="preserve">Psychol. Methods</w:t>
      </w:r>
      <w:r>
        <w:t xml:space="preserve"> </w:t>
      </w:r>
      <w:r>
        <w:t xml:space="preserve">1, 30–46 (1996).</w:t>
      </w:r>
    </w:p>
    <w:p>
      <w:pPr>
        <w:pStyle w:val="Compact"/>
        <w:numPr>
          <w:ilvl w:val="0"/>
          <w:numId w:val="1002"/>
        </w:numPr>
      </w:pPr>
      <w:r>
        <w:t xml:space="preserve">Koo, T. K. &amp; Li, M. Y. A guideline of selecting and reporting intraclass correlation coefficients for reliability research.</w:t>
      </w:r>
      <w:r>
        <w:t xml:space="preserve"> </w:t>
      </w:r>
      <w:r>
        <w:rPr>
          <w:i/>
          <w:iCs/>
        </w:rPr>
        <w:t xml:space="preserve">J. Chiropr. Med.</w:t>
      </w:r>
      <w:r>
        <w:t xml:space="preserve"> </w:t>
      </w:r>
      <w:r>
        <w:t xml:space="preserve">15, 155–163 (2016).</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2026-08-01T06:25:51Z</dcterms:created>
  <dcterms:modified xsi:type="dcterms:W3CDTF">2026-08-01T06:25:51Z</dcterms:modified>
</cp:coreProperties>
</file>

<file path=docProps/custom.xml><?xml version="1.0" encoding="utf-8"?>
<Properties xmlns="http://schemas.openxmlformats.org/officeDocument/2006/custom-properties" xmlns:vt="http://schemas.openxmlformats.org/officeDocument/2006/docPropsVTypes"/>
</file>