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gure-legends"/>
    <w:p>
      <w:pPr>
        <w:pStyle w:val="Heading1"/>
      </w:pPr>
      <w:r>
        <w:t xml:space="preserve">Figure legends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Representative OCTA images demonstrating consistent MNV segmentation across multiple platforms. Images were acquired using: (A) Zeiss PlexElite 9000 (6×6 mm), (B) Optovue Solix (6×6 mm), and (C) Zeiss CIRRUS / HD series (3×3 mm). Semi-automatically delineated lesion areas and dilated neovascular segments follow internal lesion architecture. The ROI is refined toward the non-perfused tissue border to minimize boundary artifacts, and incomplete peripheral vessel segments are excluded from quantitative analysis.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2.</w:t>
      </w:r>
      <w:r>
        <w:t xml:space="preserve"> </w:t>
      </w:r>
      <w:r>
        <w:t xml:space="preserve">Schematic of the semi-automated image-processing workflow: freehand ROI → iterative ROI refinement → hybrid multiscale vessel enhancement (Frangi/tubeness + Laplacian of Gaussian) → Phansalkar adaptive binarization → morphological refinement → skeletonization → boundary-branch exclusion → quantitative metrics and standardized scores.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3.</w:t>
      </w:r>
      <w:r>
        <w:t xml:space="preserve"> </w:t>
      </w:r>
      <w:r>
        <w:t xml:space="preserve">Representative OCTA en-face image of macular neovascularization illustrating the semi-automated processing pipeline.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Input angiogram with freehand / refined region of interest (ROI; green outline and tint).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Continuous multiscale Frangi vesselness (tubeness) enhancement within the ROI.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Adaptive Phansalkar / hybrid binarization vessel map within the ROI after morphological refinement.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One-pixel-wide skeleton (centerline) used for topological and morphometric metrics.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2026-08-01T04:42:33Z</dcterms:created>
  <dcterms:modified xsi:type="dcterms:W3CDTF">2026-08-01T04:42:33Z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