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8E75CB" w14:textId="77777777" w:rsidR="003D15CA" w:rsidRPr="00D24735" w:rsidRDefault="00696381">
      <w:pPr>
        <w:pStyle w:val="1"/>
      </w:pPr>
      <w:bookmarkStart w:id="0" w:name="Xd390c6c8ca6abf36b654ce4124ea06102b0ff15"/>
      <w:r w:rsidRPr="00D24735">
        <w:t>Novel Semi-Automated System for Multi-Dimensional Analysis of Macular Neovascularization: Quantitative Biomarkers and Rule-Based Morphological Categorization Across OCTA Platforms</w:t>
      </w:r>
    </w:p>
    <w:p w14:paraId="6549BCEB" w14:textId="77777777" w:rsidR="003D15CA" w:rsidRPr="00D24735" w:rsidRDefault="00696381">
      <w:pPr>
        <w:pStyle w:val="FirstParagraph"/>
      </w:pPr>
      <w:r w:rsidRPr="00D24735">
        <w:t>Yasuo Yanagi, Maiko Maruyama-Inoue, Tatsuya Inoue and Kazuaki Kadonosono</w:t>
      </w:r>
    </w:p>
    <w:p w14:paraId="58E16AD9" w14:textId="77777777" w:rsidR="003D15CA" w:rsidRPr="00D24735" w:rsidRDefault="00696381">
      <w:pPr>
        <w:pStyle w:val="a0"/>
      </w:pPr>
      <w:r w:rsidRPr="00D24735">
        <w:t>Department of Ophthalmology and Micro-Technology, Yokohama City University, 4-57 Urafune, Minami-ku, Yokohama, Kanagawa, 232-0024, Japan.</w:t>
      </w:r>
    </w:p>
    <w:p w14:paraId="5ACCDAC0" w14:textId="77777777" w:rsidR="003D15CA" w:rsidRPr="00D24735" w:rsidRDefault="00696381">
      <w:pPr>
        <w:pStyle w:val="a0"/>
      </w:pPr>
      <w:r w:rsidRPr="00D24735">
        <w:rPr>
          <w:b/>
          <w:bCs/>
        </w:rPr>
        <w:t>Correspondence:</w:t>
      </w:r>
    </w:p>
    <w:p w14:paraId="7FF0E25F" w14:textId="77777777" w:rsidR="003D15CA" w:rsidRPr="00D24735" w:rsidRDefault="00696381">
      <w:pPr>
        <w:pStyle w:val="a0"/>
      </w:pPr>
      <w:r w:rsidRPr="00D24735">
        <w:t>Yasuo Yanagi</w:t>
      </w:r>
    </w:p>
    <w:p w14:paraId="5729428F" w14:textId="77777777" w:rsidR="003D15CA" w:rsidRPr="00D24735" w:rsidRDefault="00696381">
      <w:pPr>
        <w:pStyle w:val="a0"/>
      </w:pPr>
      <w:r w:rsidRPr="00D24735">
        <w:t>yanagi.yas.wu@yokohama-cu.ac.jp</w:t>
      </w:r>
    </w:p>
    <w:p w14:paraId="64EB3EF0" w14:textId="77777777" w:rsidR="003D15CA" w:rsidRPr="00D24735" w:rsidRDefault="00696381">
      <w:pPr>
        <w:pStyle w:val="a0"/>
      </w:pPr>
      <w:r w:rsidRPr="00D24735">
        <w:t>Department of Ophthalmology and Micro-technology, Graduate School of Medicine, Yokohama City University, Yokohama, Japan</w:t>
      </w:r>
    </w:p>
    <w:p w14:paraId="2FDA78F8" w14:textId="77777777" w:rsidR="003D15CA" w:rsidRPr="00D24735" w:rsidRDefault="00696381">
      <w:pPr>
        <w:pStyle w:val="a0"/>
      </w:pPr>
      <w:r w:rsidRPr="00D24735">
        <w:rPr>
          <w:b/>
          <w:bCs/>
        </w:rPr>
        <w:t>Conflict of Interest:</w:t>
      </w:r>
      <w:r w:rsidRPr="00D24735">
        <w:t xml:space="preserve"> Y. Yanagi - Consultant/Speaker for Astellas Pharmaceutical, Bayer Yakuhin Ltd, Roche/Chugai Pharmaceutical Co., Ltd., Novartis Pharma K.K., Boehringer Ingelheim Co., Ltd., Santen Pharmaceutical Co., Ltd., Senju Pharmaceutical Co.</w:t>
      </w:r>
    </w:p>
    <w:p w14:paraId="6B5F9EA1" w14:textId="77777777" w:rsidR="003D15CA" w:rsidRPr="00D24735" w:rsidRDefault="00696381">
      <w:pPr>
        <w:pStyle w:val="a0"/>
      </w:pPr>
      <w:r w:rsidRPr="00D24735">
        <w:rPr>
          <w:b/>
          <w:bCs/>
        </w:rPr>
        <w:t>Funding Declaration:</w:t>
      </w:r>
    </w:p>
    <w:p w14:paraId="4E556CD7" w14:textId="77777777" w:rsidR="003D15CA" w:rsidRPr="00D24735" w:rsidRDefault="00696381">
      <w:pPr>
        <w:pStyle w:val="a0"/>
      </w:pPr>
      <w:r w:rsidRPr="00D24735">
        <w:t>Micron Co., Ltd. provided funding support to the development of the image analysis system.</w:t>
      </w:r>
    </w:p>
    <w:p w14:paraId="3E3D5297" w14:textId="77777777" w:rsidR="003D15CA" w:rsidRPr="00D24735" w:rsidRDefault="00696381">
      <w:pPr>
        <w:pStyle w:val="a0"/>
      </w:pPr>
      <w:r w:rsidRPr="00D24735">
        <w:rPr>
          <w:b/>
          <w:bCs/>
        </w:rPr>
        <w:t>Author contributions:</w:t>
      </w:r>
    </w:p>
    <w:p w14:paraId="51964691" w14:textId="77777777" w:rsidR="003D15CA" w:rsidRPr="00D24735" w:rsidRDefault="00696381">
      <w:pPr>
        <w:pStyle w:val="a0"/>
      </w:pPr>
      <w:r w:rsidRPr="00D24735">
        <w:t>Y.Y. wrote the main manuscript text and T.I. and M.I. prepared figures. All authors reviewed the manuscript.</w:t>
      </w:r>
    </w:p>
    <w:p w14:paraId="0D1E0F1B" w14:textId="77777777" w:rsidR="003D15CA" w:rsidRPr="00D24735" w:rsidRDefault="00696381">
      <w:pPr>
        <w:pStyle w:val="2"/>
      </w:pPr>
      <w:bookmarkStart w:id="1" w:name="key-messages"/>
      <w:r w:rsidRPr="00D24735">
        <w:t>Key Messages</w:t>
      </w:r>
    </w:p>
    <w:p w14:paraId="55363DE6" w14:textId="77777777" w:rsidR="003D15CA" w:rsidRPr="00D24735" w:rsidRDefault="00696381">
      <w:pPr>
        <w:pStyle w:val="FirstParagraph"/>
      </w:pPr>
      <w:r w:rsidRPr="00D24735">
        <w:rPr>
          <w:b/>
          <w:bCs/>
        </w:rPr>
        <w:t>What is known</w:t>
      </w:r>
    </w:p>
    <w:p w14:paraId="1CF17826" w14:textId="77777777" w:rsidR="003D15CA" w:rsidRPr="00D24735" w:rsidRDefault="00696381">
      <w:pPr>
        <w:pStyle w:val="Compact"/>
        <w:numPr>
          <w:ilvl w:val="0"/>
          <w:numId w:val="2"/>
        </w:numPr>
      </w:pPr>
      <w:r w:rsidRPr="00D24735">
        <w:t>Quantitative OCTA analysis of macular neovascularization (MNV) is limited by device- and field-of-view–dependent scaling of raw topological metrics, hindering cross-platform comparison.</w:t>
      </w:r>
    </w:p>
    <w:p w14:paraId="769B0A3D" w14:textId="77777777" w:rsidR="003D15CA" w:rsidRPr="00D24735" w:rsidRDefault="00696381">
      <w:pPr>
        <w:pStyle w:val="Compact"/>
        <w:numPr>
          <w:ilvl w:val="0"/>
          <w:numId w:val="2"/>
        </w:numPr>
      </w:pPr>
      <w:r w:rsidRPr="00D24735">
        <w:lastRenderedPageBreak/>
        <w:t>Qualitative MNV pattern labels (e.g., Medusa, Seafan, Dead tree) remain inconsistently defined and are rarely linked to reproducible quantitative thresholds.</w:t>
      </w:r>
    </w:p>
    <w:p w14:paraId="34E4CE75" w14:textId="77777777" w:rsidR="003D15CA" w:rsidRPr="00D24735" w:rsidRDefault="00696381">
      <w:pPr>
        <w:pStyle w:val="FirstParagraph"/>
      </w:pPr>
      <w:r w:rsidRPr="00D24735">
        <w:rPr>
          <w:b/>
          <w:bCs/>
        </w:rPr>
        <w:t>What is new</w:t>
      </w:r>
    </w:p>
    <w:p w14:paraId="48D12191" w14:textId="77777777" w:rsidR="003D15CA" w:rsidRPr="00D24735" w:rsidRDefault="00696381">
      <w:pPr>
        <w:pStyle w:val="Compact"/>
        <w:numPr>
          <w:ilvl w:val="0"/>
          <w:numId w:val="3"/>
        </w:numPr>
      </w:pPr>
      <w:r w:rsidRPr="00D24735">
        <w:t>We present a semi-automated pipeline (hybrid vessel enhancement, adaptive binarization, skeleton-based topology) that generates stratum-specific standardized Vascular Complexity and Caliber Uniformity Scores (0–100) for cross-device reporting.</w:t>
      </w:r>
    </w:p>
    <w:p w14:paraId="1A0180F5" w14:textId="77777777" w:rsidR="003D15CA" w:rsidRPr="00D24735" w:rsidRDefault="00696381">
      <w:pPr>
        <w:pStyle w:val="Compact"/>
        <w:numPr>
          <w:ilvl w:val="0"/>
          <w:numId w:val="3"/>
        </w:numPr>
      </w:pPr>
      <w:r w:rsidRPr="00D24735">
        <w:t>We provide operational, rule-based morphological categories with disclosed decision thresholds and report agreement with masked expert grading.</w:t>
      </w:r>
    </w:p>
    <w:p w14:paraId="46BD0335" w14:textId="77777777" w:rsidR="003D15CA" w:rsidRPr="00D24735" w:rsidRDefault="00696381">
      <w:pPr>
        <w:pStyle w:val="Compact"/>
        <w:numPr>
          <w:ilvl w:val="0"/>
          <w:numId w:val="3"/>
        </w:numPr>
      </w:pPr>
      <w:r w:rsidRPr="00D24735">
        <w:t>Morphology-derived interpretive categories are proposed as hypothesis-generating labels; clinical outcome validation was outside the scope of this anonymized, treatment-naïve cohort.</w:t>
      </w:r>
    </w:p>
    <w:p w14:paraId="5C30D7AD" w14:textId="77777777" w:rsidR="003D15CA" w:rsidRPr="00D24735" w:rsidRDefault="00696381">
      <w:pPr>
        <w:pStyle w:val="2"/>
      </w:pPr>
      <w:bookmarkStart w:id="2" w:name="abstract"/>
      <w:bookmarkEnd w:id="1"/>
      <w:r w:rsidRPr="00D24735">
        <w:t>Abstract</w:t>
      </w:r>
    </w:p>
    <w:p w14:paraId="58CEF65E" w14:textId="77777777" w:rsidR="003D15CA" w:rsidRPr="00D24735" w:rsidRDefault="00696381">
      <w:pPr>
        <w:pStyle w:val="FirstParagraph"/>
      </w:pPr>
      <w:r w:rsidRPr="00D24735">
        <w:rPr>
          <w:b/>
          <w:bCs/>
        </w:rPr>
        <w:t>Purpose:</w:t>
      </w:r>
      <w:r w:rsidRPr="00D24735">
        <w:t xml:space="preserve"> To develop and validate a novel semi-automated Python-based pipeline for multi-dimensional analysis of macular neovascularization (MNV) on optical coherence tomography angiography (OCTA) images. The system provides standardized biomarkers, rule-based morphological categorization, and morphology-derived interpretive labels. It also incorporates an automated morphological classification scheme to objectively distinguish active, mature quiescent, transitional, and arteriolarized states.</w:t>
      </w:r>
    </w:p>
    <w:p w14:paraId="16CE4AEB" w14:textId="77777777" w:rsidR="003D15CA" w:rsidRPr="00D24735" w:rsidRDefault="00696381">
      <w:pPr>
        <w:pStyle w:val="a0"/>
      </w:pPr>
      <w:r w:rsidRPr="00D24735">
        <w:rPr>
          <w:b/>
          <w:bCs/>
        </w:rPr>
        <w:t>Methods:</w:t>
      </w:r>
      <w:r w:rsidRPr="00D24735">
        <w:t xml:space="preserve"> We developed an advanced image-processing pipeline incorporating hybrid multiscale vessel enhancement using Frangi/tubeness and Laplacian of Gaussian filters, Phansalkar adaptive binarization, dynamic region-of-interest refinement, and boundary-branch exclusion. The system generates a Standardized Vascular Complexity Score, a Standardized Caliber Uniformity Score, and a Standardized Maturity Index on a 0–100 scale, and performs rule-based classification into Medusa, Seafan, Glomerular, Tree in bud, and Dead tree patterns using predefined percentile and trunk-pattern thresholds. Morphology-derived interpretive categories - Active-pattern, Mature-quiescent-pattern, Transitional-pattern, and Arteriolarized-pattern - were assigned using quantitative thresholds and published morphological criteria. A total of 112 MNV lesions acquired on three OCTA platforms (Zeiss PlexElite 6×6 mm, Zeiss CIRRUS AngioPlex HD 3×3 mm, and Optovue Solix 6×6 mm) were analyzed.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p>
    <w:p w14:paraId="031CD9E3" w14:textId="77777777" w:rsidR="003D15CA" w:rsidRPr="00D24735" w:rsidRDefault="00696381">
      <w:pPr>
        <w:pStyle w:val="a0"/>
      </w:pPr>
      <w:r w:rsidRPr="00D24735">
        <w:rPr>
          <w:b/>
          <w:bCs/>
        </w:rPr>
        <w:lastRenderedPageBreak/>
        <w:t>Results:</w:t>
      </w:r>
      <w:r w:rsidRPr="00D24735">
        <w:t xml:space="preserve"> Raw topological metrics differed substantially by device, precluding direct numerical comparison. Device-specific standardization using principal component analysis and piecewise-linear normalization yielded convergent standardized Complexity, Caliber Uniformity, and Maturity scores on a common 0–100 reporting scale across devices, with median values of approximately 50. Under this standardized framework, Complexity Score, Caliber Uniformity Score, and Maturity Index did not differ significantly across strata (Kruskal–Wallis p = 0.425, 0.572, and 0.582, respectively; ε² ≈ 0). Automated morphological classification identified the full spectrum of MNV subtypes across all platforms.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p>
    <w:p w14:paraId="04DF9C01" w14:textId="77777777" w:rsidR="003D15CA" w:rsidRPr="00D24735" w:rsidRDefault="00696381">
      <w:pPr>
        <w:pStyle w:val="a0"/>
      </w:pPr>
      <w:r w:rsidRPr="00D24735">
        <w:rPr>
          <w:b/>
          <w:bCs/>
        </w:rPr>
        <w:t>Conclusion:</w:t>
      </w:r>
      <w:r w:rsidRPr="00D24735">
        <w:t xml:space="preserve"> This system provides a transparent and robust platform for quantification and rule-based morphological reporting of MNV architecture across OCTA platforms, establishing a common framework for comparative analysis. Future outcome-linked and multi-center evaluations will be required to establish clinical utility. By integrating morphological patterns with quantitative biomarkers and automated classification, the system enables objective differentiation of active angiogenesis from mature remodeling.</w:t>
      </w:r>
    </w:p>
    <w:p w14:paraId="1170913C" w14:textId="77777777" w:rsidR="003D15CA" w:rsidRPr="00D24735" w:rsidRDefault="00696381">
      <w:pPr>
        <w:pStyle w:val="2"/>
      </w:pPr>
      <w:bookmarkStart w:id="3" w:name="introduction"/>
      <w:bookmarkEnd w:id="2"/>
      <w:r w:rsidRPr="00D24735">
        <w:t>Introduction</w:t>
      </w:r>
    </w:p>
    <w:p w14:paraId="26805E1F" w14:textId="77777777" w:rsidR="003D15CA" w:rsidRPr="00D24735" w:rsidRDefault="00696381">
      <w:pPr>
        <w:pStyle w:val="FirstParagraph"/>
      </w:pPr>
      <w:r w:rsidRPr="00D24735">
        <w:t>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14:paraId="25A78760" w14:textId="77777777" w:rsidR="003D15CA" w:rsidRPr="00D24735" w:rsidRDefault="00696381">
      <w:pPr>
        <w:pStyle w:val="a0"/>
      </w:pPr>
      <w:r w:rsidRPr="00D24735">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14:paraId="27013373" w14:textId="77777777" w:rsidR="003D15CA" w:rsidRPr="00D24735" w:rsidRDefault="00696381">
      <w:pPr>
        <w:pStyle w:val="a0"/>
      </w:pPr>
      <w:r w:rsidRPr="00D24735">
        <w:t>This paper presents a novel semi-automated framework designed to enhance the transparency and reproducibility of MNV quantification. We detail a robust rule-</w:t>
      </w:r>
      <w:r w:rsidRPr="00D24735">
        <w:lastRenderedPageBreak/>
        <w:t>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p w14:paraId="741F7C22" w14:textId="77777777" w:rsidR="003D15CA" w:rsidRPr="00D24735" w:rsidRDefault="00696381">
      <w:pPr>
        <w:pStyle w:val="2"/>
      </w:pPr>
      <w:bookmarkStart w:id="4" w:name="methods"/>
      <w:bookmarkEnd w:id="3"/>
      <w:r w:rsidRPr="00D24735">
        <w:t>Methods</w:t>
      </w:r>
    </w:p>
    <w:p w14:paraId="76EA1321" w14:textId="77777777" w:rsidR="003D15CA" w:rsidRPr="00D24735" w:rsidRDefault="00696381">
      <w:pPr>
        <w:pStyle w:val="3"/>
        <w:rPr>
          <w:rFonts w:cs="Arial"/>
        </w:rPr>
      </w:pPr>
      <w:bookmarkStart w:id="5" w:name="X7854f73b4d5bf32e32719e61e54cbb18a80d6f9"/>
      <w:r w:rsidRPr="00D24735">
        <w:rPr>
          <w:rFonts w:cs="Arial"/>
        </w:rPr>
        <w:t>Study Population and Acquisition Protocols</w:t>
      </w:r>
    </w:p>
    <w:p w14:paraId="0CECDB4B" w14:textId="77777777" w:rsidR="003D15CA" w:rsidRPr="00D24735" w:rsidRDefault="00696381">
      <w:pPr>
        <w:pStyle w:val="FirstParagraph"/>
      </w:pPr>
      <w:r w:rsidRPr="00D24735">
        <w:t>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 large group (n = 49) comprised 6×6 mm acquisitions on the Zeiss PlexElite 9000 (swept-source OCTA, 1060 nm). The small_3mm group (n = 30) comprised 3×3 mm acquisitions on the Zeiss CIRRUS HD-OCT with AngioPlex (spectral-domain OCTA, 840 nm). The small group (n = 33) comprised 6×6 mm acquisitions on the Optovue Solix (Optovue/Visionix; swept-source OCTA, 1060 nm).</w:t>
      </w:r>
    </w:p>
    <w:p w14:paraId="75A57AEC" w14:textId="77777777" w:rsidR="003D15CA" w:rsidRPr="00D24735" w:rsidRDefault="00696381">
      <w:pPr>
        <w:pStyle w:val="a0"/>
      </w:pPr>
      <w:r w:rsidRPr="00D24735">
        <w:t>All included eyes were treatment-naïve 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The use of three hardware platforms - differing in manufacturer, OCTA modality, wavelength, scanning protocol, and field size - was intentional: it provides a multi-device setting in which to evaluate stratum-specific standardization for cross-device reporting.</w:t>
      </w:r>
    </w:p>
    <w:p w14:paraId="6869B627" w14:textId="77777777" w:rsidR="003D15CA" w:rsidRPr="00D24735" w:rsidRDefault="00696381">
      <w:pPr>
        <w:pStyle w:val="3"/>
        <w:rPr>
          <w:rFonts w:cs="Arial"/>
        </w:rPr>
      </w:pPr>
      <w:bookmarkStart w:id="6" w:name="analytical-framework"/>
      <w:bookmarkEnd w:id="5"/>
      <w:r w:rsidRPr="00D24735">
        <w:rPr>
          <w:rFonts w:cs="Arial"/>
        </w:rPr>
        <w:t>Analytical Framework</w:t>
      </w:r>
    </w:p>
    <w:p w14:paraId="3A7DF120" w14:textId="77777777" w:rsidR="003D15CA" w:rsidRPr="00D24735" w:rsidRDefault="00696381">
      <w:pPr>
        <w:pStyle w:val="FirstParagraph"/>
      </w:pPr>
      <w:r w:rsidRPr="00D24735">
        <w:t>The analytical framework was initially implemented as a comprehensive ImageJ macro and later in Python.</w:t>
      </w:r>
    </w:p>
    <w:p w14:paraId="0C98353D" w14:textId="77777777" w:rsidR="003D15CA" w:rsidRPr="00D24735" w:rsidRDefault="00696381">
      <w:pPr>
        <w:pStyle w:val="a0"/>
      </w:pPr>
      <w:r w:rsidRPr="00D24735">
        <w:t>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14:paraId="463F2C1E" w14:textId="77777777" w:rsidR="003D15CA" w:rsidRPr="00D24735" w:rsidRDefault="00696381">
      <w:pPr>
        <w:pStyle w:val="a0"/>
      </w:pPr>
      <w:r w:rsidRPr="00D24735">
        <w:lastRenderedPageBreak/>
        <w:t>The core pipeline operates after freehand delineation of the MNV lesion by the user. This input defines the ROI for subsequent automated processing (Figure 2; representative processing panels in Figure 3). The pipeline comprises the stages below.</w:t>
      </w:r>
    </w:p>
    <w:p w14:paraId="008C5544" w14:textId="77777777" w:rsidR="003D15CA" w:rsidRPr="00D24735" w:rsidRDefault="00696381">
      <w:pPr>
        <w:pStyle w:val="3"/>
        <w:rPr>
          <w:rFonts w:cs="Arial"/>
        </w:rPr>
      </w:pPr>
      <w:bookmarkStart w:id="7" w:name="Xb8173c599fb4ef779aa8cd4698af836e7635b53"/>
      <w:bookmarkEnd w:id="6"/>
      <w:r w:rsidRPr="00D24735">
        <w:rPr>
          <w:rFonts w:cs="Arial"/>
        </w:rPr>
        <w:t>Artifact Mitigation and Spatial Organization</w:t>
      </w:r>
    </w:p>
    <w:p w14:paraId="22AFC76E" w14:textId="77777777" w:rsidR="003D15CA" w:rsidRPr="00D24735" w:rsidRDefault="00696381">
      <w:pPr>
        <w:pStyle w:val="FirstParagraph"/>
      </w:pPr>
      <w:r w:rsidRPr="00D24735">
        <w:t>This stage addresses critical sources of error in existing analysis software.</w:t>
      </w:r>
    </w:p>
    <w:p w14:paraId="4C828381" w14:textId="77777777" w:rsidR="003D15CA" w:rsidRPr="00D24735" w:rsidRDefault="00696381">
      <w:pPr>
        <w:pStyle w:val="a0"/>
      </w:pPr>
      <w:r w:rsidRPr="00D24735">
        <w:t>ROI refinement. 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14:paraId="45FBC836" w14:textId="77777777" w:rsidR="003D15CA" w:rsidRPr="00D24735" w:rsidRDefault="00696381">
      <w:pPr>
        <w:numPr>
          <w:ilvl w:val="0"/>
          <w:numId w:val="4"/>
        </w:numPr>
      </w:pPr>
      <w:r w:rsidRPr="00D24735">
        <w:t>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p>
    <w:p w14:paraId="673CA7C4" w14:textId="77777777" w:rsidR="003D15CA" w:rsidRPr="00D24735" w:rsidRDefault="00696381">
      <w:pPr>
        <w:numPr>
          <w:ilvl w:val="0"/>
          <w:numId w:val="4"/>
        </w:numPr>
      </w:pPr>
      <w:r w:rsidRPr="00D24735">
        <w:t>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p>
    <w:p w14:paraId="1CFCF67A" w14:textId="77777777" w:rsidR="003D15CA" w:rsidRPr="00D24735" w:rsidRDefault="00696381">
      <w:pPr>
        <w:pStyle w:val="FirstParagraph"/>
      </w:pPr>
      <w:r w:rsidRPr="00D24735">
        <w:lastRenderedPageBreak/>
        <w:t>Post-processing and skeletonization. The binary image is refined by morphological reconstitution and skeletonized to a one-pixel-wide centerline for topological analysis.</w:t>
      </w:r>
    </w:p>
    <w:p w14:paraId="2F886BDB" w14:textId="77777777" w:rsidR="003D15CA" w:rsidRPr="00D24735" w:rsidRDefault="00696381">
      <w:pPr>
        <w:pStyle w:val="a0"/>
      </w:pPr>
      <w:r w:rsidRPr="00D24735">
        <w:t>Boundary-branch exclusion. 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p w14:paraId="1F9E799E" w14:textId="77777777" w:rsidR="003D15CA" w:rsidRPr="00D24735" w:rsidRDefault="00696381">
      <w:pPr>
        <w:pStyle w:val="3"/>
        <w:rPr>
          <w:rFonts w:cs="Arial"/>
        </w:rPr>
      </w:pPr>
      <w:bookmarkStart w:id="8" w:name="quantitative-analysis"/>
      <w:bookmarkEnd w:id="7"/>
      <w:r w:rsidRPr="00D24735">
        <w:rPr>
          <w:rFonts w:cs="Arial"/>
        </w:rPr>
        <w:t>Quantitative Analysis</w:t>
      </w:r>
    </w:p>
    <w:p w14:paraId="1DAC59B3" w14:textId="77777777" w:rsidR="003D15CA" w:rsidRPr="00D24735" w:rsidRDefault="00696381">
      <w:pPr>
        <w:pStyle w:val="FirstParagraph"/>
      </w:pPr>
      <w:r w:rsidRPr="00D24735">
        <w:t>This stage computes a comprehensive set of parameters, including major metrics identified in the literature review, and introduces integrated scores. Table 1 summarizes the quantitative parameters</w:t>
      </w:r>
    </w:p>
    <w:p w14:paraId="77F9DD73" w14:textId="77777777" w:rsidR="003D15CA" w:rsidRPr="00D24735" w:rsidRDefault="00696381">
      <w:pPr>
        <w:pStyle w:val="a0"/>
      </w:pPr>
      <w:r w:rsidRPr="00D24735">
        <w:t>obtained in this study; separate columns list inter-rater and intra-rater ICC(2,1)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p w14:paraId="47B1722C" w14:textId="77777777" w:rsidR="003D15CA" w:rsidRPr="00D24735" w:rsidRDefault="00696381">
      <w:pPr>
        <w:pStyle w:val="3"/>
        <w:rPr>
          <w:rFonts w:cs="Arial"/>
        </w:rPr>
      </w:pPr>
      <w:bookmarkStart w:id="9" w:name="standardized-score-computation"/>
      <w:bookmarkEnd w:id="8"/>
      <w:r w:rsidRPr="00D24735">
        <w:rPr>
          <w:rFonts w:cs="Arial"/>
        </w:rPr>
        <w:t>Standardized Score Computation</w:t>
      </w:r>
    </w:p>
    <w:p w14:paraId="7D75E350" w14:textId="77777777" w:rsidR="003D15CA" w:rsidRPr="00D24735" w:rsidRDefault="00696381">
      <w:pPr>
        <w:pStyle w:val="4"/>
        <w:rPr>
          <w:rFonts w:cs="Arial"/>
        </w:rPr>
      </w:pPr>
      <w:bookmarkStart w:id="10" w:name="X62fc10c18012e46062b00f54b899d057c99cedc"/>
      <w:r w:rsidRPr="00D24735">
        <w:rPr>
          <w:rFonts w:cs="Arial"/>
        </w:rPr>
        <w:t>Standardized Vascular Complexity Score (0–100)</w:t>
      </w:r>
    </w:p>
    <w:p w14:paraId="2E9E7265" w14:textId="77777777" w:rsidR="003D15CA" w:rsidRPr="00D24735" w:rsidRDefault="00696381">
      <w:pPr>
        <w:pStyle w:val="FirstParagraph"/>
      </w:pPr>
      <w:r w:rsidRPr="00D24735">
        <w:t>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 reporting 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p w14:paraId="0F97499D" w14:textId="77777777" w:rsidR="003D15CA" w:rsidRPr="00D24735" w:rsidRDefault="00696381">
      <w:pPr>
        <w:pStyle w:val="4"/>
        <w:rPr>
          <w:rFonts w:cs="Arial"/>
        </w:rPr>
      </w:pPr>
      <w:bookmarkStart w:id="11" w:name="X326695e2ddfb990c0fa24a0fd0639d08e390a29"/>
      <w:bookmarkEnd w:id="10"/>
      <w:r w:rsidRPr="00D24735">
        <w:rPr>
          <w:rFonts w:cs="Arial"/>
        </w:rPr>
        <w:lastRenderedPageBreak/>
        <w:t>Standardized Caliber Uniformity Score (0–100)</w:t>
      </w:r>
    </w:p>
    <w:p w14:paraId="39EFB300" w14:textId="77777777" w:rsidR="003D15CA" w:rsidRPr="00D24735" w:rsidRDefault="00696381">
      <w:pPr>
        <w:pStyle w:val="FirstParagraph"/>
      </w:pPr>
      <w:r w:rsidRPr="00D24735">
        <w:t>A PCA-based standardization scheme was also evaluated for vascular caliber uniformity, but the present score was adopted to improve interpretability and reproducibility. Vascular caliber uniformity was quantified using two skeleton-derived morphometric features already exported by the pipeline: (1) the coefficient of variation of neovascular vessel diameter (NV Diameter CV); and (2) the fraction of dilated vessel length (Dilated vessel %, defined as segments exceeding the mean + 2.0 × SD of vessel diameters). Each feature was transformed into a uniformity axis by piecewise-linear scaling of its negated value (NV Diameter CV; dilated vessel fraction), such that the stratum-specific minimum, median, and maximum mapped to 0, 50, and 100, respectively, with higher scores indicating greater caliber uniformity and fewer dilated extremes.</w:t>
      </w:r>
    </w:p>
    <w:p w14:paraId="3BB2CBDC" w14:textId="77777777" w:rsidR="003D15CA" w:rsidRPr="00D24735" w:rsidRDefault="00696381">
      <w:pPr>
        <w:pStyle w:val="a0"/>
      </w:pPr>
      <w:r w:rsidRPr="00D24735">
        <w:t>The Standardized Caliber Uniformity Score was then defined as</w:t>
      </w:r>
    </w:p>
    <w:p w14:paraId="55438DFD" w14:textId="77777777" w:rsidR="003D15CA" w:rsidRPr="00D24735" w:rsidRDefault="00696381">
      <w:pPr>
        <w:pStyle w:val="a0"/>
      </w:pPr>
      <w:r w:rsidRPr="00D24735">
        <w:t>Score = clip(0.75 × U(−NV Diameter CV) + 0.25 × U(−Dilated vessel %), 0, 100),</w:t>
      </w:r>
    </w:p>
    <w:p w14:paraId="1BAAFF4D" w14:textId="77777777" w:rsidR="003D15CA" w:rsidRPr="00D24735" w:rsidRDefault="00696381">
      <w:pPr>
        <w:pStyle w:val="a0"/>
      </w:pPr>
      <w:r w:rsidRPr="00D24735">
        <w:t>where U(·) denotes the stratum-specific piecewise map.</w:t>
      </w:r>
    </w:p>
    <w:p w14:paraId="0A10DF07" w14:textId="77777777" w:rsidR="003D15CA" w:rsidRPr="00D24735" w:rsidRDefault="00696381">
      <w:pPr>
        <w:pStyle w:val="4"/>
        <w:rPr>
          <w:rFonts w:cs="Arial"/>
        </w:rPr>
      </w:pPr>
      <w:bookmarkStart w:id="12" w:name="standardized-maturity-index-0100"/>
      <w:bookmarkEnd w:id="11"/>
      <w:r w:rsidRPr="00D24735">
        <w:rPr>
          <w:rFonts w:cs="Arial"/>
        </w:rPr>
        <w:t>Standardized Maturity Index (0–100)</w:t>
      </w:r>
    </w:p>
    <w:p w14:paraId="4448CFE8" w14:textId="77777777" w:rsidR="003D15CA" w:rsidRPr="00D24735" w:rsidRDefault="00696381">
      <w:pPr>
        <w:pStyle w:val="FirstParagraph"/>
      </w:pPr>
      <w:r w:rsidRPr="00D24735">
        <w:t>The Standardized Maturity Index was defined as:</w:t>
      </w:r>
    </w:p>
    <w:p w14:paraId="385CD23F" w14:textId="77777777" w:rsidR="003D15CA" w:rsidRPr="00D24735" w:rsidRDefault="00696381">
      <w:pPr>
        <w:pStyle w:val="a0"/>
      </w:pPr>
      <w:r w:rsidRPr="00D24735">
        <w:t>Maturity Index = clip(50 + (Caliber Uniformity Score − Complexity Score) / 2, 0, 100).</w:t>
      </w:r>
    </w:p>
    <w:p w14:paraId="5BFA81FE" w14:textId="77777777" w:rsidR="003D15CA" w:rsidRPr="00D24735" w:rsidRDefault="00696381">
      <w:pPr>
        <w:pStyle w:val="a0"/>
      </w:pPr>
      <w:r w:rsidRPr="00D24735">
        <w:t>This formulation reflects the concept that greater vascular maturity is characterized by increasing caliber uniformity relative to network architectural complexity. Values above 50 indicate a uniformity-dominant, maturity-dominant pattern consistent with vascular remodeling or quiescence, whereas values below 50 indicate a complexity-dominant pattern. Taken together, these normalizations ensured consistent within-stratum scaling for rule-based thresholds across acquisition settings.</w:t>
      </w:r>
    </w:p>
    <w:p w14:paraId="3459D593" w14:textId="77777777" w:rsidR="003D15CA" w:rsidRPr="00D24735" w:rsidRDefault="00696381">
      <w:pPr>
        <w:pStyle w:val="3"/>
        <w:rPr>
          <w:rFonts w:cs="Arial"/>
        </w:rPr>
      </w:pPr>
      <w:bookmarkStart w:id="13" w:name="X689f10bb5cb75aca66f2cea65f56da6e72ac435"/>
      <w:bookmarkEnd w:id="9"/>
      <w:bookmarkEnd w:id="12"/>
      <w:r w:rsidRPr="00D24735">
        <w:rPr>
          <w:rFonts w:cs="Arial"/>
        </w:rPr>
        <w:t>Rule-Based Morphological Categorization and Morphology-Derived Interpretive Categories</w:t>
      </w:r>
    </w:p>
    <w:p w14:paraId="75633C3F" w14:textId="77777777" w:rsidR="003D15CA" w:rsidRPr="00D24735" w:rsidRDefault="00696381">
      <w:pPr>
        <w:pStyle w:val="FirstParagraph"/>
      </w:pPr>
      <w:r w:rsidRPr="00D24735">
        <w:t xml:space="preserve">Using stratum-specific reference percentiles of the Standardized Vascular Complexity Score and trunk pattern assignments (Medusa, Seafan,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were labeled Medusa. Those with a SEAFAN trunk pattern and a Complexity Score at or above the 40th percentile were labeled Seafan. Lesions with a Complexity Score at or above the 30th percentile were labeled Glomerular </w:t>
      </w:r>
      <w:r w:rsidRPr="00D24735">
        <w:lastRenderedPageBreak/>
        <w:t>irrespective of trunk pattern. The remaining lesions were labeled Tree in bud, typically corresponding to an intermediate trunk pattern and mid-to-low complexity.</w:t>
      </w:r>
    </w:p>
    <w:p w14:paraId="7B0B208A" w14:textId="77777777" w:rsidR="003D15CA" w:rsidRPr="00D24735" w:rsidRDefault="00696381">
      <w:pPr>
        <w:pStyle w:val="a0"/>
      </w:pPr>
      <w:r w:rsidRPr="00D24735">
        <w:t>The percentile cut-points for each stratum were taken from the reference files used by the classifier and are summarized in Supplementary Table S1. For the small (Optovue Solix) stratum, the reference cohort used to define the Complexity percentile cut-points included 34 lesions, whereas the primary analysis batch reported in Table 3 included 33 lesions.</w:t>
      </w:r>
    </w:p>
    <w:p w14:paraId="74EC3E4C" w14:textId="77777777" w:rsidR="003D15CA" w:rsidRPr="00D24735" w:rsidRDefault="00696381">
      <w:pPr>
        <w:pStyle w:val="a0"/>
      </w:pPr>
      <w:r w:rsidRPr="00D24735">
        <w:t>Level 2 - morphology-derived interpretive categories.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were defined as morphology-derived interpretive categories based on quantitative morphological features.</w:t>
      </w:r>
    </w:p>
    <w:p w14:paraId="261EE6AB" w14:textId="77777777" w:rsidR="003D15CA" w:rsidRPr="00D24735" w:rsidRDefault="00696381">
      <w:pPr>
        <w:pStyle w:val="3"/>
        <w:rPr>
          <w:rFonts w:cs="Arial"/>
        </w:rPr>
      </w:pPr>
      <w:bookmarkStart w:id="14" w:name="expertautomated-agreement-assessment"/>
      <w:bookmarkEnd w:id="13"/>
      <w:r w:rsidRPr="00D24735">
        <w:rPr>
          <w:rFonts w:cs="Arial"/>
        </w:rPr>
        <w:t>Expert–Automated Agreement Assessment</w:t>
      </w:r>
    </w:p>
    <w:p w14:paraId="0A83E7BF" w14:textId="77777777" w:rsidR="003D15CA" w:rsidRPr="00D24735" w:rsidRDefault="00696381">
      <w:pPr>
        <w:pStyle w:val="FirstParagraph"/>
      </w:pPr>
      <w:r w:rsidRPr="00D24735">
        <w:t>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p w14:paraId="015E31A7" w14:textId="77777777" w:rsidR="003D15CA" w:rsidRPr="00D24735" w:rsidRDefault="00696381">
      <w:pPr>
        <w:pStyle w:val="3"/>
        <w:rPr>
          <w:rFonts w:cs="Arial"/>
        </w:rPr>
      </w:pPr>
      <w:bookmarkStart w:id="15" w:name="Xb1139b25dc3be5d9a5fd683633b814aac0b1229"/>
      <w:bookmarkEnd w:id="14"/>
      <w:r w:rsidRPr="00D24735">
        <w:rPr>
          <w:rFonts w:cs="Arial"/>
        </w:rPr>
        <w:t>Reproducibility: Inter- and Intra-Observer ICC</w:t>
      </w:r>
    </w:p>
    <w:p w14:paraId="15A38E0A" w14:textId="77777777" w:rsidR="003D15CA" w:rsidRPr="00D24735" w:rsidRDefault="00696381">
      <w:pPr>
        <w:pStyle w:val="FirstParagraph"/>
      </w:pPr>
      <w:r w:rsidRPr="00D24735">
        <w:t>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p>
    <w:p w14:paraId="3E8CDC38" w14:textId="77777777" w:rsidR="003D15CA" w:rsidRPr="00D24735" w:rsidRDefault="00696381">
      <w:pPr>
        <w:pStyle w:val="a0"/>
      </w:pPr>
      <w:r w:rsidRPr="00D24735">
        <w:t xml:space="preserve">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w:t>
      </w:r>
      <w:r w:rsidRPr="00D24735">
        <w:lastRenderedPageBreak/>
        <w:t>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p>
    <w:p w14:paraId="3CE9135E" w14:textId="77777777" w:rsidR="003D15CA" w:rsidRPr="00D24735" w:rsidRDefault="00696381">
      <w:pPr>
        <w:pStyle w:val="a0"/>
      </w:pPr>
      <w:r w:rsidRPr="00D24735">
        <w:t>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p w14:paraId="5498D62A" w14:textId="77777777" w:rsidR="003D15CA" w:rsidRPr="00D24735" w:rsidRDefault="00696381">
      <w:pPr>
        <w:pStyle w:val="3"/>
        <w:rPr>
          <w:rFonts w:cs="Arial"/>
        </w:rPr>
      </w:pPr>
      <w:bookmarkStart w:id="16" w:name="statistical-analysis"/>
      <w:bookmarkEnd w:id="15"/>
      <w:r w:rsidRPr="00D24735">
        <w:rPr>
          <w:rFonts w:cs="Arial"/>
        </w:rPr>
        <w:t>Statistical Analysis</w:t>
      </w:r>
    </w:p>
    <w:p w14:paraId="065CDB02" w14:textId="77777777" w:rsidR="003D15CA" w:rsidRPr="00D24735" w:rsidRDefault="00696381">
      <w:pPr>
        <w:pStyle w:val="FirstParagraph"/>
      </w:pPr>
      <w:r w:rsidRPr="00D24735">
        <w:t>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p>
    <w:p w14:paraId="334A95B9" w14:textId="77777777" w:rsidR="003D15CA" w:rsidRPr="00D24735" w:rsidRDefault="00696381">
      <w:pPr>
        <w:pStyle w:val="2"/>
      </w:pPr>
      <w:bookmarkStart w:id="17" w:name="results"/>
      <w:bookmarkEnd w:id="4"/>
      <w:bookmarkEnd w:id="16"/>
      <w:r w:rsidRPr="00D24735">
        <w:t>Results</w:t>
      </w:r>
    </w:p>
    <w:p w14:paraId="4F5EA44F" w14:textId="77777777" w:rsidR="003D15CA" w:rsidRPr="00D24735" w:rsidRDefault="00696381">
      <w:pPr>
        <w:pStyle w:val="3"/>
        <w:rPr>
          <w:rFonts w:cs="Arial"/>
        </w:rPr>
      </w:pPr>
      <w:bookmarkStart w:id="18" w:name="X51184362531dbb53cbff755f5d115bb43a2f0d3"/>
      <w:r w:rsidRPr="00D24735">
        <w:rPr>
          <w:rFonts w:cs="Arial"/>
        </w:rPr>
        <w:t>Robust Segmentation and Artifact Mitigation</w:t>
      </w:r>
    </w:p>
    <w:p w14:paraId="7CD25D30" w14:textId="77777777" w:rsidR="003D15CA" w:rsidRPr="00D24735" w:rsidRDefault="00696381">
      <w:pPr>
        <w:pStyle w:val="FirstParagraph"/>
      </w:pPr>
      <w:r w:rsidRPr="00D24735">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processing workflow is summarized in Figure 2; representative intermediate panels </w:t>
      </w:r>
      <w:r w:rsidRPr="00D24735">
        <w:lastRenderedPageBreak/>
        <w:t>(Frangi enhancement, Phansalkar binarization, skeletonization) are shown in Figure 3.</w:t>
      </w:r>
    </w:p>
    <w:p w14:paraId="2D4DE942" w14:textId="77777777" w:rsidR="003D15CA" w:rsidRPr="00D24735" w:rsidRDefault="00696381">
      <w:pPr>
        <w:pStyle w:val="3"/>
        <w:rPr>
          <w:rFonts w:cs="Arial"/>
        </w:rPr>
      </w:pPr>
      <w:bookmarkStart w:id="19" w:name="X6dec76c0ca16e28718e72374c0c3df2152214ab"/>
      <w:bookmarkEnd w:id="18"/>
      <w:r w:rsidRPr="00D24735">
        <w:rPr>
          <w:rFonts w:cs="Arial"/>
        </w:rPr>
        <w:t>Cross-Device Raw Metrics and the Necessity of Standardization</w:t>
      </w:r>
    </w:p>
    <w:p w14:paraId="20FA5555" w14:textId="77777777" w:rsidR="003D15CA" w:rsidRPr="00D24735" w:rsidRDefault="00696381">
      <w:pPr>
        <w:pStyle w:val="FirstParagraph"/>
      </w:pPr>
      <w:r w:rsidRPr="00D24735">
        <w:t>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 - 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p w14:paraId="3EA854E0" w14:textId="77777777" w:rsidR="003D15CA" w:rsidRPr="00D24735" w:rsidRDefault="00696381">
      <w:pPr>
        <w:pStyle w:val="a0"/>
      </w:pPr>
      <w:r w:rsidRPr="00D24735">
        <w:t>Stratum-Standardized Scores</w:t>
      </w:r>
    </w:p>
    <w:p w14:paraId="5ACCFBA7" w14:textId="77777777" w:rsidR="003D15CA" w:rsidRPr="00D24735" w:rsidRDefault="00696381">
      <w:pPr>
        <w:pStyle w:val="3"/>
        <w:rPr>
          <w:rFonts w:cs="Arial"/>
        </w:rPr>
      </w:pPr>
      <w:bookmarkStart w:id="20" w:name="X14460cdd968308cdce2f398de1e3c7c97b20b72"/>
      <w:bookmarkEnd w:id="19"/>
      <w:r w:rsidRPr="00D24735">
        <w:rPr>
          <w:rFonts w:cs="Arial"/>
        </w:rPr>
        <w:t>Interpretation of Stratum-Standardized Scores</w:t>
      </w:r>
    </w:p>
    <w:p w14:paraId="04DF0D30" w14:textId="77777777" w:rsidR="003D15CA" w:rsidRPr="00D24735" w:rsidRDefault="00696381">
      <w:pPr>
        <w:pStyle w:val="FirstParagraph"/>
      </w:pPr>
      <w:r w:rsidRPr="00D24735">
        <w:t>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p>
    <w:p w14:paraId="7C09A3E7" w14:textId="77777777" w:rsidR="003D15CA" w:rsidRPr="00D24735" w:rsidRDefault="00696381">
      <w:pPr>
        <w:pStyle w:val="a0"/>
      </w:pPr>
      <w:r w:rsidRPr="00D24735">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w:t>
      </w:r>
      <w:r w:rsidRPr="00D24735">
        <w:lastRenderedPageBreak/>
        <w:t>variance ratios for the Complexity Score (63.7–73.9%) indicate robust within-stratum latent topological structure.</w:t>
      </w:r>
    </w:p>
    <w:p w14:paraId="18E1E156" w14:textId="77777777" w:rsidR="003D15CA" w:rsidRPr="00D24735" w:rsidRDefault="00696381">
      <w:pPr>
        <w:pStyle w:val="a0"/>
      </w:pPr>
      <w:r w:rsidRPr="00D24735">
        <w:t>Rule-Based</w:t>
      </w:r>
    </w:p>
    <w:p w14:paraId="2C8E62DB" w14:textId="77777777" w:rsidR="003D15CA" w:rsidRPr="00D24735" w:rsidRDefault="00696381">
      <w:pPr>
        <w:pStyle w:val="a0"/>
      </w:pPr>
      <w:r w:rsidRPr="00D24735">
        <w:t>Morphological Categorization and Expert Agreement</w:t>
      </w:r>
    </w:p>
    <w:p w14:paraId="6D733164" w14:textId="77777777" w:rsidR="003D15CA" w:rsidRPr="00D24735" w:rsidRDefault="00696381">
      <w:pPr>
        <w:pStyle w:val="3"/>
        <w:rPr>
          <w:rFonts w:cs="Arial"/>
        </w:rPr>
      </w:pPr>
      <w:bookmarkStart w:id="21" w:name="Xe575b6a1e953484ba773ffc29a932fce909d414"/>
      <w:bookmarkEnd w:id="20"/>
      <w:r w:rsidRPr="00D24735">
        <w:rPr>
          <w:rFonts w:cs="Arial"/>
        </w:rPr>
        <w:t>Rule-Based Morphological Categorization and Expert Agreement</w:t>
      </w:r>
    </w:p>
    <w:p w14:paraId="773AAE41" w14:textId="77777777" w:rsidR="003D15CA" w:rsidRPr="00D24735" w:rsidRDefault="00696381">
      <w:pPr>
        <w:pStyle w:val="FirstParagraph"/>
      </w:pPr>
      <w:r w:rsidRPr="00D24735">
        <w:t>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differences in scan area rather than classifier instability alone.</w:t>
      </w:r>
    </w:p>
    <w:p w14:paraId="213BE73B" w14:textId="77777777" w:rsidR="003D15CA" w:rsidRPr="00D24735" w:rsidRDefault="00696381">
      <w:pPr>
        <w:pStyle w:val="a0"/>
      </w:pPr>
      <w:r w:rsidRPr="00D24735">
        <w:t>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p w14:paraId="12228067" w14:textId="77777777" w:rsidR="003D15CA" w:rsidRPr="00D24735" w:rsidRDefault="00696381">
      <w:pPr>
        <w:pStyle w:val="3"/>
        <w:rPr>
          <w:rFonts w:cs="Arial"/>
        </w:rPr>
      </w:pPr>
      <w:bookmarkStart w:id="22" w:name="X577a94a20f263abf41ea07bd7a9e60674f9aea1"/>
      <w:bookmarkEnd w:id="21"/>
      <w:r w:rsidRPr="00D24735">
        <w:rPr>
          <w:rFonts w:cs="Arial"/>
        </w:rPr>
        <w:t>Inter- and Intra-Observer Reproducibility</w:t>
      </w:r>
    </w:p>
    <w:p w14:paraId="50A4AB36" w14:textId="77777777" w:rsidR="003D15CA" w:rsidRPr="00D24735" w:rsidRDefault="00696381">
      <w:pPr>
        <w:pStyle w:val="FirstParagraph"/>
      </w:pPr>
      <w:r w:rsidRPr="00D24735">
        <w:t>Inter-observer reproducibility was assessed in a three-rater subset of 46 lesions. Agreement was good for lesion area (ICC(2,1) = 0.859; 95% CI 0.680–0.930), the 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p>
    <w:p w14:paraId="58490E82" w14:textId="77777777" w:rsidR="003D15CA" w:rsidRPr="00D24735" w:rsidRDefault="00696381">
      <w:pPr>
        <w:pStyle w:val="a0"/>
      </w:pPr>
      <w:r w:rsidRPr="00D24735">
        <w:t xml:space="preserve">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w:t>
      </w:r>
      <w:r w:rsidRPr="00D24735">
        <w:lastRenderedPageBreak/>
        <w:t>Uniformity Score, and 0.917 (95% CI 0.857–0.954) for the Maturity Index. These findings indicate consistently high within-rater repeatability under the fixed score definition and complement the primary multi-rater reproducibility analysis.</w:t>
      </w:r>
    </w:p>
    <w:p w14:paraId="05BE6D8B" w14:textId="77777777" w:rsidR="003D15CA" w:rsidRPr="00D24735" w:rsidRDefault="00696381">
      <w:pPr>
        <w:pStyle w:val="2"/>
      </w:pPr>
      <w:bookmarkStart w:id="23" w:name="discussion"/>
      <w:bookmarkEnd w:id="17"/>
      <w:bookmarkEnd w:id="22"/>
      <w:r w:rsidRPr="00D24735">
        <w:t>Discussion</w:t>
      </w:r>
    </w:p>
    <w:p w14:paraId="757D1894" w14:textId="77777777" w:rsidR="003D15CA" w:rsidRPr="00D24735" w:rsidRDefault="00696381">
      <w:pPr>
        <w:pStyle w:val="FirstParagraph"/>
      </w:pPr>
      <w:r w:rsidRPr="00D24735">
        <w:t>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14:paraId="5B24D09D" w14:textId="77777777" w:rsidR="003D15CA" w:rsidRPr="00D24735" w:rsidRDefault="00696381">
      <w:pPr>
        <w:pStyle w:val="a0"/>
      </w:pPr>
      <w:r w:rsidRPr="00D24735">
        <w:t>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 - Standardized Vascular Complexity Score (stratum-specific PCA), Standardized Caliber Uniformity Score (NV Diameter CV + Dilated vessel %), and Standardized Maturity Index (from Caliber − Complexity) - on a common 0–100 scale within each stratum. The median-anchored piecewise scaling is designed to place scores on a common reporting axis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p>
    <w:p w14:paraId="2E63F1A0" w14:textId="77777777" w:rsidR="003D15CA" w:rsidRPr="00D24735" w:rsidRDefault="00696381">
      <w:pPr>
        <w:pStyle w:val="a0"/>
      </w:pPr>
      <w:r w:rsidRPr="00D24735">
        <w:t>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p>
    <w:p w14:paraId="4B3951C1" w14:textId="77777777" w:rsidR="003D15CA" w:rsidRPr="00D24735" w:rsidRDefault="00696381">
      <w:pPr>
        <w:pStyle w:val="a0"/>
      </w:pPr>
      <w:r w:rsidRPr="00D24735">
        <w:lastRenderedPageBreak/>
        <w:t>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provide a useful framework for future outcome-linked studies aimed at clarifying their role in clinical decision-making and prognostic stratification.</w:t>
      </w:r>
    </w:p>
    <w:p w14:paraId="71022FA7" w14:textId="77777777" w:rsidR="003D15CA" w:rsidRPr="00D24735" w:rsidRDefault="00696381">
      <w:pPr>
        <w:pStyle w:val="a0"/>
      </w:pPr>
      <w:r w:rsidRPr="00D24735">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p>
    <w:p w14:paraId="7BEB1200" w14:textId="77777777" w:rsidR="003D15CA" w:rsidRPr="00D24735" w:rsidRDefault="00696381">
      <w:pPr>
        <w:pStyle w:val="2"/>
      </w:pPr>
      <w:bookmarkStart w:id="24" w:name="limitations"/>
      <w:bookmarkEnd w:id="23"/>
      <w:r w:rsidRPr="00D24735">
        <w:t>Limitations</w:t>
      </w:r>
    </w:p>
    <w:p w14:paraId="041E7F44" w14:textId="77777777" w:rsidR="003D15CA" w:rsidRPr="00D24735" w:rsidRDefault="00696381">
      <w:pPr>
        <w:pStyle w:val="FirstParagraph"/>
      </w:pPr>
      <w:r w:rsidRPr="00D24735">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p>
    <w:p w14:paraId="21051185" w14:textId="77777777" w:rsidR="003D15CA" w:rsidRPr="00D24735" w:rsidRDefault="00696381">
      <w:pPr>
        <w:pStyle w:val="a0"/>
      </w:pPr>
      <w:r w:rsidRPr="00D24735">
        <w:t>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p w14:paraId="5A7DEF89" w14:textId="77777777" w:rsidR="003D15CA" w:rsidRPr="00D24735" w:rsidRDefault="00696381">
      <w:pPr>
        <w:pStyle w:val="2"/>
      </w:pPr>
      <w:bookmarkStart w:id="25" w:name="conclusion"/>
      <w:bookmarkEnd w:id="24"/>
      <w:r w:rsidRPr="00D24735">
        <w:lastRenderedPageBreak/>
        <w:t>Conclusion</w:t>
      </w:r>
    </w:p>
    <w:p w14:paraId="2C5B3AE7" w14:textId="77777777" w:rsidR="003D15CA" w:rsidRPr="00D24735" w:rsidRDefault="00696381">
      <w:pPr>
        <w:pStyle w:val="FirstParagraph"/>
      </w:pPr>
      <w:r w:rsidRPr="00D24735">
        <w:t>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p w14:paraId="42EF8B7B" w14:textId="77777777" w:rsidR="003D15CA" w:rsidRPr="00D24735" w:rsidRDefault="00696381">
      <w:pPr>
        <w:pStyle w:val="2"/>
      </w:pPr>
      <w:bookmarkStart w:id="26" w:name="references"/>
      <w:bookmarkEnd w:id="25"/>
      <w:r w:rsidRPr="00D24735">
        <w:t>References</w:t>
      </w:r>
    </w:p>
    <w:p w14:paraId="7AC6C62C" w14:textId="77777777" w:rsidR="003D15CA" w:rsidRPr="00D24735" w:rsidRDefault="00696381">
      <w:pPr>
        <w:pStyle w:val="FirstParagraph"/>
      </w:pPr>
      <w:r w:rsidRPr="00D24735">
        <w:t xml:space="preserve">1. Guo, J., Tang, W., Xu, S., Liu, W. &amp; Xu, G. OCTA evaluation of treatment-naïve flat irregular PED (FIPED)-associated CNV in chronic central serous chorioretinopathy before and after half-dose PDT. </w:t>
      </w:r>
      <w:r w:rsidRPr="00D24735">
        <w:rPr>
          <w:i/>
          <w:iCs/>
        </w:rPr>
        <w:t>Eye</w:t>
      </w:r>
      <w:r w:rsidRPr="00D24735">
        <w:t xml:space="preserve"> 35, 2871–2878 (2021). 2. Zudaire, E., Gambardella, L., Kurcz, C. &amp; Vermeren, S. A Computational Tool for Quantitative Analysis of Vascular Networks. </w:t>
      </w:r>
      <w:r w:rsidRPr="00D24735">
        <w:rPr>
          <w:i/>
          <w:iCs/>
        </w:rPr>
        <w:t>PLOS ONE</w:t>
      </w:r>
      <w:r w:rsidRPr="00D24735">
        <w:t xml:space="preserve"> 6, e27385 (2011). 3. Told, R. et al. Profiling neovascular age-related macular degeneration choroidal neovascularization lesion response to anti-vascular endothelial growth factor therapy using SSOCTA. </w:t>
      </w:r>
      <w:r w:rsidRPr="00D24735">
        <w:rPr>
          <w:i/>
          <w:iCs/>
        </w:rPr>
        <w:t>Acta Ophthalmol. (Copenh.)</w:t>
      </w:r>
      <w:r w:rsidRPr="00D24735">
        <w:t xml:space="preserve"> 99, e240–e246 (2021). 4. Montesel, A. et al. Quantitative response of macular neovascularisation to loading phase of aflibercept in neovascular age-related macular degeneration. </w:t>
      </w:r>
      <w:r w:rsidRPr="00D24735">
        <w:rPr>
          <w:i/>
          <w:iCs/>
        </w:rPr>
        <w:t>Eye</w:t>
      </w:r>
      <w:r w:rsidRPr="00D24735">
        <w:t xml:space="preserve"> 37, 3648–3655 (2023). 5. Carlà, M. M. et al. MORPHOMETRIC CHANGES IN MACULAR NEOVASCULARIZATION ARCHITECTURE AFTER FARICIMAB TREATMENT IN NEOVASCULAR AGE-RELATED MACULAR DEGENERATION: Comparison Between Naive and Switched Eyes. </w:t>
      </w:r>
      <w:r w:rsidRPr="00D24735">
        <w:rPr>
          <w:i/>
          <w:iCs/>
        </w:rPr>
        <w:t>Retina</w:t>
      </w:r>
      <w:r w:rsidRPr="00D24735">
        <w:t xml:space="preserve"> 125–135 (2026) doi:10.1097/iae.0000000000004635. 6. Munk, M. R. et al. OCT-angiography: A qualitative and quantitative comparison of 4 OCT-A devices. </w:t>
      </w:r>
      <w:r w:rsidRPr="00D24735">
        <w:rPr>
          <w:i/>
          <w:iCs/>
        </w:rPr>
        <w:t>PLOS ONE</w:t>
      </w:r>
      <w:r w:rsidRPr="00D24735">
        <w:t xml:space="preserve"> 12, e0177059 (2017). 7. Miere, A. et al. VASCULAR REMODELING OF CHOROIDAL NEOVASCULARIZATION AFTER ANTI-VASCULAR ENDOTHELIAL GROWTH FACTOR THERAPY VISUALIZED ON OPTICAL COHERENCE TOMOGRAPHY ANGIOGRAPHY. </w:t>
      </w:r>
      <w:r w:rsidRPr="00D24735">
        <w:rPr>
          <w:i/>
          <w:iCs/>
        </w:rPr>
        <w:t>Retina</w:t>
      </w:r>
      <w:r w:rsidRPr="00D24735">
        <w:t xml:space="preserve"> 39, 548–557 (2019). 8. Tew, T. B. et al. Comparison of different morphologies of choroidal neovascularization evaluated by ocular coherence tomography angiography in age-related macular degeneration. </w:t>
      </w:r>
      <w:r w:rsidRPr="00D24735">
        <w:rPr>
          <w:i/>
          <w:iCs/>
        </w:rPr>
        <w:t>Clin. Experiment. Ophthalmol.</w:t>
      </w:r>
      <w:r w:rsidRPr="00D24735">
        <w:t xml:space="preserve"> 48, 927–937 (2020). 9. Oliveira, W. S., Teixeira, J. V., Ren, T. I., Cavalcanti, G. D. C. &amp; Sijbers, J. Unsupervised Retinal Vessel Segmentation Using Combined Filters. </w:t>
      </w:r>
      <w:r w:rsidRPr="00D24735">
        <w:rPr>
          <w:i/>
          <w:iCs/>
        </w:rPr>
        <w:t>PLoS ONE</w:t>
      </w:r>
      <w:r w:rsidRPr="00D24735">
        <w:t xml:space="preserve"> 11, e0149943 (2016). 10. Ma, Y. et al. Multichannel Retinal Blood Vessel Segmentation Based on the Combination </w:t>
      </w:r>
      <w:r w:rsidRPr="00D24735">
        <w:lastRenderedPageBreak/>
        <w:t xml:space="preserve">of Matched Filter and U-Net Network. </w:t>
      </w:r>
      <w:r w:rsidRPr="00D24735">
        <w:rPr>
          <w:i/>
          <w:iCs/>
        </w:rPr>
        <w:t>BioMed Res. Int.</w:t>
      </w:r>
      <w:r w:rsidRPr="00D24735">
        <w:t xml:space="preserve"> 2021, 5561125 (2021). 11. Memari, N., Ramli, A. R., Bin Saripan, M. I., Mashohor, S. &amp; Moghbel, M. Supervised retinal vessel segmentation from color fundus images based on matched filtering and AdaBoost classifier. </w:t>
      </w:r>
      <w:r w:rsidRPr="00D24735">
        <w:rPr>
          <w:i/>
          <w:iCs/>
        </w:rPr>
        <w:t>PLoS ONE</w:t>
      </w:r>
      <w:r w:rsidRPr="00D24735">
        <w:t xml:space="preserve"> 12, e0188939 (2017). 12. Coscas, F. et al. Optical coherence tomography angiography in exudative age-related macular degeneration: A predictive model for treatment decisions. </w:t>
      </w:r>
      <w:r w:rsidRPr="00D24735">
        <w:rPr>
          <w:i/>
          <w:iCs/>
        </w:rPr>
        <w:t>Br. J. Ophthalmol.</w:t>
      </w:r>
      <w:r w:rsidRPr="00D24735">
        <w:t xml:space="preserve"> 103, 1342–1356 (2019). 13. Shrout, P. E. &amp; Fleiss, J. L. Intraclass correlations: uses in assessing rater reliability. </w:t>
      </w:r>
      <w:r w:rsidRPr="00D24735">
        <w:rPr>
          <w:i/>
          <w:iCs/>
        </w:rPr>
        <w:t>Psychol. Bull.</w:t>
      </w:r>
      <w:r w:rsidRPr="00D24735">
        <w:t xml:space="preserve"> 86, 420–428 (1979). 14. McGraw, K. O. &amp; Wong, S. P. Forming inferences about some intraclass correlation coefficients. </w:t>
      </w:r>
      <w:r w:rsidRPr="00D24735">
        <w:rPr>
          <w:i/>
          <w:iCs/>
        </w:rPr>
        <w:t>Psychol. Methods</w:t>
      </w:r>
      <w:r w:rsidRPr="00D24735">
        <w:t xml:space="preserve"> 1, 30–46 (1996). 15. Koo, T. K. &amp; Li, M. Y. A guideline of selecting and reporting intraclass correlation coefficients for reliability research. </w:t>
      </w:r>
      <w:r w:rsidRPr="00D24735">
        <w:rPr>
          <w:i/>
          <w:iCs/>
        </w:rPr>
        <w:t>J. Chiropr. Med.</w:t>
      </w:r>
      <w:r w:rsidRPr="00D24735">
        <w:t xml:space="preserve"> 15, 155–163 (2016). 16. Corvi, F. et al. Reproducibility of vessel density, fractal dimension, and foveal avascular zone using 7 different optical coherence tomography angiography devices. </w:t>
      </w:r>
      <w:r w:rsidRPr="00D24735">
        <w:rPr>
          <w:i/>
          <w:iCs/>
        </w:rPr>
        <w:t>Am. J. Ophthalmol.</w:t>
      </w:r>
      <w:r w:rsidRPr="00D24735">
        <w:t xml:space="preserve"> 186, 25–31 (2018). 17. Corvi, F. et al. Comparison between several optical coherence tomography angiography devices and indocyanine green angiography of choroidal neovascularization. </w:t>
      </w:r>
      <w:r w:rsidRPr="00D24735">
        <w:rPr>
          <w:i/>
          <w:iCs/>
        </w:rPr>
        <w:t>Retina</w:t>
      </w:r>
      <w:r w:rsidRPr="00D24735">
        <w:t xml:space="preserve"> 40, 873–880 (2020). 18. Wang, M. et al. Evaluating Polypoidal Choroidal Vasculopathy With Optical Coherence Tomography Angiography. </w:t>
      </w:r>
      <w:r w:rsidRPr="00D24735">
        <w:rPr>
          <w:i/>
          <w:iCs/>
        </w:rPr>
        <w:t>Investig. Opthalmology Vis. Sci.</w:t>
      </w:r>
      <w:r w:rsidRPr="00D24735">
        <w:t xml:space="preserve"> 57, OCT526-32 (2016). 19. Xue, J. et al. Automatic quantification of choroidal neovascularization lesion area on OCT angiography based on density cell-like P systems with active membranes. </w:t>
      </w:r>
      <w:r w:rsidRPr="00D24735">
        <w:rPr>
          <w:i/>
          <w:iCs/>
        </w:rPr>
        <w:t>Biomed. Opt. Express</w:t>
      </w:r>
      <w:r w:rsidRPr="00D24735">
        <w:t xml:space="preserve"> 9, 3208–3219 (2018). 20. Babiuch, A. et al. IMPACT OF OPTICAL COHERENCE TOMOGRAPHY ANGIOGRAPHY REVIEW STRATEGY ON DETECTION OF CHOROIDAL NEOVASCULARIZATION. </w:t>
      </w:r>
      <w:r w:rsidRPr="00D24735">
        <w:rPr>
          <w:i/>
          <w:iCs/>
        </w:rPr>
        <w:t>Retina</w:t>
      </w:r>
      <w:r w:rsidRPr="00D24735">
        <w:t xml:space="preserve"> 672–678 (2020) doi:10.1097/iae.0000000000002443. 21. Smith, A. &amp; Zavala, V. The Euler characteristic: A general topological descriptor for complex data. </w:t>
      </w:r>
      <w:r w:rsidRPr="00D24735">
        <w:rPr>
          <w:i/>
          <w:iCs/>
        </w:rPr>
        <w:t>Comput Chem Eng</w:t>
      </w:r>
      <w:r w:rsidRPr="00D24735">
        <w:t xml:space="preserve"> 154, 107463 (2021). 22. Willführ, A. et al. Estimation of the number of alveolar capillaries by the Euler number (Euler-Poincaré characteristic). </w:t>
      </w:r>
      <w:r w:rsidRPr="00D24735">
        <w:rPr>
          <w:i/>
          <w:iCs/>
        </w:rPr>
        <w:t>Am. J. Physiol. Lung Cell. Mol. Physiol.</w:t>
      </w:r>
      <w:r w:rsidRPr="00D24735">
        <w:t xml:space="preserve"> 309, L1286-93 (2015). 23. Santos, F. et al. Topological phase transitions in functional brain networks. </w:t>
      </w:r>
      <w:r w:rsidRPr="00D24735">
        <w:rPr>
          <w:i/>
          <w:iCs/>
        </w:rPr>
        <w:t>bioRxiv</w:t>
      </w:r>
      <w:r w:rsidRPr="00D24735">
        <w:t xml:space="preserve"> https://doi.org/10.1101/469478 (2018) doi:10.1101/469478. 24. Viallard, C. &amp; Larrivée, B. Tumor angiogenesis and vascular normalization: alternative therapeutic targets. </w:t>
      </w:r>
      <w:r w:rsidRPr="00D24735">
        <w:rPr>
          <w:i/>
          <w:iCs/>
        </w:rPr>
        <w:t>Angiogenesis</w:t>
      </w:r>
      <w:r w:rsidRPr="00D24735">
        <w:t xml:space="preserve"> 20, 409–426 (2017). 25. Goker, Y. S. &amp; Demir, G. Comparison of optical coherence tomography angiography features in type 1 versus type 2 choroidal neovascular membranes secondary to age-related macular degeneration. </w:t>
      </w:r>
      <w:r w:rsidRPr="00D24735">
        <w:rPr>
          <w:i/>
          <w:iCs/>
        </w:rPr>
        <w:t>Med. Hypothesis Discov. Innov. Ophthalmol. J.</w:t>
      </w:r>
      <w:r w:rsidRPr="00D24735">
        <w:t xml:space="preserve"> 10, 67–73 (2021). 26. Li, J. et al. Comparative quantitative analysis of optical coherence tomography angiography in varied morphologies of macular neovascularization following intravitreal conbercept and ranibizumab treatments for neovascular age‑related macular degeneration. </w:t>
      </w:r>
      <w:r w:rsidRPr="00D24735">
        <w:rPr>
          <w:i/>
          <w:iCs/>
        </w:rPr>
        <w:t>Exp. Ther. Med.</w:t>
      </w:r>
      <w:r w:rsidRPr="00D24735">
        <w:t xml:space="preserve"> 27, 214 (2024). 27. Mettu, P. S., Allingham, M. J. &amp; Cousins, S. W. Incomplete response to Anti-VEGF therapy in neovascular AMD: Exploring disease mechanisms and therapeutic opportunities. </w:t>
      </w:r>
      <w:r w:rsidRPr="00D24735">
        <w:rPr>
          <w:i/>
          <w:iCs/>
        </w:rPr>
        <w:t>Prog. Retin. Eye Res.</w:t>
      </w:r>
      <w:r w:rsidRPr="00D24735">
        <w:t xml:space="preserve"> 82, 100906 (2021). 28. Attarde, A., Riad, T., Zhang, Z., Ahir, M. &amp; Fu, Y. </w:t>
      </w:r>
      <w:r w:rsidRPr="00D24735">
        <w:lastRenderedPageBreak/>
        <w:t xml:space="preserve">Characterization of Vascular Morphology of Neovascular Age-Related Macular Degeneration by Indocyanine Green Angiography. </w:t>
      </w:r>
      <w:r w:rsidRPr="00D24735">
        <w:rPr>
          <w:i/>
          <w:iCs/>
        </w:rPr>
        <w:t>J. Vis. Exp. JoVE</w:t>
      </w:r>
      <w:r w:rsidRPr="00D24735">
        <w:t xml:space="preserve"> 198, (2023). 29. Fu, Y., Zhang, Z., Webster, K. &amp; Paulus, Y. Treatment Strategies for Anti-VEGF Resistance in Neovascular Age-Related Macular Degeneration by Targeting Arteriolar Choroidal Neovascularization. </w:t>
      </w:r>
      <w:r w:rsidRPr="00D24735">
        <w:rPr>
          <w:i/>
          <w:iCs/>
        </w:rPr>
        <w:t>Biomolecules</w:t>
      </w:r>
      <w:r w:rsidRPr="00D24735">
        <w:t xml:space="preserve"> 14, 252 (2024). 30. Spaide, R. Optical Coherence Tomography Angiography Signs of Vascular Abnormalization With Antiangiogenic Therapy for Choroidal Neovascularization. </w:t>
      </w:r>
      <w:r w:rsidRPr="00D24735">
        <w:rPr>
          <w:i/>
          <w:iCs/>
        </w:rPr>
        <w:t>Am. J. Ophthalmol.</w:t>
      </w:r>
      <w:r w:rsidRPr="00D24735">
        <w:t xml:space="preserve"> 160, 6–16 (2015). 31. Shah, P. N. et al. Inter-rater reliability of proliferative diabetic retinopathy assessment on wide-field OCT-angiography and fluorescein angiography. </w:t>
      </w:r>
      <w:r w:rsidRPr="00D24735">
        <w:rPr>
          <w:i/>
          <w:iCs/>
        </w:rPr>
        <w:t>Transl. Vis. Sci. Technol.</w:t>
      </w:r>
      <w:r w:rsidRPr="00D24735">
        <w:t xml:space="preserve"> 12(7), 13 (2023). 32. Deák, G. G. et al. Comparison of optical coherence tomography vs. fluorescein angiography-based macular neovascularization classifications in age-related macular degeneration. </w:t>
      </w:r>
      <w:r w:rsidRPr="00D24735">
        <w:rPr>
          <w:i/>
          <w:iCs/>
        </w:rPr>
        <w:t>Sci. Rep.</w:t>
      </w:r>
      <w:r w:rsidRPr="00D24735">
        <w:t xml:space="preserve"> 15, 87576 (2025) doi:10.1038/s41598-025-87576-6. 33. Gan, Y. et al. Novel quantitative OCTA biomarkers of choroidal neovascularization and associations with disease activity and etiology. </w:t>
      </w:r>
      <w:r w:rsidRPr="00D24735">
        <w:rPr>
          <w:i/>
          <w:iCs/>
        </w:rPr>
        <w:t>Transl. Vis. Sci. Technol.</w:t>
      </w:r>
      <w:r w:rsidRPr="00D24735">
        <w:t xml:space="preserve"> 15(3), 10 (2026). 34. Hsu, C. R. et al. Combined quantitative and qualitative optical coherence tomography angiography biomarkers for predicting active neovascular age-related macular degeneration. </w:t>
      </w:r>
      <w:r w:rsidRPr="00D24735">
        <w:rPr>
          <w:i/>
          <w:iCs/>
        </w:rPr>
        <w:t>Sci. Rep.</w:t>
      </w:r>
      <w:r w:rsidRPr="00D24735">
        <w:t xml:space="preserve"> 11, 18068 (2021).</w:t>
      </w:r>
    </w:p>
    <w:p w14:paraId="36AD73AE" w14:textId="77777777" w:rsidR="003D15CA" w:rsidRPr="00D24735" w:rsidRDefault="00696381">
      <w:pPr>
        <w:pStyle w:val="2"/>
      </w:pPr>
      <w:bookmarkStart w:id="27" w:name="figure"/>
      <w:bookmarkEnd w:id="26"/>
      <w:r w:rsidRPr="00D24735">
        <w:t>Figure</w:t>
      </w:r>
    </w:p>
    <w:p w14:paraId="373BB10E" w14:textId="77777777" w:rsidR="003D15CA" w:rsidRDefault="00696381">
      <w:pPr>
        <w:pStyle w:val="FirstParagraph"/>
      </w:pPr>
      <w:r w:rsidRPr="00D24735">
        <w:t xml:space="preserve">Representative OCTA processing and segmentation panels are provided as separate figure files; detailed figure legends are supplied in </w:t>
      </w:r>
      <w:r w:rsidRPr="00D24735">
        <w:rPr>
          <w:rStyle w:val="VerbatimChar"/>
          <w:rFonts w:ascii="Arial" w:hAnsi="Arial"/>
        </w:rPr>
        <w:t>MNV_Analysis_YY_rev1_figure_legends.docx</w:t>
      </w:r>
      <w:r w:rsidRPr="00D24735">
        <w:t>.</w:t>
      </w:r>
      <w:bookmarkEnd w:id="0"/>
      <w:bookmarkEnd w:id="27"/>
    </w:p>
    <w:sectPr w:rsidR="003D15CA">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D327D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B7C7D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63B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80957562">
    <w:abstractNumId w:val="0"/>
  </w:num>
  <w:num w:numId="2" w16cid:durableId="1408763308">
    <w:abstractNumId w:val="1"/>
  </w:num>
  <w:num w:numId="3" w16cid:durableId="1754474603">
    <w:abstractNumId w:val="1"/>
  </w:num>
  <w:num w:numId="4" w16cid:durableId="20297962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D15CA"/>
    <w:rsid w:val="003635F4"/>
    <w:rsid w:val="003D15CA"/>
    <w:rsid w:val="00696381"/>
    <w:rsid w:val="00B81E97"/>
    <w:rsid w:val="00D24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481E18C"/>
  <w15:docId w15:val="{1472D878-E6C7-E24B-9C48-6E673C738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Arial" w:hAnsi="Arial" w:cs="Arial"/>
    </w:rPr>
  </w:style>
  <w:style w:type="paragraph" w:styleId="1">
    <w:name w:val="heading 1"/>
    <w:basedOn w:val="a"/>
    <w:next w:val="a0"/>
    <w:link w:val="10"/>
    <w:uiPriority w:val="9"/>
    <w:qFormat/>
    <w:rsid w:val="00A10FD9"/>
    <w:pPr>
      <w:keepNext/>
      <w:keepLines/>
      <w:spacing w:before="360" w:after="80"/>
      <w:outlineLvl w:val="0"/>
    </w:pPr>
    <w:rPr>
      <w:rFonts w:eastAsiaTheme="majorEastAsia"/>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eastAsiaTheme="majorEastAsia"/>
      <w:sz w:val="56"/>
      <w:szCs w:val="56"/>
    </w:rPr>
  </w:style>
  <w:style w:type="character" w:customStyle="1" w:styleId="a5">
    <w:name w:val="表題 (文字)"/>
    <w:basedOn w:val="a1"/>
    <w:link w:val="a4"/>
    <w:uiPriority w:val="10"/>
    <w:rsid w:val="00A10FD9"/>
    <w:rPr>
      <w:rFonts w:ascii="Arial" w:eastAsiaTheme="majorEastAsia" w:hAnsi="Arial" w:cs="Arial"/>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Arial" w:eastAsiaTheme="majorEastAsia" w:hAnsi="Arial" w:cs="Arial"/>
      <w:color w:val="0F4761" w:themeColor="accent1" w:themeShade="BF"/>
      <w:sz w:val="40"/>
      <w:szCs w:val="40"/>
    </w:rPr>
  </w:style>
  <w:style w:type="character" w:customStyle="1" w:styleId="20">
    <w:name w:val="見出し 2 (文字)"/>
    <w:basedOn w:val="a1"/>
    <w:link w:val="2"/>
    <w:uiPriority w:val="9"/>
    <w:semiHidden/>
    <w:rsid w:val="00A10FD9"/>
    <w:rPr>
      <w:rFonts w:ascii="Arial" w:eastAsiaTheme="majorEastAsia" w:hAnsi="Arial" w:cs="Arial"/>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Pages>
  <Words>6316</Words>
  <Characters>36005</Characters>
  <Application>Microsoft Office Word</Application>
  <DocSecurity>0</DocSecurity>
  <Lines>300</Lines>
  <Paragraphs>84</Paragraphs>
  <ScaleCrop>false</ScaleCrop>
  <Company/>
  <LinksUpToDate>false</LinksUpToDate>
  <CharactersWithSpaces>42237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柳　靖雄</cp:lastModifiedBy>
  <cp:revision>3</cp:revision>
  <dcterms:created xsi:type="dcterms:W3CDTF">2026-08-03T02:14:00Z</dcterms:created>
  <dcterms:modified xsi:type="dcterms:W3CDTF">2026-08-03T02:58:00Z</dcterms:modified>
</cp:coreProperties>
</file>