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b80e7c4b3ab96032fa53b5ad7b4e03ad95d2d9"/>
    <w:p>
      <w:pPr>
        <w:pStyle w:val="Heading1"/>
      </w:pPr>
      <w:r>
        <w:t xml:space="preserve">Supplementary Table S1 — Reference cut-points for rule-based morphological categorization and Standardized Caliber Uniformity Score</w:t>
      </w:r>
    </w:p>
    <w:p>
      <w:pPr>
        <w:pStyle w:val="FirstParagraph"/>
      </w:pPr>
      <w:r>
        <w:t xml:space="preserve">Cut-points for the Complexity Score and the Standardized Caliber Uniformity Score (NV Diameter CV and dilated vessel fraction) are shown by imaging platform and field of view. Thresholds are stratum-specific and intended for within-platform classification and reporting; they do not imply biological equivalence across devices. For Optovue Solix (6×6 mm), the Complexity Score percentile reference was derived from n = 34 eyes; the primary analysis cohort in Tables 2–3 included n = 33 eyes in this stratum.</w:t>
      </w:r>
    </w:p>
    <w:bookmarkStart w:id="9" w:name="X9e5781c392a1e69b44af42fefcf35d63efbbe9a"/>
    <w:p>
      <w:pPr>
        <w:pStyle w:val="Heading2"/>
      </w:pPr>
      <w:r>
        <w:t xml:space="preserve">A. Complexity Score percentile thresholds</w:t>
      </w:r>
    </w:p>
    <w:p>
      <w:pPr>
        <w:pStyle w:val="FirstParagraph"/>
      </w:pPr>
      <w:r>
        <w:t xml:space="preserve">The P30 threshold is obtained by linear interpolation between P25 and P40 and is not tabulated as a stored percentile cut-point, consistent with the morphological classification rule.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6"/>
        <w:gridCol w:w="166"/>
        <w:gridCol w:w="1052"/>
        <w:gridCol w:w="1938"/>
        <w:gridCol w:w="1883"/>
        <w:gridCol w:w="18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 (device)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P10 (Dead tree &lt;)</w:t>
            </w:r>
          </w:p>
        </w:tc>
        <w:tc>
          <w:tcPr/>
          <w:p>
            <w:pPr>
              <w:pStyle w:val="Compact"/>
            </w:pPr>
            <w:r>
              <w:t xml:space="preserve">P30 (Glomerular ≥; interpolated)</w:t>
            </w:r>
          </w:p>
        </w:tc>
        <w:tc>
          <w:tcPr/>
          <w:p>
            <w:pPr>
              <w:pStyle w:val="Compact"/>
            </w:pPr>
            <w:r>
              <w:t xml:space="preserve">P40 (Seafan ≥ with SEAFAN trunk)</w:t>
            </w:r>
          </w:p>
        </w:tc>
        <w:tc>
          <w:tcPr/>
          <w:p>
            <w:pPr>
              <w:pStyle w:val="Compact"/>
            </w:pPr>
            <w:r>
              <w:t xml:space="preserve">P65 (Medusa ≥ with MEDUSA trunk)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Zeiss PlexElite (6×6 mm)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24.29</w:t>
            </w:r>
          </w:p>
        </w:tc>
        <w:tc>
          <w:tcPr/>
          <w:p>
            <w:pPr>
              <w:pStyle w:val="Compact"/>
            </w:pPr>
            <w:r>
              <w:t xml:space="preserve">38.36</w:t>
            </w:r>
          </w:p>
        </w:tc>
        <w:tc>
          <w:tcPr/>
          <w:p>
            <w:pPr>
              <w:pStyle w:val="Compact"/>
            </w:pPr>
            <w:r>
              <w:t xml:space="preserve">43.21</w:t>
            </w:r>
          </w:p>
        </w:tc>
        <w:tc>
          <w:tcPr/>
          <w:p>
            <w:pPr>
              <w:pStyle w:val="Compact"/>
            </w:pPr>
            <w:r>
              <w:t xml:space="preserve">55.00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Zeiss CIRRUS HD-OCT with AngioPlex (3×3 mm)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44.77</w:t>
            </w:r>
          </w:p>
        </w:tc>
        <w:tc>
          <w:tcPr/>
          <w:p>
            <w:pPr>
              <w:pStyle w:val="Compact"/>
            </w:pPr>
            <w:r>
              <w:t xml:space="preserve">67.93</w:t>
            </w:r>
          </w:p>
        </w:tc>
        <w:tc>
          <w:tcPr/>
          <w:p>
            <w:pPr>
              <w:pStyle w:val="Compact"/>
            </w:pPr>
            <w:r>
              <w:t xml:space="preserve">69.36</w:t>
            </w:r>
          </w:p>
        </w:tc>
        <w:tc>
          <w:tcPr/>
          <w:p>
            <w:pPr>
              <w:pStyle w:val="Compact"/>
            </w:pPr>
            <w:r>
              <w:t xml:space="preserve">72.85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Optovue Solix (6×6 mm)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34.20</w:t>
            </w:r>
          </w:p>
        </w:tc>
        <w:tc>
          <w:tcPr/>
          <w:p>
            <w:pPr>
              <w:pStyle w:val="Compact"/>
            </w:pPr>
            <w:r>
              <w:t xml:space="preserve">41.21</w:t>
            </w:r>
          </w:p>
        </w:tc>
        <w:tc>
          <w:tcPr/>
          <w:p>
            <w:pPr>
              <w:pStyle w:val="Compact"/>
            </w:pPr>
            <w:r>
              <w:t xml:space="preserve">44.93</w:t>
            </w:r>
          </w:p>
        </w:tc>
        <w:tc>
          <w:tcPr/>
          <w:p>
            <w:pPr>
              <w:pStyle w:val="Compact"/>
            </w:pPr>
            <w:r>
              <w:t xml:space="preserve">53.77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priority order:</w:t>
      </w:r>
      <w:r>
        <w:t xml:space="preserve"> </w:t>
      </w:r>
      <w:r>
        <w:t xml:space="preserve">Dead tree → Medusa → Seafan → Glomerular → Tree in bud (remainder). Trunk pattern (MEDUSA / SEAFAN / INTERMEDIATE) is derived from spatial organization of large-caliber segments.</w:t>
      </w:r>
    </w:p>
    <w:bookmarkEnd w:id="9"/>
    <w:bookmarkStart w:id="10" w:name="b.-complexity-score-percentiles"/>
    <w:p>
      <w:pPr>
        <w:pStyle w:val="Heading2"/>
      </w:pPr>
      <w:r>
        <w:t xml:space="preserve">B. Complexity Score percentiles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P60</w:t>
            </w:r>
          </w:p>
        </w:tc>
        <w:tc>
          <w:tcPr/>
          <w:p>
            <w:pPr>
              <w:pStyle w:val="Compact"/>
            </w:pPr>
            <w:r>
              <w:t xml:space="preserve">P65</w:t>
            </w:r>
          </w:p>
        </w:tc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Zeiss PlexElite (6×6 mm)</w:t>
            </w:r>
          </w:p>
        </w:tc>
        <w:tc>
          <w:tcPr/>
          <w:p>
            <w:pPr>
              <w:pStyle w:val="Compact"/>
            </w:pPr>
            <w:r>
              <w:t xml:space="preserve">24.29</w:t>
            </w:r>
          </w:p>
        </w:tc>
        <w:tc>
          <w:tcPr/>
          <w:p>
            <w:pPr>
              <w:pStyle w:val="Compact"/>
            </w:pPr>
            <w:r>
              <w:t xml:space="preserve">35.93</w:t>
            </w:r>
          </w:p>
        </w:tc>
        <w:tc>
          <w:tcPr/>
          <w:p>
            <w:pPr>
              <w:pStyle w:val="Compact"/>
            </w:pPr>
            <w:r>
              <w:t xml:space="preserve">43.21</w:t>
            </w:r>
          </w:p>
        </w:tc>
        <w:tc>
          <w:tcPr/>
          <w:p>
            <w:pPr>
              <w:pStyle w:val="Compact"/>
            </w:pPr>
            <w:r>
              <w:t xml:space="preserve">48.81</w:t>
            </w:r>
          </w:p>
        </w:tc>
        <w:tc>
          <w:tcPr/>
          <w:p>
            <w:pPr>
              <w:pStyle w:val="Compact"/>
            </w:pPr>
            <w:r>
              <w:t xml:space="preserve">53.32</w:t>
            </w:r>
          </w:p>
        </w:tc>
        <w:tc>
          <w:tcPr/>
          <w:p>
            <w:pPr>
              <w:pStyle w:val="Compact"/>
            </w:pPr>
            <w:r>
              <w:t xml:space="preserve">55.00</w:t>
            </w:r>
          </w:p>
        </w:tc>
        <w:tc>
          <w:tcPr/>
          <w:p>
            <w:pPr>
              <w:pStyle w:val="Compact"/>
            </w:pPr>
            <w:r>
              <w:t xml:space="preserve">57.57</w:t>
            </w:r>
          </w:p>
        </w:tc>
        <w:tc>
          <w:tcPr/>
          <w:p>
            <w:pPr>
              <w:pStyle w:val="Compact"/>
            </w:pPr>
            <w:r>
              <w:t xml:space="preserve">71.61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Zeiss CIRRUS HD-OCT with AngioPlex (3×3 mm)</w:t>
            </w:r>
          </w:p>
        </w:tc>
        <w:tc>
          <w:tcPr/>
          <w:p>
            <w:pPr>
              <w:pStyle w:val="Compact"/>
            </w:pPr>
            <w:r>
              <w:t xml:space="preserve">44.77</w:t>
            </w:r>
          </w:p>
        </w:tc>
        <w:tc>
          <w:tcPr/>
          <w:p>
            <w:pPr>
              <w:pStyle w:val="Compact"/>
            </w:pPr>
            <w:r>
              <w:t xml:space="preserve">67.21</w:t>
            </w:r>
          </w:p>
        </w:tc>
        <w:tc>
          <w:tcPr/>
          <w:p>
            <w:pPr>
              <w:pStyle w:val="Compact"/>
            </w:pPr>
            <w:r>
              <w:t xml:space="preserve">69.36</w:t>
            </w:r>
          </w:p>
        </w:tc>
        <w:tc>
          <w:tcPr/>
          <w:p>
            <w:pPr>
              <w:pStyle w:val="Compact"/>
            </w:pPr>
            <w:r>
              <w:t xml:space="preserve">71.03</w:t>
            </w:r>
          </w:p>
        </w:tc>
        <w:tc>
          <w:tcPr/>
          <w:p>
            <w:pPr>
              <w:pStyle w:val="Compact"/>
            </w:pPr>
            <w:r>
              <w:t xml:space="preserve">72.29</w:t>
            </w:r>
          </w:p>
        </w:tc>
        <w:tc>
          <w:tcPr/>
          <w:p>
            <w:pPr>
              <w:pStyle w:val="Compact"/>
            </w:pPr>
            <w:r>
              <w:t xml:space="preserve">72.85</w:t>
            </w:r>
          </w:p>
        </w:tc>
        <w:tc>
          <w:tcPr/>
          <w:p>
            <w:pPr>
              <w:pStyle w:val="Compact"/>
            </w:pPr>
            <w:r>
              <w:t xml:space="preserve">74.31</w:t>
            </w:r>
          </w:p>
        </w:tc>
        <w:tc>
          <w:tcPr/>
          <w:p>
            <w:pPr>
              <w:pStyle w:val="Compact"/>
            </w:pPr>
            <w:r>
              <w:t xml:space="preserve">77.74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Optovue Solix (6×6 mm)</w:t>
            </w:r>
          </w:p>
        </w:tc>
        <w:tc>
          <w:tcPr/>
          <w:p>
            <w:pPr>
              <w:pStyle w:val="Compact"/>
            </w:pPr>
            <w:r>
              <w:t xml:space="preserve">34.20</w:t>
            </w:r>
          </w:p>
        </w:tc>
        <w:tc>
          <w:tcPr/>
          <w:p>
            <w:pPr>
              <w:pStyle w:val="Compact"/>
            </w:pPr>
            <w:r>
              <w:t xml:space="preserve">39.34</w:t>
            </w:r>
          </w:p>
        </w:tc>
        <w:tc>
          <w:tcPr/>
          <w:p>
            <w:pPr>
              <w:pStyle w:val="Compact"/>
            </w:pPr>
            <w:r>
              <w:t xml:space="preserve">44.93</w:t>
            </w:r>
          </w:p>
        </w:tc>
        <w:tc>
          <w:tcPr/>
          <w:p>
            <w:pPr>
              <w:pStyle w:val="Compact"/>
            </w:pPr>
            <w:r>
              <w:t xml:space="preserve">48.71</w:t>
            </w:r>
          </w:p>
        </w:tc>
        <w:tc>
          <w:tcPr/>
          <w:p>
            <w:pPr>
              <w:pStyle w:val="Compact"/>
            </w:pPr>
            <w:r>
              <w:t xml:space="preserve">51.06</w:t>
            </w:r>
          </w:p>
        </w:tc>
        <w:tc>
          <w:tcPr/>
          <w:p>
            <w:pPr>
              <w:pStyle w:val="Compact"/>
            </w:pPr>
            <w:r>
              <w:t xml:space="preserve">53.77</w:t>
            </w:r>
          </w:p>
        </w:tc>
        <w:tc>
          <w:tcPr/>
          <w:p>
            <w:pPr>
              <w:pStyle w:val="Compact"/>
            </w:pPr>
            <w:r>
              <w:t xml:space="preserve">55.65</w:t>
            </w:r>
          </w:p>
        </w:tc>
        <w:tc>
          <w:tcPr/>
          <w:p>
            <w:pPr>
              <w:pStyle w:val="Compact"/>
            </w:pPr>
            <w:r>
              <w:t xml:space="preserve">65.22</w:t>
            </w:r>
          </w:p>
        </w:tc>
      </w:tr>
    </w:tbl>
    <w:bookmarkEnd w:id="10"/>
    <w:bookmarkStart w:id="11" w:name="c.-standardized-caliber-uniformity-score"/>
    <w:p>
      <w:pPr>
        <w:pStyle w:val="Heading2"/>
      </w:pPr>
      <w:r>
        <w:t xml:space="preserve">C. Standardized Caliber Uniformity Score</w:t>
      </w:r>
    </w:p>
    <w:p>
      <w:pPr>
        <w:pStyle w:val="FirstParagraph"/>
      </w:pPr>
      <w:r>
        <w:rPr>
          <w:i/>
          <w:iCs/>
        </w:rPr>
        <w:t xml:space="preserve">NV Diameter CV and Dilated vessel fraction cuts</w:t>
      </w:r>
    </w:p>
    <w:p>
      <w:pPr>
        <w:pStyle w:val="BodyText"/>
      </w:pPr>
      <w:r>
        <w:t xml:space="preserve">Score = clip(0.75·U(−NV Diameter CV) + 0.25·U(−Dilated vessel %), 0, 100), where U maps stratum min/median/max of the negated feature to 0/50/100.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"/>
        <w:gridCol w:w="854"/>
        <w:gridCol w:w="1087"/>
        <w:gridCol w:w="854"/>
        <w:gridCol w:w="1087"/>
        <w:gridCol w:w="1320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 (device)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NV-CV min</w:t>
            </w:r>
          </w:p>
        </w:tc>
        <w:tc>
          <w:tcPr/>
          <w:p>
            <w:pPr>
              <w:pStyle w:val="Compact"/>
            </w:pPr>
            <w:r>
              <w:t xml:space="preserve">NV-CV median</w:t>
            </w:r>
          </w:p>
        </w:tc>
        <w:tc>
          <w:tcPr/>
          <w:p>
            <w:pPr>
              <w:pStyle w:val="Compact"/>
            </w:pPr>
            <w:r>
              <w:t xml:space="preserve">NV-CV max</w:t>
            </w:r>
          </w:p>
        </w:tc>
        <w:tc>
          <w:tcPr/>
          <w:p>
            <w:pPr>
              <w:pStyle w:val="Compact"/>
            </w:pPr>
            <w:r>
              <w:t xml:space="preserve">Dilated% min</w:t>
            </w:r>
          </w:p>
        </w:tc>
        <w:tc>
          <w:tcPr/>
          <w:p>
            <w:pPr>
              <w:pStyle w:val="Compact"/>
            </w:pPr>
            <w:r>
              <w:t xml:space="preserve">Dilated% median</w:t>
            </w:r>
          </w:p>
        </w:tc>
        <w:tc>
          <w:tcPr/>
          <w:p>
            <w:pPr>
              <w:pStyle w:val="Compact"/>
            </w:pPr>
            <w:r>
              <w:t xml:space="preserve">Dilated%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Zeiss PlexElite (6×6 mm)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36.5120</w:t>
            </w:r>
          </w:p>
        </w:tc>
        <w:tc>
          <w:tcPr/>
          <w:p>
            <w:pPr>
              <w:pStyle w:val="Compact"/>
            </w:pPr>
            <w:r>
              <w:t xml:space="preserve">38.4867</w:t>
            </w:r>
          </w:p>
        </w:tc>
        <w:tc>
          <w:tcPr/>
          <w:p>
            <w:pPr>
              <w:pStyle w:val="Compact"/>
            </w:pPr>
            <w:r>
              <w:t xml:space="preserve">40.9939</w:t>
            </w:r>
          </w:p>
        </w:tc>
        <w:tc>
          <w:tcPr/>
          <w:p>
            <w:pPr>
              <w:pStyle w:val="Compact"/>
            </w:pPr>
            <w:r>
              <w:t xml:space="preserve">0.076141</w:t>
            </w:r>
          </w:p>
        </w:tc>
        <w:tc>
          <w:tcPr/>
          <w:p>
            <w:pPr>
              <w:pStyle w:val="Compact"/>
            </w:pPr>
            <w:r>
              <w:t xml:space="preserve">0.130156</w:t>
            </w:r>
          </w:p>
        </w:tc>
        <w:tc>
          <w:tcPr/>
          <w:p>
            <w:pPr>
              <w:pStyle w:val="Compact"/>
            </w:pPr>
            <w:r>
              <w:t xml:space="preserve">0.183429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Zeiss CIRRUS HD-OCT with AngioPlex (3×3 mm)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43.0772</w:t>
            </w:r>
          </w:p>
        </w:tc>
        <w:tc>
          <w:tcPr/>
          <w:p>
            <w:pPr>
              <w:pStyle w:val="Compact"/>
            </w:pPr>
            <w:r>
              <w:t xml:space="preserve">47.2952</w:t>
            </w:r>
          </w:p>
        </w:tc>
        <w:tc>
          <w:tcPr/>
          <w:p>
            <w:pPr>
              <w:pStyle w:val="Compact"/>
            </w:pPr>
            <w:r>
              <w:t xml:space="preserve">79.1192</w:t>
            </w:r>
          </w:p>
        </w:tc>
        <w:tc>
          <w:tcPr/>
          <w:p>
            <w:pPr>
              <w:pStyle w:val="Compact"/>
            </w:pPr>
            <w:r>
              <w:t xml:space="preserve">0.046519</w:t>
            </w:r>
          </w:p>
        </w:tc>
        <w:tc>
          <w:tcPr/>
          <w:p>
            <w:pPr>
              <w:pStyle w:val="Compact"/>
            </w:pPr>
            <w:r>
              <w:t xml:space="preserve">0.091894</w:t>
            </w:r>
          </w:p>
        </w:tc>
        <w:tc>
          <w:tcPr/>
          <w:p>
            <w:pPr>
              <w:pStyle w:val="Compact"/>
            </w:pPr>
            <w:r>
              <w:t xml:space="preserve">0.121717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Optovue Solix (6×6 mm)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37.0858</w:t>
            </w:r>
          </w:p>
        </w:tc>
        <w:tc>
          <w:tcPr/>
          <w:p>
            <w:pPr>
              <w:pStyle w:val="Compact"/>
            </w:pPr>
            <w:r>
              <w:t xml:space="preserve">41.3097</w:t>
            </w:r>
          </w:p>
        </w:tc>
        <w:tc>
          <w:tcPr/>
          <w:p>
            <w:pPr>
              <w:pStyle w:val="Compact"/>
            </w:pPr>
            <w:r>
              <w:t xml:space="preserve">48.8622</w:t>
            </w:r>
          </w:p>
        </w:tc>
        <w:tc>
          <w:tcPr/>
          <w:p>
            <w:pPr>
              <w:pStyle w:val="Compact"/>
            </w:pPr>
            <w:r>
              <w:t xml:space="preserve">0.041908</w:t>
            </w:r>
          </w:p>
        </w:tc>
        <w:tc>
          <w:tcPr/>
          <w:p>
            <w:pPr>
              <w:pStyle w:val="Compact"/>
            </w:pPr>
            <w:r>
              <w:t xml:space="preserve">0.076640</w:t>
            </w:r>
          </w:p>
        </w:tc>
        <w:tc>
          <w:tcPr/>
          <w:p>
            <w:pPr>
              <w:pStyle w:val="Compact"/>
            </w:pPr>
            <w:r>
              <w:t xml:space="preserve">0.163276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2026-08-01T06:43:14Z</dcterms:created>
  <dcterms:modified xsi:type="dcterms:W3CDTF">2026-08-01T06:43:14Z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