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Calibri" w:cs="Calibri" w:eastAsia="Calibri" w:hAnsi="Calibri"/>
          <w:b/>
          <w:bCs/>
          <w:color w:val="000000"/>
          <w:sz w:val="32"/>
          <w:szCs w:val="32"/>
        </w:rPr>
        <w:t xml:space="preserve">YASWANTH REDDY JONNALAGADDA</w:t>
      </w:r>
    </w:p>
    <w:p>
      <w:pPr>
        <w:spacing w:after="0" w:before="40"/>
        <w:jc w:val="center"/>
      </w:pPr>
      <w:r>
        <w:rPr>
          <w:rFonts w:ascii="Calibri" w:cs="Calibri" w:eastAsia="Calibri" w:hAnsi="Calibri"/>
          <w:color w:val="1A5276"/>
          <w:sz w:val="20"/>
          <w:szCs w:val="20"/>
        </w:rPr>
        <w:t xml:space="preserve">Senior Network &amp; Security Engineer  |  Cloud Network Engineer  |  Network Automation Engineer</w:t>
      </w:r>
    </w:p>
    <w:p>
      <w:pPr>
        <w:pBdr>
          <w:bottom w:val="single" w:color="1A5276" w:sz="8" w:space="4"/>
        </w:pBdr>
        <w:spacing w:after="0" w:before="40"/>
        <w:jc w:val="center"/>
      </w:pPr>
      <w:r>
        <w:rPr>
          <w:rFonts w:ascii="Calibri" w:cs="Calibri" w:eastAsia="Calibri" w:hAnsi="Calibri"/>
          <w:color w:val="555555"/>
          <w:sz w:val="19"/>
          <w:szCs w:val="19"/>
        </w:rPr>
        <w:t xml:space="preserve">Fairfax, VA  |  (757) 632-6895  |  yaswanthreddyj08@gmail.com</w:t>
      </w:r>
    </w:p>
    <w:p>
      <w:pPr>
        <w:pBdr>
          <w:bottom w:val="single" w:color="1A5276" w:sz="6" w:space="2"/>
        </w:pBdr>
        <w:spacing w:after="80" w:before="200"/>
      </w:pPr>
      <w:r>
        <w:rPr>
          <w:rFonts w:ascii="Calibri" w:cs="Calibri" w:eastAsia="Calibri" w:hAnsi="Calibri"/>
          <w:b/>
          <w:bCs/>
          <w:color w:val="1A5276"/>
          <w:sz w:val="22"/>
          <w:szCs w:val="22"/>
        </w:rPr>
        <w:t xml:space="preserve">PROFESSIONAL SUMMARY</w:t>
      </w:r>
    </w:p>
    <w:p>
      <w:pPr>
        <w:spacing w:after="60" w:before="60"/>
      </w:pPr>
      <w:r>
        <w:rPr>
          <w:rFonts w:ascii="Calibri" w:cs="Calibri" w:eastAsia="Calibri" w:hAnsi="Calibri"/>
          <w:color w:val="333333"/>
          <w:sz w:val="19"/>
          <w:szCs w:val="19"/>
        </w:rPr>
        <w:t xml:space="preserve">Senior Network &amp; Security Engineer with 6+ years of experience architecting, securing, and automating enterprise network infrastructure across data center, campus, WAN, and hybrid cloud environments in regulated financial services. Proven track record of delivering measurable impact—consolidated 1,200+ firewall rules into ~400 Zero Trust policies, drove SD-WAN migration across 25+ branches boosting SLAs from 95% to 99.5%, and automated 50+ switch deployments via Ansible/Terraform cutting provisioning time significantly. Holds AWS Security Specialty, AWS Advanced Networking, Azure Network Engineer (AZ-700), and CCNA certifications.</w:t>
      </w:r>
    </w:p>
    <w:p>
      <w:pPr>
        <w:pBdr>
          <w:bottom w:val="single" w:color="1A5276" w:sz="6" w:space="2"/>
        </w:pBdr>
        <w:spacing w:after="80" w:before="200"/>
      </w:pPr>
      <w:r>
        <w:rPr>
          <w:rFonts w:ascii="Calibri" w:cs="Calibri" w:eastAsia="Calibri" w:hAnsi="Calibri"/>
          <w:b/>
          <w:bCs/>
          <w:color w:val="1A5276"/>
          <w:sz w:val="22"/>
          <w:szCs w:val="22"/>
        </w:rPr>
        <w:t xml:space="preserve">TECHNICAL SKILLS</w:t>
      </w:r>
    </w:p>
    <w:p>
      <w:pPr>
        <w:spacing w:after="30" w:before="30"/>
      </w:pPr>
      <w:r>
        <w:rPr>
          <w:rFonts w:ascii="Calibri" w:cs="Calibri" w:eastAsia="Calibri" w:hAnsi="Calibri"/>
          <w:b/>
          <w:bCs/>
          <w:color w:val="1A5276"/>
          <w:sz w:val="19"/>
          <w:szCs w:val="19"/>
        </w:rPr>
        <w:t xml:space="preserve">Routing &amp; Switching: </w:t>
      </w:r>
      <w:r>
        <w:rPr>
          <w:rFonts w:ascii="Calibri" w:cs="Calibri" w:eastAsia="Calibri" w:hAnsi="Calibri"/>
          <w:color w:val="333333"/>
          <w:sz w:val="19"/>
          <w:szCs w:val="19"/>
        </w:rPr>
        <w:t xml:space="preserve">BGP, OSPF, EIGRP, IS-IS, MPLS, VRF, EVPN/VXLAN Spine-Leaf, PIM Multicast, HSRP/VRRP/GLBP, STP/RSTP/MSTP, vPC/MLAG, EtherChannel/LACP, DCI</w:t>
      </w:r>
    </w:p>
    <w:p>
      <w:pPr>
        <w:spacing w:after="30" w:before="30"/>
      </w:pPr>
      <w:r>
        <w:rPr>
          <w:rFonts w:ascii="Calibri" w:cs="Calibri" w:eastAsia="Calibri" w:hAnsi="Calibri"/>
          <w:b/>
          <w:bCs/>
          <w:color w:val="1A5276"/>
          <w:sz w:val="19"/>
          <w:szCs w:val="19"/>
        </w:rPr>
        <w:t xml:space="preserve">Platforms: </w:t>
      </w:r>
      <w:r>
        <w:rPr>
          <w:rFonts w:ascii="Calibri" w:cs="Calibri" w:eastAsia="Calibri" w:hAnsi="Calibri"/>
          <w:color w:val="333333"/>
          <w:sz w:val="19"/>
          <w:szCs w:val="19"/>
        </w:rPr>
        <w:t xml:space="preserve">Cisco (Catalyst 9K/3850, Nexus 9K/7K/5K, ISR/ASR, Meraki, Viptela SD-WAN, ACI, Catalyst Center) | Juniper (MX, EX, SRX, QFX) | Arista (EOS) | HPE Aruba</w:t>
      </w:r>
    </w:p>
    <w:p>
      <w:pPr>
        <w:spacing w:after="30" w:before="30"/>
      </w:pPr>
      <w:r>
        <w:rPr>
          <w:rFonts w:ascii="Calibri" w:cs="Calibri" w:eastAsia="Calibri" w:hAnsi="Calibri"/>
          <w:b/>
          <w:bCs/>
          <w:color w:val="1A5276"/>
          <w:sz w:val="19"/>
          <w:szCs w:val="19"/>
        </w:rPr>
        <w:t xml:space="preserve">Security &amp; NGFW: </w:t>
      </w:r>
      <w:r>
        <w:rPr>
          <w:rFonts w:ascii="Calibri" w:cs="Calibri" w:eastAsia="Calibri" w:hAnsi="Calibri"/>
          <w:color w:val="333333"/>
          <w:sz w:val="19"/>
          <w:szCs w:val="19"/>
        </w:rPr>
        <w:t xml:space="preserve">Palo Alto (PA-3200/5200, Panorama, Prisma Access), Fortinet (FortiGate/FortiManager/FortiAnalyzer), Cisco ASA/Firepower (FTD/FMC), Check Point | ZTNA, SASE, Microsegmentation, IDS/IPS, ACLs, SSL/TLS Decryption, URL Filtering, WildFire</w:t>
      </w:r>
    </w:p>
    <w:p>
      <w:pPr>
        <w:spacing w:after="30" w:before="30"/>
      </w:pPr>
      <w:r>
        <w:rPr>
          <w:rFonts w:ascii="Calibri" w:cs="Calibri" w:eastAsia="Calibri" w:hAnsi="Calibri"/>
          <w:b/>
          <w:bCs/>
          <w:color w:val="1A5276"/>
          <w:sz w:val="19"/>
          <w:szCs w:val="19"/>
        </w:rPr>
        <w:t xml:space="preserve">Identity &amp; VPN: </w:t>
      </w:r>
      <w:r>
        <w:rPr>
          <w:rFonts w:ascii="Calibri" w:cs="Calibri" w:eastAsia="Calibri" w:hAnsi="Calibri"/>
          <w:color w:val="333333"/>
          <w:sz w:val="19"/>
          <w:szCs w:val="19"/>
        </w:rPr>
        <w:t xml:space="preserve">Cisco ISE, Forescout, Aruba ClearPass | 802.1X, RADIUS, TACACS+, NAC, MAB | IPsec VPN (IKEv1/v2), GRE, DMVPN, SSL VPN, AnyConnect, GlobalProtect | Zscaler ZIA/ZPA</w:t>
      </w:r>
    </w:p>
    <w:p>
      <w:pPr>
        <w:spacing w:after="30" w:before="30"/>
      </w:pPr>
      <w:r>
        <w:rPr>
          <w:rFonts w:ascii="Calibri" w:cs="Calibri" w:eastAsia="Calibri" w:hAnsi="Calibri"/>
          <w:b/>
          <w:bCs/>
          <w:color w:val="1A5276"/>
          <w:sz w:val="19"/>
          <w:szCs w:val="19"/>
        </w:rPr>
        <w:t xml:space="preserve">Load Balancing: </w:t>
      </w:r>
      <w:r>
        <w:rPr>
          <w:rFonts w:ascii="Calibri" w:cs="Calibri" w:eastAsia="Calibri" w:hAnsi="Calibri"/>
          <w:color w:val="333333"/>
          <w:sz w:val="19"/>
          <w:szCs w:val="19"/>
        </w:rPr>
        <w:t xml:space="preserve">F5 BIG-IP (LTM/GTM/ASM/APM, iRules, GSLB), AVI/NSX ALB, Citrix NetScaler, AWS ALB/NLB, Azure Application Gateway</w:t>
      </w:r>
    </w:p>
    <w:p>
      <w:pPr>
        <w:spacing w:after="30" w:before="30"/>
      </w:pPr>
      <w:r>
        <w:rPr>
          <w:rFonts w:ascii="Calibri" w:cs="Calibri" w:eastAsia="Calibri" w:hAnsi="Calibri"/>
          <w:b/>
          <w:bCs/>
          <w:color w:val="1A5276"/>
          <w:sz w:val="19"/>
          <w:szCs w:val="19"/>
        </w:rPr>
        <w:t xml:space="preserve">Cloud Networking: </w:t>
      </w:r>
      <w:r>
        <w:rPr>
          <w:rFonts w:ascii="Calibri" w:cs="Calibri" w:eastAsia="Calibri" w:hAnsi="Calibri"/>
          <w:color w:val="333333"/>
          <w:sz w:val="19"/>
          <w:szCs w:val="19"/>
        </w:rPr>
        <w:t xml:space="preserve">AWS (VPC, Transit Gateway, Direct Connect, PrivateLink, Security Hub, GuardDuty, WAF, Network Firewall, IAM) | Azure (VNet, ExpressRoute, Azure Firewall, Virtual WAN, Landing Zone, Hub-and-Spoke, Private Endpoints) | GCP (VPC, Cloud Interconnect, Cloud Armor)</w:t>
      </w:r>
    </w:p>
    <w:p>
      <w:pPr>
        <w:spacing w:after="30" w:before="30"/>
      </w:pPr>
      <w:r>
        <w:rPr>
          <w:rFonts w:ascii="Calibri" w:cs="Calibri" w:eastAsia="Calibri" w:hAnsi="Calibri"/>
          <w:b/>
          <w:bCs/>
          <w:color w:val="1A5276"/>
          <w:sz w:val="19"/>
          <w:szCs w:val="19"/>
        </w:rPr>
        <w:t xml:space="preserve">Automation &amp; IaC: </w:t>
      </w:r>
      <w:r>
        <w:rPr>
          <w:rFonts w:ascii="Calibri" w:cs="Calibri" w:eastAsia="Calibri" w:hAnsi="Calibri"/>
          <w:color w:val="333333"/>
          <w:sz w:val="19"/>
          <w:szCs w:val="19"/>
        </w:rPr>
        <w:t xml:space="preserve">Python (Netmiko, NAPALM, Nornir, REST API), Ansible (Playbooks/Tower/AWX), Terraform (HCL, Modules, State), PowerShell, Bash | CI/CD: GitHub Actions, Jenkins, GitLab CI, Azure DevOps | NetDevOps, Policy-as-Code (Checkov, OPA)</w:t>
      </w:r>
    </w:p>
    <w:p>
      <w:pPr>
        <w:spacing w:after="30" w:before="30"/>
      </w:pPr>
      <w:r>
        <w:rPr>
          <w:rFonts w:ascii="Calibri" w:cs="Calibri" w:eastAsia="Calibri" w:hAnsi="Calibri"/>
          <w:b/>
          <w:bCs/>
          <w:color w:val="1A5276"/>
          <w:sz w:val="19"/>
          <w:szCs w:val="19"/>
        </w:rPr>
        <w:t xml:space="preserve">Monitoring &amp; Ops: </w:t>
      </w:r>
      <w:r>
        <w:rPr>
          <w:rFonts w:ascii="Calibri" w:cs="Calibri" w:eastAsia="Calibri" w:hAnsi="Calibri"/>
          <w:color w:val="333333"/>
          <w:sz w:val="19"/>
          <w:szCs w:val="19"/>
        </w:rPr>
        <w:t xml:space="preserve">SolarWinds NPM/NCM, Splunk, PRTG, Wireshark, Prometheus, Grafana, Datadog | NetFlow/sFlow/IPFIX, Streaming Telemetry (gNMI/YANG) | Infoblox DDI, IPAM | ITIL, ServiceNow, Jira, DR Planning</w:t>
      </w:r>
    </w:p>
    <w:p>
      <w:pPr>
        <w:pBdr>
          <w:bottom w:val="single" w:color="1A5276" w:sz="6" w:space="2"/>
        </w:pBdr>
        <w:spacing w:after="80" w:before="200"/>
      </w:pPr>
      <w:r>
        <w:rPr>
          <w:rFonts w:ascii="Calibri" w:cs="Calibri" w:eastAsia="Calibri" w:hAnsi="Calibri"/>
          <w:b/>
          <w:bCs/>
          <w:color w:val="1A5276"/>
          <w:sz w:val="22"/>
          <w:szCs w:val="22"/>
        </w:rPr>
        <w:t xml:space="preserve">PROFESSIONAL EXPERIENCE</w:t>
      </w:r>
    </w:p>
    <w:p>
      <w:pPr>
        <w:tabs>
          <w:tab w:val="right" w:pos="10800"/>
        </w:tabs>
        <w:spacing w:after="0" w:before="140"/>
      </w:pPr>
      <w:r>
        <w:rPr>
          <w:rFonts w:ascii="Calibri" w:cs="Calibri" w:eastAsia="Calibri" w:hAnsi="Calibri"/>
          <w:b/>
          <w:bCs/>
          <w:color w:val="000000"/>
          <w:sz w:val="21"/>
          <w:szCs w:val="21"/>
        </w:rPr>
        <w:t xml:space="preserve">Network &amp; Security Engineer (Contract)</w:t>
      </w:r>
      <w:r>
        <w:rPr>
          <w:rFonts w:ascii="Calibri" w:cs="Calibri" w:eastAsia="Calibri" w:hAnsi="Calibri"/>
          <w:sz w:val="21"/>
          <w:szCs w:val="21"/>
        </w:rPr>
        <w:t xml:space="preserve">	</w:t>
      </w:r>
      <w:r>
        <w:rPr>
          <w:rFonts w:ascii="Calibri" w:cs="Calibri" w:eastAsia="Calibri" w:hAnsi="Calibri"/>
          <w:i/>
          <w:iCs/>
          <w:color w:val="555555"/>
          <w:sz w:val="19"/>
          <w:szCs w:val="19"/>
        </w:rPr>
        <w:t xml:space="preserve">Feb 2025 – Present</w:t>
      </w:r>
    </w:p>
    <w:p>
      <w:pPr>
        <w:spacing w:after="60" w:before="0"/>
      </w:pPr>
      <w:r>
        <w:rPr>
          <w:rFonts w:ascii="Calibri" w:cs="Calibri" w:eastAsia="Calibri" w:hAnsi="Calibri"/>
          <w:i/>
          <w:iCs/>
          <w:color w:val="555555"/>
          <w:sz w:val="19"/>
          <w:szCs w:val="19"/>
        </w:rPr>
        <w:t xml:space="preserve">Capital One  |  McLean, VA</w:t>
      </w:r>
    </w:p>
    <w:p>
      <w:pPr>
        <w:pStyle w:val="ListParagraph"/>
        <w:numPr>
          <w:ilvl w:val="0"/>
          <w:numId w:val="2"/>
        </w:numPr>
        <w:spacing w:after="40" w:before="40"/>
      </w:pPr>
      <w:r>
        <w:rPr>
          <w:rFonts w:ascii="Calibri" w:cs="Calibri" w:eastAsia="Calibri" w:hAnsi="Calibri"/>
          <w:color w:val="333333"/>
          <w:sz w:val="19"/>
          <w:szCs w:val="19"/>
        </w:rPr>
        <w:t xml:space="preserve">Architect and operate EVPN-VXLAN spine-leaf data center fabric across Cisco Nexus 9000 and Arista switches, supporting 99.99% uptime for 200+ business-critical financial applications through BGP, OSPF, VRF, PIM multicast, and vPC redundancy.</w:t>
      </w:r>
    </w:p>
    <w:p>
      <w:pPr>
        <w:pStyle w:val="ListParagraph"/>
        <w:numPr>
          <w:ilvl w:val="0"/>
          <w:numId w:val="2"/>
        </w:numPr>
        <w:spacing w:after="40" w:before="40"/>
      </w:pPr>
      <w:r>
        <w:rPr>
          <w:rFonts w:ascii="Calibri" w:cs="Calibri" w:eastAsia="Calibri" w:hAnsi="Calibri"/>
          <w:color w:val="333333"/>
          <w:sz w:val="19"/>
          <w:szCs w:val="19"/>
        </w:rPr>
        <w:t xml:space="preserve">Manage multi-vendor NGFW estate (Palo Alto Panorama, Fortinet FortiManager, Cisco Firepower FTD/FMC), enforcing Zero Trust and microsegmentation policies across 3 data centers and 2 cloud regions, reducing lateral threat exposure.</w:t>
      </w:r>
    </w:p>
    <w:p>
      <w:pPr>
        <w:pStyle w:val="ListParagraph"/>
        <w:numPr>
          <w:ilvl w:val="0"/>
          <w:numId w:val="2"/>
        </w:numPr>
        <w:spacing w:after="40" w:before="40"/>
      </w:pPr>
      <w:r>
        <w:rPr>
          <w:rFonts w:ascii="Calibri" w:cs="Calibri" w:eastAsia="Calibri" w:hAnsi="Calibri"/>
          <w:color w:val="333333"/>
          <w:sz w:val="19"/>
          <w:szCs w:val="19"/>
        </w:rPr>
        <w:t xml:space="preserve">Engineer hybrid cloud network connectivity across AWS (VPC, Transit Gateway, Direct Connect, Security Hub, GuardDuty) and Azure (VNet, ExpressRoute, Azure Firewall, Landing Zone), ensuring sub-100ms latency for cross-cloud workloads.</w:t>
      </w:r>
    </w:p>
    <w:p>
      <w:pPr>
        <w:pStyle w:val="ListParagraph"/>
        <w:numPr>
          <w:ilvl w:val="0"/>
          <w:numId w:val="2"/>
        </w:numPr>
        <w:spacing w:after="40" w:before="40"/>
      </w:pPr>
      <w:r>
        <w:rPr>
          <w:rFonts w:ascii="Calibri" w:cs="Calibri" w:eastAsia="Calibri" w:hAnsi="Calibri"/>
          <w:color w:val="333333"/>
          <w:sz w:val="19"/>
          <w:szCs w:val="19"/>
        </w:rPr>
        <w:t xml:space="preserve">Drive network automation and IaC initiatives using Python (Netmiko, NAPALM), Ansible, and Terraform with CI/CD pipelines, delivering repeatable, version-controlled deployments across 100+ network devices and eliminating manual configuration drift.</w:t>
      </w:r>
    </w:p>
    <w:p>
      <w:pPr>
        <w:pStyle w:val="ListParagraph"/>
        <w:numPr>
          <w:ilvl w:val="0"/>
          <w:numId w:val="2"/>
        </w:numPr>
        <w:spacing w:after="40" w:before="40"/>
      </w:pPr>
      <w:r>
        <w:rPr>
          <w:rFonts w:ascii="Calibri" w:cs="Calibri" w:eastAsia="Calibri" w:hAnsi="Calibri"/>
          <w:color w:val="333333"/>
          <w:sz w:val="19"/>
          <w:szCs w:val="19"/>
        </w:rPr>
        <w:t xml:space="preserve">Administer F5 BIG-IP (LTM, GSLB) load balancers serving 50+ VIPs for application delivery, health monitoring, and traffic management, achieving 99.95% application availability.</w:t>
      </w:r>
    </w:p>
    <w:p>
      <w:pPr>
        <w:pStyle w:val="ListParagraph"/>
        <w:numPr>
          <w:ilvl w:val="0"/>
          <w:numId w:val="2"/>
        </w:numPr>
        <w:spacing w:after="40" w:before="40"/>
      </w:pPr>
      <w:r>
        <w:rPr>
          <w:rFonts w:ascii="Calibri" w:cs="Calibri" w:eastAsia="Calibri" w:hAnsi="Calibri"/>
          <w:color w:val="333333"/>
          <w:sz w:val="19"/>
          <w:szCs w:val="19"/>
        </w:rPr>
        <w:t xml:space="preserve">Enforce endpoint compliance via Forescout/Cisco ISE NAC with 802.1X, RADIUS, and MAB across 3 network segments (corporate, BYOD, guest), securing 5,000+ endpoints.</w:t>
      </w:r>
    </w:p>
    <w:p>
      <w:pPr>
        <w:pStyle w:val="ListParagraph"/>
        <w:numPr>
          <w:ilvl w:val="0"/>
          <w:numId w:val="2"/>
        </w:numPr>
        <w:spacing w:after="40" w:before="40"/>
      </w:pPr>
      <w:r>
        <w:rPr>
          <w:rFonts w:ascii="Calibri" w:cs="Calibri" w:eastAsia="Calibri" w:hAnsi="Calibri"/>
          <w:color w:val="333333"/>
          <w:sz w:val="19"/>
          <w:szCs w:val="19"/>
        </w:rPr>
        <w:t xml:space="preserve">Serve as senior escalation point for complex hybrid cloud and on-prem network incidents; lead Root Cause Analysis and DR planning, achieving zero change-related outages across quarterly maintenance windows.</w:t>
      </w:r>
    </w:p>
    <w:p>
      <w:pPr>
        <w:pStyle w:val="ListParagraph"/>
        <w:numPr>
          <w:ilvl w:val="0"/>
          <w:numId w:val="2"/>
        </w:numPr>
        <w:spacing w:after="40" w:before="40"/>
      </w:pPr>
      <w:r>
        <w:rPr>
          <w:rFonts w:ascii="Calibri" w:cs="Calibri" w:eastAsia="Calibri" w:hAnsi="Calibri"/>
          <w:color w:val="333333"/>
          <w:sz w:val="19"/>
          <w:szCs w:val="19"/>
        </w:rPr>
        <w:t xml:space="preserve">Operate network observability stack (SolarWinds, Splunk, Wireshark, NetFlow, streaming telemetry) reducing monitoring noise by ~30% and false alerts by ~25% through tuned correlation rules.</w:t>
      </w:r>
    </w:p>
    <w:p>
      <w:pPr>
        <w:tabs>
          <w:tab w:val="right" w:pos="10800"/>
        </w:tabs>
        <w:spacing w:after="0" w:before="140"/>
      </w:pPr>
      <w:r>
        <w:rPr>
          <w:rFonts w:ascii="Calibri" w:cs="Calibri" w:eastAsia="Calibri" w:hAnsi="Calibri"/>
          <w:b/>
          <w:bCs/>
          <w:color w:val="000000"/>
          <w:sz w:val="21"/>
          <w:szCs w:val="21"/>
        </w:rPr>
        <w:t xml:space="preserve">Network Engineer (Contract)</w:t>
      </w:r>
      <w:r>
        <w:rPr>
          <w:rFonts w:ascii="Calibri" w:cs="Calibri" w:eastAsia="Calibri" w:hAnsi="Calibri"/>
          <w:sz w:val="21"/>
          <w:szCs w:val="21"/>
        </w:rPr>
        <w:t xml:space="preserve">	</w:t>
      </w:r>
      <w:r>
        <w:rPr>
          <w:rFonts w:ascii="Calibri" w:cs="Calibri" w:eastAsia="Calibri" w:hAnsi="Calibri"/>
          <w:i/>
          <w:iCs/>
          <w:color w:val="555555"/>
          <w:sz w:val="19"/>
          <w:szCs w:val="19"/>
        </w:rPr>
        <w:t xml:space="preserve">Apr 2023 – Jan 2025</w:t>
      </w:r>
    </w:p>
    <w:p>
      <w:pPr>
        <w:spacing w:after="60" w:before="0"/>
      </w:pPr>
      <w:r>
        <w:rPr>
          <w:rFonts w:ascii="Calibri" w:cs="Calibri" w:eastAsia="Calibri" w:hAnsi="Calibri"/>
          <w:i/>
          <w:iCs/>
          <w:color w:val="555555"/>
          <w:sz w:val="19"/>
          <w:szCs w:val="19"/>
        </w:rPr>
        <w:t xml:space="preserve">Freddie Mac  |  McLean, VA</w:t>
      </w:r>
    </w:p>
    <w:p>
      <w:pPr>
        <w:pStyle w:val="ListParagraph"/>
        <w:numPr>
          <w:ilvl w:val="0"/>
          <w:numId w:val="2"/>
        </w:numPr>
        <w:spacing w:after="40" w:before="40"/>
      </w:pPr>
      <w:r>
        <w:rPr>
          <w:rFonts w:ascii="Calibri" w:cs="Calibri" w:eastAsia="Calibri" w:hAnsi="Calibri"/>
          <w:color w:val="333333"/>
          <w:sz w:val="19"/>
          <w:szCs w:val="19"/>
        </w:rPr>
        <w:t xml:space="preserve">Redesigned enterprise firewall architecture across Palo Alto PA-5200, Fortinet FortiGate, and Cisco Firepower, consolidating 1,200+ legacy rules into ~400 optimized Zero Trust policies—accelerating change deployment velocity by 3x.</w:t>
      </w:r>
    </w:p>
    <w:p>
      <w:pPr>
        <w:pStyle w:val="ListParagraph"/>
        <w:numPr>
          <w:ilvl w:val="0"/>
          <w:numId w:val="2"/>
        </w:numPr>
        <w:spacing w:after="40" w:before="40"/>
      </w:pPr>
      <w:r>
        <w:rPr>
          <w:rFonts w:ascii="Calibri" w:cs="Calibri" w:eastAsia="Calibri" w:hAnsi="Calibri"/>
          <w:color w:val="333333"/>
          <w:sz w:val="19"/>
          <w:szCs w:val="19"/>
        </w:rPr>
        <w:t xml:space="preserve">Spearheaded Cisco SD-WAN (Viptela) migration across 25+ branch sites, improving application SLAs from 95% to 99.5% with sub-second failover, eliminating single-ISP downtime risk.</w:t>
      </w:r>
    </w:p>
    <w:p>
      <w:pPr>
        <w:pStyle w:val="ListParagraph"/>
        <w:numPr>
          <w:ilvl w:val="0"/>
          <w:numId w:val="2"/>
        </w:numPr>
        <w:spacing w:after="40" w:before="40"/>
      </w:pPr>
      <w:r>
        <w:rPr>
          <w:rFonts w:ascii="Calibri" w:cs="Calibri" w:eastAsia="Calibri" w:hAnsi="Calibri"/>
          <w:color w:val="333333"/>
          <w:sz w:val="19"/>
          <w:szCs w:val="19"/>
        </w:rPr>
        <w:t xml:space="preserve">Established Terraform-based Infrastructure-as-Code for AWS VPC and Azure VNet multi-account deployments; automated Cisco DNA Center/SDA provisioning via Ansible playbooks across 50+ switch stacks, cutting provisioning time significantly.</w:t>
      </w:r>
    </w:p>
    <w:p>
      <w:pPr>
        <w:pStyle w:val="ListParagraph"/>
        <w:numPr>
          <w:ilvl w:val="0"/>
          <w:numId w:val="2"/>
        </w:numPr>
        <w:spacing w:after="40" w:before="40"/>
      </w:pPr>
      <w:r>
        <w:rPr>
          <w:rFonts w:ascii="Calibri" w:cs="Calibri" w:eastAsia="Calibri" w:hAnsi="Calibri"/>
          <w:color w:val="333333"/>
          <w:sz w:val="19"/>
          <w:szCs w:val="19"/>
        </w:rPr>
        <w:t xml:space="preserve">Configured Cisco Catalyst, Nexus, and Meraki switches alongside Juniper EX platforms; managed BGP, OSPF, STP, MLAG/vPC, and VLAN segmentation across 4 co-location data centers maintaining 99.9% uptime.</w:t>
      </w:r>
    </w:p>
    <w:p>
      <w:pPr>
        <w:pStyle w:val="ListParagraph"/>
        <w:numPr>
          <w:ilvl w:val="0"/>
          <w:numId w:val="2"/>
        </w:numPr>
        <w:spacing w:after="40" w:before="40"/>
      </w:pPr>
      <w:r>
        <w:rPr>
          <w:rFonts w:ascii="Calibri" w:cs="Calibri" w:eastAsia="Calibri" w:hAnsi="Calibri"/>
          <w:color w:val="333333"/>
          <w:sz w:val="19"/>
          <w:szCs w:val="19"/>
        </w:rPr>
        <w:t xml:space="preserve">Designed DMZ and multi-layer network zones, IPsec site-to-site VPNs, GRE tunnels, and DMVPN; performed packet-level troubleshooting using Wireshark, SolarWinds, Splunk, and PRTG, resolving critical incidents within 30-minute SLA windows.</w:t>
      </w:r>
    </w:p>
    <w:p>
      <w:pPr>
        <w:pStyle w:val="ListParagraph"/>
        <w:numPr>
          <w:ilvl w:val="0"/>
          <w:numId w:val="2"/>
        </w:numPr>
        <w:spacing w:after="40" w:before="40"/>
      </w:pPr>
      <w:r>
        <w:rPr>
          <w:rFonts w:ascii="Calibri" w:cs="Calibri" w:eastAsia="Calibri" w:hAnsi="Calibri"/>
          <w:color w:val="333333"/>
          <w:sz w:val="19"/>
          <w:szCs w:val="19"/>
        </w:rPr>
        <w:t xml:space="preserve">Integrated Infoblox DDI for automated DNS, DHCP, and IPAM provisioning across the enterprise, reducing IP conflict incidents by 90% and manual allocation tasks by 80%.</w:t>
      </w:r>
    </w:p>
    <w:p>
      <w:pPr>
        <w:pStyle w:val="ListParagraph"/>
        <w:numPr>
          <w:ilvl w:val="0"/>
          <w:numId w:val="2"/>
        </w:numPr>
        <w:spacing w:after="40" w:before="40"/>
      </w:pPr>
      <w:r>
        <w:rPr>
          <w:rFonts w:ascii="Calibri" w:cs="Calibri" w:eastAsia="Calibri" w:hAnsi="Calibri"/>
          <w:color w:val="333333"/>
          <w:sz w:val="19"/>
          <w:szCs w:val="19"/>
        </w:rPr>
        <w:t xml:space="preserve">Maintained audit-ready network documentation, baseline configurations, and ITIL change management procedures in a regulated financial services environment supporting SOX and GLBA compliance.</w:t>
      </w:r>
    </w:p>
    <w:p>
      <w:pPr>
        <w:tabs>
          <w:tab w:val="right" w:pos="10800"/>
        </w:tabs>
        <w:spacing w:after="0" w:before="140"/>
      </w:pPr>
      <w:r>
        <w:rPr>
          <w:rFonts w:ascii="Calibri" w:cs="Calibri" w:eastAsia="Calibri" w:hAnsi="Calibri"/>
          <w:b/>
          <w:bCs/>
          <w:color w:val="000000"/>
          <w:sz w:val="21"/>
          <w:szCs w:val="21"/>
        </w:rPr>
        <w:t xml:space="preserve">Network Engineer</w:t>
      </w:r>
      <w:r>
        <w:rPr>
          <w:rFonts w:ascii="Calibri" w:cs="Calibri" w:eastAsia="Calibri" w:hAnsi="Calibri"/>
          <w:sz w:val="21"/>
          <w:szCs w:val="21"/>
        </w:rPr>
        <w:t xml:space="preserve">	</w:t>
      </w:r>
      <w:r>
        <w:rPr>
          <w:rFonts w:ascii="Calibri" w:cs="Calibri" w:eastAsia="Calibri" w:hAnsi="Calibri"/>
          <w:i/>
          <w:iCs/>
          <w:color w:val="555555"/>
          <w:sz w:val="19"/>
          <w:szCs w:val="19"/>
        </w:rPr>
        <w:t xml:space="preserve">May 2019 – Jul 2021</w:t>
      </w:r>
    </w:p>
    <w:p>
      <w:pPr>
        <w:spacing w:after="60" w:before="0"/>
      </w:pPr>
      <w:r>
        <w:rPr>
          <w:rFonts w:ascii="Calibri" w:cs="Calibri" w:eastAsia="Calibri" w:hAnsi="Calibri"/>
          <w:i/>
          <w:iCs/>
          <w:color w:val="555555"/>
          <w:sz w:val="19"/>
          <w:szCs w:val="19"/>
        </w:rPr>
        <w:t xml:space="preserve">Capri Global Capital Ltd.  |  Hyderabad, India</w:t>
      </w:r>
    </w:p>
    <w:p>
      <w:pPr>
        <w:pStyle w:val="ListParagraph"/>
        <w:numPr>
          <w:ilvl w:val="0"/>
          <w:numId w:val="2"/>
        </w:numPr>
        <w:spacing w:after="40" w:before="40"/>
      </w:pPr>
      <w:r>
        <w:rPr>
          <w:rFonts w:ascii="Calibri" w:cs="Calibri" w:eastAsia="Calibri" w:hAnsi="Calibri"/>
          <w:color w:val="333333"/>
          <w:sz w:val="19"/>
          <w:szCs w:val="19"/>
        </w:rPr>
        <w:t xml:space="preserve">Scaled enterprise LAN/WAN infrastructure across 15 branch sites and 2,000+ users, achieving 99.8% uptime through proactive monitoring, automated failover, and capacity planning.</w:t>
      </w:r>
    </w:p>
    <w:p>
      <w:pPr>
        <w:pStyle w:val="ListParagraph"/>
        <w:numPr>
          <w:ilvl w:val="0"/>
          <w:numId w:val="2"/>
        </w:numPr>
        <w:spacing w:after="40" w:before="40"/>
      </w:pPr>
      <w:r>
        <w:rPr>
          <w:rFonts w:ascii="Calibri" w:cs="Calibri" w:eastAsia="Calibri" w:hAnsi="Calibri"/>
          <w:color w:val="333333"/>
          <w:sz w:val="19"/>
          <w:szCs w:val="19"/>
        </w:rPr>
        <w:t xml:space="preserve">Deployed Fortinet FortiGate firewalls and IPsec site-to-site VPNs across 10 branch offices; engineered multi-homed BGP/OSPF routing across dual ISPs achieving sub-second failover convergence.</w:t>
      </w:r>
    </w:p>
    <w:p>
      <w:pPr>
        <w:pStyle w:val="ListParagraph"/>
        <w:numPr>
          <w:ilvl w:val="0"/>
          <w:numId w:val="2"/>
        </w:numPr>
        <w:spacing w:after="40" w:before="40"/>
      </w:pPr>
      <w:r>
        <w:rPr>
          <w:rFonts w:ascii="Calibri" w:cs="Calibri" w:eastAsia="Calibri" w:hAnsi="Calibri"/>
          <w:color w:val="333333"/>
          <w:sz w:val="19"/>
          <w:szCs w:val="19"/>
        </w:rPr>
        <w:t xml:space="preserve">Implemented VLAN segmentation, DMZ zones, and 802.1X NAC policies via Forescout, reducing broadcast domains by 60% and eliminating lateral movement vectors through microsegmentation.</w:t>
      </w:r>
    </w:p>
    <w:p>
      <w:pPr>
        <w:pStyle w:val="ListParagraph"/>
        <w:numPr>
          <w:ilvl w:val="0"/>
          <w:numId w:val="2"/>
        </w:numPr>
        <w:spacing w:after="40" w:before="40"/>
      </w:pPr>
      <w:r>
        <w:rPr>
          <w:rFonts w:ascii="Calibri" w:cs="Calibri" w:eastAsia="Calibri" w:hAnsi="Calibri"/>
          <w:color w:val="333333"/>
          <w:sz w:val="19"/>
          <w:szCs w:val="19"/>
        </w:rPr>
        <w:t xml:space="preserve">Developed Python and Bash automation scripts for configuration backups, device inventory, and validation tasks across 100+ devices, reducing manual audit preparation time by 70%.</w:t>
      </w:r>
    </w:p>
    <w:p>
      <w:pPr>
        <w:pBdr>
          <w:bottom w:val="single" w:color="1A5276" w:sz="6" w:space="2"/>
        </w:pBdr>
        <w:spacing w:after="80" w:before="200"/>
      </w:pPr>
      <w:r>
        <w:rPr>
          <w:rFonts w:ascii="Calibri" w:cs="Calibri" w:eastAsia="Calibri" w:hAnsi="Calibri"/>
          <w:b/>
          <w:bCs/>
          <w:color w:val="1A5276"/>
          <w:sz w:val="22"/>
          <w:szCs w:val="22"/>
        </w:rPr>
        <w:t xml:space="preserve">EDUCATION</w:t>
      </w:r>
    </w:p>
    <w:p>
      <w:pPr>
        <w:tabs>
          <w:tab w:val="right" w:pos="10800"/>
        </w:tabs>
        <w:spacing w:after="20" w:before="60"/>
      </w:pPr>
      <w:r>
        <w:rPr>
          <w:rFonts w:ascii="Calibri" w:cs="Calibri" w:eastAsia="Calibri" w:hAnsi="Calibri"/>
          <w:b/>
          <w:bCs/>
          <w:color w:val="000000"/>
          <w:sz w:val="19"/>
          <w:szCs w:val="19"/>
        </w:rPr>
        <w:t xml:space="preserve">Master of Science in Computer Technology</w:t>
      </w:r>
      <w:r>
        <w:rPr>
          <w:sz w:val="19"/>
          <w:szCs w:val="19"/>
        </w:rPr>
        <w:t xml:space="preserve">	</w:t>
      </w:r>
      <w:r>
        <w:rPr>
          <w:rFonts w:ascii="Calibri" w:cs="Calibri" w:eastAsia="Calibri" w:hAnsi="Calibri"/>
          <w:i/>
          <w:iCs/>
          <w:color w:val="555555"/>
          <w:sz w:val="19"/>
          <w:szCs w:val="19"/>
        </w:rPr>
        <w:t xml:space="preserve">Aug 2021 – Dec 2022</w:t>
      </w:r>
    </w:p>
    <w:p>
      <w:pPr>
        <w:spacing w:after="40" w:before="0"/>
      </w:pPr>
      <w:r>
        <w:rPr>
          <w:rFonts w:ascii="Calibri" w:cs="Calibri" w:eastAsia="Calibri" w:hAnsi="Calibri"/>
          <w:i/>
          <w:iCs/>
          <w:color w:val="555555"/>
          <w:sz w:val="19"/>
          <w:szCs w:val="19"/>
        </w:rPr>
        <w:t xml:space="preserve">Eastern Illinois University, Charleston, IL</w:t>
      </w:r>
    </w:p>
    <w:p>
      <w:pPr>
        <w:tabs>
          <w:tab w:val="right" w:pos="10800"/>
        </w:tabs>
        <w:spacing w:after="20" w:before="40"/>
      </w:pPr>
      <w:r>
        <w:rPr>
          <w:rFonts w:ascii="Calibri" w:cs="Calibri" w:eastAsia="Calibri" w:hAnsi="Calibri"/>
          <w:b/>
          <w:bCs/>
          <w:color w:val="000000"/>
          <w:sz w:val="19"/>
          <w:szCs w:val="19"/>
        </w:rPr>
        <w:t xml:space="preserve">Bachelor of Technology in Electrical and Electronics Engineering</w:t>
      </w:r>
      <w:r>
        <w:rPr>
          <w:sz w:val="19"/>
          <w:szCs w:val="19"/>
        </w:rPr>
        <w:t xml:space="preserve">	</w:t>
      </w:r>
      <w:r>
        <w:rPr>
          <w:rFonts w:ascii="Calibri" w:cs="Calibri" w:eastAsia="Calibri" w:hAnsi="Calibri"/>
          <w:i/>
          <w:iCs/>
          <w:color w:val="555555"/>
          <w:sz w:val="19"/>
          <w:szCs w:val="19"/>
        </w:rPr>
        <w:t xml:space="preserve">Aug 2015 – Apr 2019</w:t>
      </w:r>
    </w:p>
    <w:p>
      <w:pPr>
        <w:spacing w:after="40" w:before="0"/>
      </w:pPr>
      <w:r>
        <w:rPr>
          <w:rFonts w:ascii="Calibri" w:cs="Calibri" w:eastAsia="Calibri" w:hAnsi="Calibri"/>
          <w:i/>
          <w:iCs/>
          <w:color w:val="555555"/>
          <w:sz w:val="19"/>
          <w:szCs w:val="19"/>
        </w:rPr>
        <w:t xml:space="preserve">Jawaharlal Nehru Technological University (JNTU), Hyderabad, India</w:t>
      </w:r>
    </w:p>
    <w:p>
      <w:pPr>
        <w:pBdr>
          <w:bottom w:val="single" w:color="1A5276" w:sz="6" w:space="2"/>
        </w:pBdr>
        <w:spacing w:after="80" w:before="200"/>
      </w:pPr>
      <w:r>
        <w:rPr>
          <w:rFonts w:ascii="Calibri" w:cs="Calibri" w:eastAsia="Calibri" w:hAnsi="Calibri"/>
          <w:b/>
          <w:bCs/>
          <w:color w:val="1A5276"/>
          <w:sz w:val="22"/>
          <w:szCs w:val="22"/>
        </w:rPr>
        <w:t xml:space="preserve">CERTIFICATIONS</w:t>
      </w:r>
    </w:p>
    <w:p>
      <w:pPr>
        <w:spacing w:after="30" w:before="60"/>
      </w:pPr>
      <w:r>
        <w:rPr>
          <w:rFonts w:ascii="Calibri" w:cs="Calibri" w:eastAsia="Calibri" w:hAnsi="Calibri"/>
          <w:color w:val="333333"/>
          <w:sz w:val="19"/>
          <w:szCs w:val="19"/>
        </w:rPr>
        <w:t xml:space="preserve">AWS Certified Security – Specialty (SCS-C03)  |  AWS Certified Advanced Networking – Specialty (ANS-C01)  |  Microsoft Azure Network Engineer Associate (AZ-700)  |  Cisco Certified Network Associate (CCNA)</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2026-05-27T21:49:31.601Z</dcterms:created>
  <dcterms:modified xsi:type="dcterms:W3CDTF">2026-05-27T21:49:31.601Z</dcterms:modified>
</cp:coreProperties>
</file>

<file path=docProps/custom.xml><?xml version="1.0" encoding="utf-8"?>
<Properties xmlns="http://schemas.openxmlformats.org/officeDocument/2006/custom-properties" xmlns:vt="http://schemas.openxmlformats.org/officeDocument/2006/docPropsVTypes"/>
</file>