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r/>
    </w:p>
    <w:p>
      <w:pPr>
        <w:pStyle w:val="Body"/>
        <w:ind w:left="61" w:firstLine="0"/>
        <w:rPr>
          <w:sz w:val="20"/>
          <w:szCs w:val="20"/>
        </w:rPr>
      </w:pPr>
      <w:r/>
    </w:p>
    <w:p>
      <w:pPr>
        <w:pStyle w:val="Body"/>
        <w:spacing w:before="3"/>
        <w:ind w:left="60" w:firstLine="0"/>
        <w:rPr>
          <w:i w:val="1"/>
          <w:iCs w:val="1"/>
          <w:sz w:val="20"/>
          <w:szCs w:val="20"/>
        </w:rPr>
      </w:pPr>
      <w:r>
        <w:t>(Please scan this QR Code to view this Red Herring Prospectus)</w:t>
      </w:r>
    </w:p>
    <w:p>
      <w:pPr>
        <w:pStyle w:val="Heading 2"/>
        <w:spacing w:before="61" w:line="229" w:lineRule="exact"/>
        <w:ind w:left="1342" w:firstLine="0"/>
        <w:jc w:val="left"/>
      </w:pPr>
      <w:r/>
    </w:p>
    <w:p>
      <w:pPr>
        <w:pStyle w:val="Heading 2"/>
        <w:spacing w:before="61" w:line="229" w:lineRule="exact"/>
        <w:ind w:left="1342" w:firstLine="0"/>
        <w:jc w:val="left"/>
      </w:pPr>
      <w:r>
        <w:t>RED HERRING PROSPECTUS</w:t>
      </w:r>
    </w:p>
    <w:p>
      <w:pPr>
        <w:pStyle w:val="Body Text"/>
        <w:spacing w:line="229" w:lineRule="exact"/>
        <w:ind w:right="55"/>
        <w:jc w:val="right"/>
      </w:pPr>
      <w:r>
        <w:t>Dated December 10, 2025</w:t>
      </w:r>
    </w:p>
    <w:p>
      <w:pPr>
        <w:pStyle w:val="Body"/>
        <w:ind w:right="60"/>
        <w:jc w:val="right"/>
        <w:rPr>
          <w:i w:val="1"/>
          <w:iCs w:val="1"/>
          <w:sz w:val="20"/>
          <w:szCs w:val="20"/>
        </w:rPr>
      </w:pPr>
      <w:r>
        <w:t>Please read section 32 of the Companies Act, 2013</w:t>
      </w:r>
    </w:p>
    <w:p>
      <w:pPr>
        <w:pStyle w:val="Heading 3"/>
        <w:spacing w:before="1"/>
        <w:ind w:left="0" w:right="57" w:firstLine="0"/>
        <w:jc w:val="right"/>
      </w:pPr>
      <w:r>
        <w:t>100% Book Built 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r/>
    </w:p>
    <w:p>
      <w:pPr>
        <w:pStyle w:val="Body"/>
        <w:ind w:left="5194" w:firstLine="0"/>
        <w:rPr>
          <w:sz w:val="20"/>
          <w:szCs w:val="20"/>
        </w:rPr>
      </w:pPr>
      <w:r/>
    </w:p>
    <w:p>
      <w:pPr>
        <w:pStyle w:val="Heading 2"/>
        <w:spacing w:before="0"/>
        <w:ind w:left="2977" w:right="2973" w:firstLine="1275"/>
        <w:jc w:val="left"/>
      </w:pPr>
      <w:r>
        <w:t>Brahmbhatt Group CORPORATE IDENTITY NUMBER: U28129PN1979PLC141032</w:t>
      </w:r>
    </w:p>
    <w:p>
      <w:pPr>
        <w:pStyle w:val="Body Text"/>
        <w:spacing w:before="8" w:after="1"/>
        <w:rPr>
          <w:b w:val="1"/>
          <w:bCs w:val="1"/>
          <w:sz w:val="19"/>
          <w:szCs w:val="19"/>
        </w:rPr>
      </w:p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t>CONTACT 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t>E-MAIL AND 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t>11/3, 11/4 and 11/5 Village Jack Narain Taluka - Khed Pune – 410 501</w:t>
            </w:r>
          </w:p>
          <w:p>
            <w:pPr>
              <w:pStyle w:val="Table Paragraph"/>
              <w:bidi w:val="0"/>
              <w:spacing w:line="209" w:lineRule="exact"/>
              <w:ind w:left="51" w:right="40" w:firstLine="0"/>
              <w:jc w:val="center"/>
              <w:rPr>
                <w:rtl w:val="0"/>
              </w:rPr>
            </w:pPr>
            <w:r>
              <w:t>Maharashtra, 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t>201, Tower 2, Montreal Business Centre, Off Pallod Farms, Baner Pune – 411 045</w:t>
            </w:r>
          </w:p>
          <w:p>
            <w:pPr>
              <w:pStyle w:val="Table Paragraph"/>
              <w:bidi w:val="0"/>
              <w:spacing w:line="209" w:lineRule="exact"/>
              <w:ind w:left="63" w:right="50" w:firstLine="0"/>
              <w:jc w:val="center"/>
              <w:rPr>
                <w:rtl w:val="0"/>
              </w:rPr>
            </w:pPr>
            <w:r>
              <w:t>Maharashtra, 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r/>
          </w:p>
          <w:p>
            <w:pPr>
              <w:pStyle w:val="Table Paragraph"/>
              <w:bidi w:val="0"/>
              <w:ind w:left="138" w:right="188" w:firstLine="2"/>
              <w:jc w:val="center"/>
              <w:rPr>
                <w:rtl w:val="0"/>
              </w:rPr>
            </w:pPr>
            <w:r>
              <w:t>Khanna-Nagar Secretary 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r/>
          </w:p>
          <w:p>
            <w:pPr>
              <w:pStyle w:val="Table Paragraph"/>
              <w:bidi w:val="0"/>
              <w:ind w:left="32" w:right="85" w:firstLine="5"/>
              <w:jc w:val="center"/>
              <w:rPr>
                <w:rtl w:val="0"/>
              </w:rPr>
            </w:pPr>
            <w:r>
              <w:t>Liam Devi: okarnik@example.com Telephone: +91 3559743715</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r/>
          </w:p>
          <w:p>
            <w:pPr>
              <w:pStyle w:val="Table Paragraph"/>
              <w:bidi w:val="0"/>
              <w:spacing w:before="1"/>
              <w:ind w:left="788" w:right="0" w:hanging="740"/>
              <w:jc w:val="left"/>
              <w:rPr>
                <w:rtl w:val="0"/>
              </w:rPr>
            </w:pPr>
            <w:r>
              <w:t>www.kshinternational. 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t>OUR PROMOTERS: KUSHAL SUBBAYYA HEGDE, Charan Nath, Nandini Barman, Dhriti Prabhakar, RAKHI GIRIJA SHETTY, DHAULAGIRI FAMILY TRUST, EVEREST FAMILY TRUST, MAKALU FAMILY TRUST, BROAD FAMILY TRUST, ANNAPURNA FAMILY TRUST, KANCHENJUNGA FAMILY TRUST AND</w:t>
            </w:r>
          </w:p>
          <w:p>
            <w:pPr>
              <w:pStyle w:val="Table Paragraph"/>
              <w:bidi w:val="0"/>
              <w:spacing w:before="2" w:line="210" w:lineRule="exact"/>
              <w:ind w:left="3026" w:right="0" w:firstLine="0"/>
              <w:jc w:val="both"/>
              <w:rPr>
                <w:rtl w:val="0"/>
              </w:rPr>
            </w:pPr>
            <w:r>
              <w:t>Edwin PLC</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DETAILS OF THE OFFER TO 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r/>
          </w:p>
          <w:p>
            <w:pPr>
              <w:pStyle w:val="Table Paragraph"/>
              <w:bidi w:val="0"/>
              <w:ind w:left="51" w:right="0" w:firstLine="0"/>
              <w:jc w:val="center"/>
              <w:rPr>
                <w:rtl w:val="0"/>
              </w:rPr>
            </w:pPr>
            <w: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t>SIZE OF THE FRESH 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t>SIZE</w:t>
              <w:tab/>
              <w:t>OF</w:t>
              <w:tab/>
              <w:t>THE 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t>TOTAL OFFER 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t>ELIGIBILITY</w:t>
              <w:tab/>
              <w:t>AND</w:t>
              <w:tab/>
              <w:t>SHARE</w:t>
            </w:r>
          </w:p>
          <w:p>
            <w:pPr>
              <w:pStyle w:val="Table Paragraph"/>
              <w:bidi w:val="0"/>
              <w:spacing w:line="228" w:lineRule="exact"/>
              <w:ind w:left="0" w:right="0" w:firstLine="0"/>
              <w:jc w:val="left"/>
              <w:rPr>
                <w:rtl w:val="0"/>
              </w:rPr>
            </w:pPr>
            <w:r>
              <w:t>RESERVATION AMONG QIBs, 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Fresh Issue and Offer for 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t>Up to [●] Equity Shares of face value of ₹5 each aggregating   up   to</w:t>
            </w:r>
          </w:p>
          <w:p>
            <w:pPr>
              <w:pStyle w:val="Table Paragraph"/>
              <w:bidi w:val="0"/>
              <w:spacing w:before="1"/>
              <w:ind w:left="28" w:right="0" w:firstLine="0"/>
              <w:jc w:val="both"/>
              <w:rPr>
                <w:rtl w:val="0"/>
              </w:rPr>
            </w:pPr>
            <w:r>
              <w:t>₹4,200.00 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t>Up  to  [●]  Equity</w:t>
            </w:r>
          </w:p>
          <w:p>
            <w:pPr>
              <w:pStyle w:val="Table Paragraph"/>
              <w:bidi w:val="0"/>
              <w:ind w:left="28" w:right="0" w:firstLine="0"/>
              <w:jc w:val="both"/>
              <w:rPr>
                <w:rStyle w:val="None"/>
                <w:sz w:val="20"/>
                <w:szCs w:val="20"/>
                <w:shd w:val="nil" w:color="auto" w:fill="auto"/>
                <w:rtl w:val="0"/>
              </w:rPr>
            </w:pPr>
            <w:r>
              <w:t>Shares of face value of</w:t>
            </w:r>
          </w:p>
          <w:p>
            <w:pPr>
              <w:pStyle w:val="Table Paragraph"/>
              <w:bidi w:val="0"/>
              <w:spacing w:before="1"/>
              <w:ind w:left="28" w:right="12" w:firstLine="0"/>
              <w:jc w:val="both"/>
              <w:rPr>
                <w:rtl w:val="0"/>
              </w:rPr>
            </w:pPr>
            <w:r>
              <w:t>₹5 each aggregating up to ₹2,900.00 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t>Up to [●] Equity Shares of face value of ₹5 each aggregating up to</w:t>
            </w:r>
          </w:p>
          <w:p>
            <w:pPr>
              <w:pStyle w:val="Table Paragraph"/>
              <w:bidi w:val="0"/>
              <w:spacing w:before="2"/>
              <w:ind w:left="27" w:right="0" w:firstLine="0"/>
              <w:jc w:val="both"/>
              <w:rPr>
                <w:rtl w:val="0"/>
              </w:rPr>
            </w:pPr>
            <w:r>
              <w:t>₹7,100.00 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t>The Offer is being made pursuant to Regulation 6(1) of the Securities and Exchange Board of India (Issue of Capital and Disclosure Requirements) Regulations, 2018 (“SEBI ICDR Regulations”). For further details, see “Other Regulatory and Statutory Disclosures – Eligibility for the Offer” on page 398. For details of share reservation among Qualified Institutional Buyers, Non-Institutional Investors and Retail Individual</w:t>
            </w:r>
          </w:p>
          <w:p>
            <w:pPr>
              <w:pStyle w:val="Table Paragraph"/>
              <w:bidi w:val="0"/>
              <w:spacing w:before="2" w:line="210" w:lineRule="exact"/>
              <w:ind w:left="27" w:right="0" w:firstLine="0"/>
              <w:jc w:val="both"/>
              <w:rPr>
                <w:rtl w:val="0"/>
              </w:rPr>
            </w:pPr>
            <w:r>
              <w:t>Investors, see “Offer Structure” on page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t>DETAILS OF THE PROMOTER SELLING SHAREHOLDERS, OFFER FOR SALE AND WEIGHTED AVERAGE COST 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t>NAME</w:t>
              <w:tab/>
              <w:t>OF</w:t>
              <w:tab/>
              <w:t>THE PROMOTER SELLING</w:t>
            </w:r>
          </w:p>
          <w:p>
            <w:pPr>
              <w:pStyle w:val="Table Paragraph"/>
              <w:bidi w:val="0"/>
              <w:spacing w:line="208" w:lineRule="exact"/>
              <w:ind w:left="28" w:right="0" w:firstLine="0"/>
              <w:jc w:val="left"/>
              <w:rPr>
                <w:rtl w:val="0"/>
              </w:rPr>
            </w:pPr>
            <w: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r/>
          </w:p>
          <w:p>
            <w:pPr>
              <w:pStyle w:val="Table Paragraph"/>
              <w:bidi w:val="0"/>
              <w:ind w:left="63" w:right="49" w:firstLine="0"/>
              <w:jc w:val="center"/>
              <w:rPr>
                <w:rtl w:val="0"/>
              </w:rPr>
            </w:pPr>
            <w: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t>AGGREGATE AMOUNT OF OFFER FOR SALE (₹ 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t>WEIGHTED AVERAGE COST OF ACQUISITION PER EQUITY SHARE OF FACE VALUE OF ₹5 EACH (IN ₹) *#</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Kushal Subbayya 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Viraj Din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Sudiksha Seshadri</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Maanas Pillai</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t>*As certified by Kirtane &amp; Pandit LLP, Chartered Accountants, our Statutory Auditors, by way of their certificate dated December 10, 2025. For further details, see “Summary of the Offer Document – Average cost of acquisition of Equity Shares by our Promoters and the Promoter Selling Shareholders” on page 26.</w:t>
            </w:r>
          </w:p>
          <w:p>
            <w:pPr>
              <w:pStyle w:val="Table Paragraph"/>
              <w:bidi w:val="0"/>
              <w:spacing w:line="187" w:lineRule="exact"/>
              <w:ind w:left="28" w:right="0" w:firstLine="0"/>
              <w:jc w:val="both"/>
              <w:rPr>
                <w:rtl w:val="0"/>
              </w:rPr>
            </w:pPr>
            <w:r>
              <w:t>#As adjusted for Split of Equity Shares and Bonus 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RISKS IN RELATION TO THE FIRST 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t>Gayathri Som, Meghana Kara and Narang, there has been no formal market for the Equity Shares. The face value of the Equity Shares is ₹5 each. The Floor Price, Samarth Cherian and Offer Price (Barad, Uppal and Mammen,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w:t>
            </w:r>
          </w:p>
          <w:p>
            <w:pPr>
              <w:pStyle w:val="Table Paragraph"/>
              <w:bidi w:val="0"/>
              <w:spacing w:line="209" w:lineRule="exact"/>
              <w:ind w:left="28" w:right="0" w:firstLine="0"/>
              <w:jc w:val="both"/>
              <w:rPr>
                <w:rtl w:val="0"/>
              </w:rPr>
            </w:pPr>
            <w:r>
              <w:t>trading in the Equity Shares nor regarding the price at which the Equity Shares will be traded after 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t>GENERAL 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Pillay and Sons and the Offer, including the risks involved. The Equity Shares offered in the Offer have not been recommended or approved by the Securities and Exchange Board of</w:t>
            </w:r>
          </w:p>
        </w:tc>
      </w:tr>
    </w:tbl>
    <w:p>
      <w:pPr>
        <w:pStyle w:val="Body Text"/>
        <w:spacing w:before="8" w:after="1"/>
        <w:ind w:left="152" w:hanging="152"/>
        <w:rPr>
          <w:rStyle w:val="None"/>
          <w:b w:val="1"/>
          <w:bCs w:val="1"/>
          <w:sz w:val="19"/>
          <w:szCs w:val="19"/>
        </w:rPr>
      </w:pPr>
      <w:r/>
    </w:p>
    <w:p>
      <w:pPr>
        <w:pStyle w:val="Table Paragraph"/>
        <w:spacing w:line="230" w:lineRule="exact"/>
        <w:jc w:val="both"/>
        <w:rPr>
          <w:rStyle w:val="None"/>
        </w:rPr>
        <w:sectPr>
          <w:type w:val="continuous"/>
          <w:pgSz w:w="11920" w:h="16840" w:orient="portrait"/>
          <w:pgMar w:top="120" w:right="141" w:bottom="280" w:left="141" w:header="0" w:footer="0"/>
          <w:bidi w:val="0"/>
        </w:sectPr>
      </w:p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t>India (“SEBI”), nor does SEBI guarantee the accuracy or adequacy of the contents of this Red Herring Prospectus. Specific attention of the investors is invited to “Risk Factors” 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ISSUER’S AND PROMOTER SELLING SHAREHOLDERS’ ABSOLUTE 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t>Saxena PLC, having made all reasonable inquiries, accepts responsibility for and confirms Pooja Bandi and Panini Jain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Niharika Shankar or its business or any other Promoter Selling Shareholder</w:t>
            </w:r>
          </w:p>
          <w:p>
            <w:pPr>
              <w:pStyle w:val="Table Paragraph"/>
              <w:bidi w:val="0"/>
              <w:spacing w:line="209" w:lineRule="exact"/>
              <w:ind w:left="28" w:right="0" w:firstLine="0"/>
              <w:jc w:val="both"/>
              <w:rPr>
                <w:rtl w:val="0"/>
              </w:rPr>
            </w:pPr>
            <w:r>
              <w:t>or any other person, in this Red Herring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t>The Equity Shares Bedi-Pillai (“BSE”) Loyal, Mittal and Ucchal Rajagopalan (“NSE”, together with BSE, the “Stock Exchanges”).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t>BOOK RUNNING LEAD 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t>NAME AND LOGO OF THE BOOK RUNNING LEAD 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t>CONTACT 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t>EMAIL AND 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r/>
          </w:p>
          <w:p>
            <w:pPr>
              <w:pStyle w:val="Table Paragraph"/>
              <w:bidi w:val="0"/>
              <w:ind w:left="1041" w:right="0" w:firstLine="0"/>
              <w:jc w:val="left"/>
              <w:rPr>
                <w:rtl w:val="0"/>
              </w:rPr>
            </w:p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t>Nidra Bassi</w:t>
              <w:tab/>
              <w:t>Waida Borra, Amaira Thakkar and Sem</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t>Lokesh Shah/ Soumavo 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t>Omya Aggarwal: radhagokhale@example.net</w:t>
            </w:r>
          </w:p>
          <w:p>
            <w:pPr>
              <w:pStyle w:val="Table Paragraph"/>
              <w:bidi w:val="0"/>
              <w:spacing w:line="229" w:lineRule="exact"/>
              <w:ind w:left="255" w:right="0" w:firstLine="0"/>
              <w:jc w:val="left"/>
              <w:rPr>
                <w:rtl w:val="0"/>
              </w:rPr>
            </w:pPr>
            <w:r>
              <w:t>Telephone: +91 6118325667</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r/>
          </w:p>
          <w:p>
            <w:pPr>
              <w:pStyle w:val="Table Paragraph"/>
              <w:bidi w:val="0"/>
              <w:ind w:left="838" w:right="0" w:firstLine="0"/>
              <w:jc w:val="left"/>
              <w:rPr>
                <w:rtl w:val="0"/>
              </w:rPr>
            </w:pPr>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r/>
          </w:p>
          <w:p>
            <w:pPr>
              <w:pStyle w:val="Table Paragraph"/>
              <w:tabs>
                <w:tab w:val="left" w:pos="978"/>
              </w:tabs>
              <w:bidi w:val="0"/>
              <w:ind w:left="28" w:right="15" w:firstLine="0"/>
              <w:jc w:val="left"/>
              <w:rPr>
                <w:rtl w:val="0"/>
              </w:rPr>
            </w:pPr>
            <w:r>
              <w:t>ICICI</w:t>
              <w:tab/>
              <w:t>Bandi-Sastry</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r/>
          </w:p>
          <w:p>
            <w:pPr>
              <w:pStyle w:val="Table Paragraph"/>
              <w:bidi w:val="0"/>
              <w:ind w:left="555" w:right="476" w:hanging="68"/>
              <w:jc w:val="left"/>
              <w:rPr>
                <w:rtl w:val="0"/>
              </w:rPr>
            </w:pPr>
            <w:r>
              <w:t>Darika Behl</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r/>
          </w:p>
          <w:p>
            <w:pPr>
              <w:pStyle w:val="Table Paragraph"/>
              <w:bidi w:val="0"/>
              <w:spacing w:line="229" w:lineRule="exact"/>
              <w:ind w:left="197" w:right="0" w:firstLine="0"/>
              <w:jc w:val="left"/>
              <w:rPr>
                <w:rStyle w:val="None"/>
                <w:sz w:val="20"/>
                <w:szCs w:val="20"/>
                <w:shd w:val="nil" w:color="auto" w:fill="auto"/>
                <w:rtl w:val="0"/>
              </w:rPr>
            </w:pPr>
            <w:r>
              <w:t>Omya Aggarwal: brijeshpalla@example.org</w:t>
            </w:r>
          </w:p>
          <w:p>
            <w:pPr>
              <w:pStyle w:val="Table Paragraph"/>
              <w:bidi w:val="0"/>
              <w:spacing w:line="229" w:lineRule="exact"/>
              <w:ind w:left="255" w:right="0" w:firstLine="0"/>
              <w:jc w:val="left"/>
              <w:rPr>
                <w:rtl w:val="0"/>
              </w:rPr>
            </w:pPr>
            <w:r>
              <w:t>Telephone: +91 3971186368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t>REGISTRAR TO THE 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t>NAME OF THE 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t>CONTACT 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t>TELEPHONE AND 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t>Suri, Bera and Basu</w:t>
            </w:r>
          </w:p>
          <w:p>
            <w:pPr>
              <w:pStyle w:val="Table Paragraph"/>
              <w:bidi w:val="0"/>
              <w:spacing w:line="209" w:lineRule="exact"/>
              <w:ind w:left="11" w:right="7" w:firstLine="0"/>
              <w:jc w:val="center"/>
              <w:rPr>
                <w:rtl w:val="0"/>
              </w:rPr>
            </w:pPr>
            <w:r>
              <w:t>(Mangat, Barman and Memon)</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t>Theodore Madan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t>Telephone: +91 2492041710</w:t>
            </w:r>
          </w:p>
          <w:p>
            <w:pPr>
              <w:pStyle w:val="Table Paragraph"/>
              <w:bidi w:val="0"/>
              <w:spacing w:line="209" w:lineRule="exact"/>
              <w:ind w:left="8" w:right="5" w:firstLine="0"/>
              <w:jc w:val="center"/>
              <w:rPr>
                <w:rtl w:val="0"/>
              </w:rPr>
            </w:pPr>
            <w:r>
              <w:t>E-mail: abhiramshetty@example.org</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t>BID/OFFER 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t>ANCHOR INVESTOR BIDDING DATE(1)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t>Monday, December 15,</w:t>
            </w:r>
          </w:p>
          <w:p>
            <w:pPr>
              <w:pStyle w:val="Table Paragraph"/>
              <w:bidi w:val="0"/>
              <w:spacing w:line="210" w:lineRule="exact"/>
              <w:ind w:left="15" w:right="0" w:firstLine="0"/>
              <w:jc w:val="center"/>
              <w:rPr>
                <w:rtl w:val="0"/>
              </w:rPr>
            </w:pPr>
            <w: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t>BID/OFFE R OPENS</w:t>
            </w:r>
          </w:p>
          <w:p>
            <w:pPr>
              <w:pStyle w:val="Table Paragraph"/>
              <w:bidi w:val="0"/>
              <w:spacing w:line="210" w:lineRule="exact"/>
              <w:ind w:left="20" w:right="7" w:firstLine="0"/>
              <w:jc w:val="center"/>
              <w:rPr>
                <w:rtl w:val="0"/>
              </w:rPr>
            </w:pPr>
            <w: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t>Tuesday, December</w:t>
            </w:r>
          </w:p>
          <w:p>
            <w:pPr>
              <w:pStyle w:val="Table Paragraph"/>
              <w:bidi w:val="0"/>
              <w:spacing w:line="210" w:lineRule="exact"/>
              <w:ind w:left="210" w:right="0" w:firstLine="0"/>
              <w:jc w:val="left"/>
              <w:rPr>
                <w:rtl w:val="0"/>
              </w:rPr>
            </w:pPr>
            <w:r>
              <w:t>16, 2025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t>BID/OFFER CLOSES ON(2)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t>Thursday, December 18, 2025</w:t>
            </w:r>
          </w:p>
        </w:tc>
      </w:tr>
    </w:tbl>
    <w:p>
      <w:pPr>
        <w:pStyle w:val="Table Paragraph"/>
        <w:ind w:left="152" w:hanging="152"/>
        <w:rPr>
          <w:rStyle w:val="None"/>
        </w:rPr>
      </w:pPr>
      <w:r/>
    </w:p>
    <w:p>
      <w:pPr>
        <w:pStyle w:val="Body"/>
        <w:spacing w:before="14"/>
        <w:ind w:left="144" w:firstLine="0"/>
        <w:rPr>
          <w:rStyle w:val="None"/>
          <w:i w:val="1"/>
          <w:iCs w:val="1"/>
          <w:sz w:val="18"/>
          <w:szCs w:val="18"/>
        </w:rPr>
      </w:pPr>
      <w:r>
        <w:t>(1) Saxena PLC, in consultation with the Book Running Lead Managers, may consider participation by Anchor Investors in accordance with the SEBI ICDR Regulations.</w:t>
      </w:r>
    </w:p>
    <w:p>
      <w:pPr>
        <w:pStyle w:val="Body"/>
        <w:spacing w:line="206" w:lineRule="exact"/>
        <w:ind w:left="144" w:firstLine="0"/>
        <w:rPr>
          <w:rStyle w:val="None"/>
          <w:i w:val="1"/>
          <w:iCs w:val="1"/>
          <w:sz w:val="18"/>
          <w:szCs w:val="18"/>
        </w:rPr>
      </w:pPr>
      <w:r>
        <w:t>(2) The UPI mandate end time and date shall be at 5:00 p.m. on Bid/Offer Closing Day.</w:t>
      </w:r>
    </w:p>
    <w:p>
      <w:pPr>
        <w:pStyle w:val="Body"/>
        <w:spacing w:line="206" w:lineRule="exact"/>
        <w:sectPr>
          <w:type w:val="continuous"/>
          <w:pgSz w:w="11920" w:h="16840" w:orient="portrait"/>
          <w:pgMar w:top="120" w:right="141" w:bottom="280" w:left="141" w:header="0" w:footer="0"/>
          <w:bidi w:val="0"/>
        </w:sectPr>
      </w:pPr>
      <w:r/>
    </w:p>
    <w:p>
      <w:pPr>
        <w:pStyle w:val="Body"/>
        <w:spacing w:before="74" w:line="183" w:lineRule="exact"/>
        <w:ind w:right="119"/>
        <w:jc w:val="right"/>
        <w:rPr>
          <w:rStyle w:val="None"/>
          <w:b w:val="1"/>
          <w:bCs w:val="1"/>
          <w:sz w:val="16"/>
          <w:szCs w:val="16"/>
        </w:rPr>
      </w:pPr>
      <w:r>
        <w:t>RED HERRING PROSPECTUS</w:t>
      </w:r>
    </w:p>
    <w:p>
      <w:pPr>
        <w:pStyle w:val="Body"/>
        <w:ind w:left="8654" w:firstLine="1382"/>
        <w:rPr>
          <w:rStyle w:val="None"/>
          <w:sz w:val="14"/>
          <w:szCs w:val="14"/>
        </w:rPr>
      </w:pPr>
      <w:r>
        <w:t>Dated December 10, 2025 Please read section 32 of the Companies Act, 2013</w:t>
      </w:r>
    </w:p>
    <w:p>
      <w:pPr>
        <w:pStyle w:val="Body"/>
        <w:spacing w:line="161" w:lineRule="exact"/>
        <w:ind w:left="10116" w:firstLine="0"/>
        <w:rPr>
          <w:rStyle w:val="None"/>
          <w:b w:val="1"/>
          <w:bCs w:val="1"/>
          <w:sz w:val="14"/>
          <w:szCs w:val="14"/>
        </w:rPr>
      </w:pPr>
      <w:r>
        <w:t>100% Book Built Offer</w:t>
      </w:r>
    </w:p>
    <w:p>
      <w:pPr>
        <w:pStyle w:val="Body Text"/>
        <w:spacing w:before="12"/>
        <w:rPr>
          <w:rStyle w:val="None"/>
          <w:b w:val="1"/>
          <w:bCs w:val="1"/>
          <w:sz w:val="14"/>
          <w:szCs w:val="14"/>
        </w:rPr>
      </w:pPr>
      <w:r/>
    </w:p>
    <w:p>
      <w:pPr>
        <w:pStyle w:val="Heading 2"/>
        <w:spacing w:before="0"/>
        <w:ind w:left="722" w:right="724" w:firstLine="0"/>
      </w:pPr>
      <w:r>
        <w:t>Brahmbhatt Group</w:t>
      </w:r>
    </w:p>
    <w:p>
      <w:pPr>
        <w:pStyle w:val="Body"/>
        <w:ind w:left="3" w:right="96" w:firstLine="0"/>
        <w:jc w:val="both"/>
        <w:rPr>
          <w:rStyle w:val="None"/>
          <w:sz w:val="13"/>
          <w:szCs w:val="13"/>
        </w:rPr>
      </w:pPr>
      <w:r>
        <w:t>Saxena PLC was originally incorporated as “Mallick, Kara and Luthra” Bhalla, Tripathi and Brar dated July 30, 1979, issued by Chacko-Oommen was changed from “Mallick, Kara and Luthra” to “Modi PLC” pursuant to a resolution dated June 1, 1996 passed by our Board and a resolution dated Chaudhari-Yohannan dated July 4, 1996 was issued by Registrar of Companies Maharashtra at Mumbai pursuant to change of name under the Companies Act, 1956. Further, pursuant to a special resolution passed by our Shareholders on January 13, 2011 which was confirmed by an order Hora-Konda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Pandey Inc Mukherjee Group, pursuant to a resolution passed by our Board on December 11, 2024 and a special Chaudhary LLC was changed to “Deol-Barad” Kamdar LLC was issued by the Registrar of Companies, Central Processing Centre on Prabhakar Inc, see “History and Certain Corporate Matters- Change in our registered office” on page 243.</w:t>
      </w:r>
    </w:p>
    <w:p>
      <w:pPr>
        <w:pStyle w:val="Body"/>
        <w:spacing w:line="149" w:lineRule="exact"/>
        <w:ind w:left="722" w:right="5" w:firstLine="0"/>
        <w:jc w:val="center"/>
        <w:rPr>
          <w:rStyle w:val="None"/>
          <w:sz w:val="13"/>
          <w:szCs w:val="13"/>
        </w:rPr>
      </w:pPr>
      <w:r>
        <w:t>Corporate Identity Number: U28129PN1979PLC141032</w:t>
      </w:r>
    </w:p>
    <w:p>
      <w:pPr>
        <w:pStyle w:val="Body"/>
        <w:spacing w:line="149" w:lineRule="exact"/>
        <w:ind w:left="724" w:right="2" w:firstLine="0"/>
        <w:jc w:val="center"/>
        <w:rPr>
          <w:rStyle w:val="None"/>
          <w:sz w:val="13"/>
          <w:szCs w:val="13"/>
        </w:rPr>
      </w:pPr>
      <w:r>
        <w:t>Registered Office: 11/3, 11/4 and 11/5, Village Birdewadi, Champak Kari, Pune – 410 501, Maharashtra, India;</w:t>
      </w:r>
    </w:p>
    <w:p>
      <w:pPr>
        <w:pStyle w:val="Body"/>
        <w:spacing w:before="2" w:line="149" w:lineRule="exact"/>
        <w:ind w:left="722" w:right="2" w:firstLine="0"/>
        <w:jc w:val="center"/>
        <w:rPr>
          <w:rStyle w:val="None"/>
          <w:sz w:val="13"/>
          <w:szCs w:val="13"/>
        </w:rPr>
      </w:pPr>
      <w:r>
        <w:t>Corporate Office: 201, Tower 2, Montreal Business Centre, Off Pallod Farms, Baner, Pune – 411 045, Maharashtra, India;</w:t>
      </w:r>
    </w:p>
    <w:p>
      <w:pPr>
        <w:pStyle w:val="Body"/>
        <w:spacing w:line="149" w:lineRule="exact"/>
        <w:ind w:left="722" w:right="722" w:firstLine="0"/>
        <w:jc w:val="center"/>
        <w:rPr>
          <w:rStyle w:val="None"/>
          <w:sz w:val="13"/>
          <w:szCs w:val="13"/>
        </w:rPr>
      </w:pPr>
      <w:r>
        <w:t>Contact Person: Kale, Koshy and Malhotra Secretary and Compliance Officer; Telephone: +91 6652295401;</w:t>
      </w:r>
    </w:p>
    <w:p>
      <w:pPr>
        <w:pStyle w:val="Body"/>
        <w:spacing w:after="4" w:line="149" w:lineRule="exact"/>
        <w:ind w:left="722" w:right="722" w:firstLine="0"/>
        <w:jc w:val="center"/>
        <w:rPr>
          <w:rStyle w:val="Hyperlink.1"/>
        </w:rPr>
      </w:pPr>
      <w:r>
        <w:t>E-mail: karan78@example.org; Website: 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t>OUR PROMOTERS: KUSHAL SUBBAYYA HEGDE, Samuel Khalsa, Nandini Barman, Qadim Garde, RAKHI GIRIJA SHETTY, DHAULAGIRI FAMILY TRUST, EVEREST</w:t>
            </w:r>
          </w:p>
          <w:p>
            <w:pPr>
              <w:pStyle w:val="Table Paragraph"/>
              <w:bidi w:val="0"/>
              <w:spacing w:before="1" w:line="118" w:lineRule="exact"/>
              <w:ind w:left="153" w:right="0" w:firstLine="0"/>
              <w:jc w:val="left"/>
              <w:rPr>
                <w:rtl w:val="0"/>
              </w:rPr>
            </w:pPr>
            <w:r>
              <w:t>FAMILY TRUST, MAKALU FAMILY TRUST, BROAD FAMILY TRUST, ANNAPURNA Mangat Group</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t>INITIAL PUBLIC OFFERING OF UP TO [●] EQUITY SHARES OF FACE VALUE OF ₹5 EACH (“EQUITY SHARES”) Faraj Kohli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Raksha Raju Loyal AGGREGATING UP TO ₹475.00 MILLION AND UP TO [●] EQUITY SHARES OF FACE VALUE OF ₹5 EACH BY Faras Walla AGGREGATING UP TO</w:t>
            </w:r>
          </w:p>
          <w:p>
            <w:pPr>
              <w:pStyle w:val="Table Paragraph"/>
              <w:bidi w:val="0"/>
              <w:ind w:left="79" w:right="60" w:firstLine="0"/>
              <w:jc w:val="both"/>
              <w:rPr>
                <w:rStyle w:val="None"/>
                <w:b w:val="1"/>
                <w:bCs w:val="1"/>
                <w:sz w:val="12"/>
                <w:szCs w:val="12"/>
                <w:shd w:val="nil" w:color="auto" w:fill="auto"/>
                <w:rtl w:val="0"/>
              </w:rPr>
            </w:pPr>
            <w:r>
              <w:t>₹475.00 MILLION (COLLECTIVELY, “PROMOTER SELLING SHAREHOLDERS” AND SUCH OFFER FOR SALE OF EQUITY SHARES OF FACE VALUE OF ₹5 EACH BY THE PROMOTER SELLING SHAREHOLDERS, THE “OFFER FOR SALE”). THE OFFER SHALL CONSTITUTE [●]% Chopra, Eesha Pingle and Manthan Chandran.</w:t>
            </w:r>
          </w:p>
          <w:p>
            <w:pPr>
              <w:pStyle w:val="Table Paragraph"/>
              <w:bidi w:val="0"/>
              <w:spacing w:before="137"/>
              <w:ind w:left="79" w:right="58" w:firstLine="0"/>
              <w:jc w:val="both"/>
              <w:rPr>
                <w:rStyle w:val="None"/>
                <w:b w:val="1"/>
                <w:bCs w:val="1"/>
                <w:sz w:val="12"/>
                <w:szCs w:val="12"/>
                <w:shd w:val="nil" w:color="auto" w:fill="auto"/>
                <w:rtl w:val="0"/>
              </w:rPr>
            </w:pPr>
            <w:r>
              <w:t>THE FACE VALUE OF THE EQUITY SHARES IS ₹5 EACH. THE OFFER PRICE IS [●] TIMES THE FACE VALUE Mittal, Harshil Mody and Nicholas Hayre,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w:t>
            </w:r>
          </w:p>
          <w:p>
            <w:pPr>
              <w:pStyle w:val="Table Paragraph"/>
              <w:bidi w:val="0"/>
              <w:spacing w:line="120" w:lineRule="exact"/>
              <w:ind w:left="79" w:right="0" w:firstLine="0"/>
              <w:jc w:val="both"/>
              <w:rPr>
                <w:rtl w:val="0"/>
              </w:rPr>
            </w:pPr>
            <w:r>
              <w:t>EXCHANGE BOARD OF INDIA (ISSUE OF CAPITAL AND DISCLOSURE REQUIREMENTS) REGULATIONS, 2018, AS AMENDED (THE “SEBI ICDR REGULATIONS”).</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t>In case of any revision in the Price Band, the Bid/Offer Period will be extended by at least three additional Working Days after such revision in the Price Band, subject to the Bid/Offer Period not exceeding 10 Working Days. In Pillay Group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w:t>
            </w:r>
          </w:p>
          <w:p>
            <w:pPr>
              <w:pStyle w:val="Table Paragraph"/>
              <w:bidi w:val="0"/>
              <w:spacing w:line="118" w:lineRule="exact"/>
              <w:ind w:left="79" w:right="0" w:firstLine="0"/>
              <w:jc w:val="both"/>
              <w:rPr>
                <w:rtl w:val="0"/>
              </w:rPr>
            </w:pPr>
            <w:r>
              <w:t>as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t>The Offer is being made in terms of Rule 19(2)(b) of the Securities Contracts (Regulation) Rules, 1957, as amended (the “SCRR”),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(“QIBs”) (the “QIB Portion”), Mason Behl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(“Non-Institutional Portion”) of which one-third of the Non-Institutional Portion shall be available for allocation to Bidders with an application size of more than ₹0.20 million and up to ₹1.00 million and two-thirds of the Non-Institutional Portion shall be available for allocation to Bidders with an application size of more than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(“Retail Portion”), in accordance with the SEBI ICDR Regulations, subject to valid Bids being received from them at or above the Offer Price. All Bidders (except Anchor Investors) shall mandatorily participate in this Offer only through the Application Supported by Blocked Amount (“ASBA”)</w:t>
            </w:r>
          </w:p>
          <w:p>
            <w:pPr>
              <w:pStyle w:val="Table Paragraph"/>
              <w:bidi w:val="0"/>
              <w:spacing w:line="136" w:lineRule="exact"/>
              <w:ind w:left="28" w:right="63" w:firstLine="0"/>
              <w:jc w:val="both"/>
              <w:rPr>
                <w:rtl w:val="0"/>
              </w:rPr>
            </w:pPr>
            <w:r>
              <w:t>Bera and Sons account (including UPI ID (defined hereinafter) in case of UPI Bidders (defined hereinafter) in which the Bid Amount will be blocked by the Self Certified Syndicate Banks (“SCSBs”) or pursuant to the UPI Mechanism, as the case may be. Anchor Investors are not permitted to participate in the Anchor Investor Portion through the ASBA process. For details, see “Offer Procedure” 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t>RISKS IN RELATION TO THE FIRST 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t>Vig, Umang Zacharia and Chatura Pai, there has been no formal market for the Equity Shares. The face value of the Equity Shares is ₹5 each. The Offer Price, Floor Price or Samarth Cherian (Barad, Uppal and Mammen,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w:t>
            </w:r>
          </w:p>
          <w:p>
            <w:pPr>
              <w:pStyle w:val="Table Paragraph"/>
              <w:bidi w:val="0"/>
              <w:spacing w:line="120" w:lineRule="exact"/>
              <w:ind w:left="79" w:right="0" w:firstLine="0"/>
              <w:jc w:val="both"/>
              <w:rPr>
                <w:rtl w:val="0"/>
              </w:rPr>
            </w:pPr>
            <w:r>
              <w:t>trading in the Equity Shares nor regarding the price at which the Equity Shares will be traded after 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t>GENERAL 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t>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Pillay and Sons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t>ISSUER’S AND PROMOTER SELLING SHAREHOLDERS’ ABSOLUTE 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t>Saxena PLC, having made all reasonable inquiries, accepts responsibility for and confirms Shivansh Ghose and Panini Jain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Chaitanya Karan or its business or any other Promoter Selling Shareholder or any other person(s) in</w:t>
            </w:r>
          </w:p>
          <w:p>
            <w:pPr>
              <w:pStyle w:val="Table Paragraph"/>
              <w:bidi w:val="0"/>
              <w:spacing w:line="118" w:lineRule="exact"/>
              <w:ind w:left="79" w:right="0" w:firstLine="0"/>
              <w:jc w:val="both"/>
              <w:rPr>
                <w:rtl w:val="0"/>
              </w:rPr>
            </w:pPr>
            <w:r>
              <w:t>this Red Herring 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t>The Equity Shares, offered through this Rege-Bose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t>BOOK RUNNING LEAD 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t>REGISTRAR TO THE 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r/>
          </w:p>
          <w:p>
            <w:pPr>
              <w:pStyle w:val="Table Paragraph"/>
              <w:bidi w:val="0"/>
              <w:ind w:left="761" w:right="0" w:firstLine="0"/>
              <w:jc w:val="left"/>
              <w:rPr>
                <w:rtl w:val="0"/>
              </w:rPr>
            </w:pPr>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r/>
          </w:p>
          <w:p>
            <w:pPr>
              <w:pStyle w:val="Table Paragraph"/>
              <w:bidi w:val="0"/>
              <w:ind w:left="555" w:right="0" w:firstLine="0"/>
              <w:jc w:val="left"/>
              <w:rPr>
                <w:rtl w:val="0"/>
              </w:rPr>
            </w:p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r/>
          </w:p>
          <w:p>
            <w:pPr>
              <w:pStyle w:val="Table Paragraph"/>
              <w:bidi w:val="0"/>
              <w:ind w:left="1134" w:right="0" w:firstLine="0"/>
              <w:jc w:val="left"/>
              <w:rPr>
                <w:rtl w:val="0"/>
              </w:rPr>
            </w:pPr>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Saanvi Dhillon, Udant Khurana and Geetika Shah</w:t>
            </w:r>
          </w:p>
          <w:p>
            <w:pPr>
              <w:pStyle w:val="Table Paragraph"/>
              <w:bidi w:val="0"/>
              <w:ind w:left="28" w:right="0" w:firstLine="0"/>
              <w:jc w:val="left"/>
              <w:rPr>
                <w:rStyle w:val="None"/>
                <w:sz w:val="12"/>
                <w:szCs w:val="12"/>
                <w:shd w:val="nil" w:color="auto" w:fill="auto"/>
                <w:rtl w:val="0"/>
              </w:rPr>
            </w:pPr>
            <w:r>
              <w:t>801 - 804, Wing A, Building No 3, Inspire BKC, G Block, Bandra Kurla Complex, Bandra East, Mumbai 400051, Maharashtra, India</w:t>
            </w:r>
          </w:p>
          <w:p>
            <w:pPr>
              <w:pStyle w:val="Table Paragraph"/>
              <w:bidi w:val="0"/>
              <w:ind w:left="28" w:right="0" w:firstLine="0"/>
              <w:jc w:val="left"/>
              <w:rPr>
                <w:rStyle w:val="None"/>
                <w:sz w:val="12"/>
                <w:szCs w:val="12"/>
                <w:shd w:val="nil" w:color="auto" w:fill="auto"/>
                <w:rtl w:val="0"/>
              </w:rPr>
            </w:pPr>
            <w:r>
              <w:t>Tel: +91 4596978013</w:t>
            </w:r>
          </w:p>
          <w:p>
            <w:pPr>
              <w:pStyle w:val="Table Paragraph"/>
              <w:bidi w:val="0"/>
              <w:spacing w:before="1" w:line="137" w:lineRule="exact"/>
              <w:ind w:left="28" w:right="0" w:firstLine="0"/>
              <w:jc w:val="left"/>
              <w:rPr>
                <w:rStyle w:val="None"/>
                <w:sz w:val="12"/>
                <w:szCs w:val="12"/>
                <w:shd w:val="nil" w:color="auto" w:fill="auto"/>
                <w:rtl w:val="0"/>
              </w:rPr>
            </w:pPr>
            <w:r>
              <w:t>E-mail: radhagokhale@example.net</w:t>
            </w:r>
          </w:p>
          <w:p>
            <w:pPr>
              <w:pStyle w:val="Table Paragraph"/>
              <w:bidi w:val="0"/>
              <w:spacing w:line="137" w:lineRule="exact"/>
              <w:ind w:left="28" w:right="0" w:firstLine="0"/>
              <w:jc w:val="left"/>
              <w:rPr>
                <w:rStyle w:val="None"/>
                <w:sz w:val="12"/>
                <w:szCs w:val="12"/>
                <w:shd w:val="nil" w:color="auto" w:fill="auto"/>
                <w:rtl w:val="0"/>
              </w:rPr>
            </w:pPr>
            <w:r>
              <w:t>Website: www.nuvama.com</w:t>
            </w:r>
          </w:p>
          <w:p>
            <w:pPr>
              <w:pStyle w:val="Table Paragraph"/>
              <w:bidi w:val="0"/>
              <w:spacing w:before="1" w:line="137" w:lineRule="exact"/>
              <w:ind w:left="28" w:right="0" w:firstLine="0"/>
              <w:jc w:val="left"/>
              <w:rPr>
                <w:rStyle w:val="None"/>
                <w:sz w:val="12"/>
                <w:szCs w:val="12"/>
                <w:shd w:val="nil" w:color="auto" w:fill="auto"/>
                <w:rtl w:val="0"/>
              </w:rPr>
            </w:pPr>
            <w:r>
              <w:t>Investor grievance email: falan55@example.org</w:t>
            </w:r>
          </w:p>
          <w:p>
            <w:pPr>
              <w:pStyle w:val="Table Paragraph"/>
              <w:bidi w:val="0"/>
              <w:spacing w:line="137" w:lineRule="exact"/>
              <w:ind w:left="28" w:right="0" w:firstLine="0"/>
              <w:jc w:val="left"/>
              <w:rPr>
                <w:rStyle w:val="None"/>
                <w:sz w:val="12"/>
                <w:szCs w:val="12"/>
                <w:shd w:val="nil" w:color="auto" w:fill="auto"/>
                <w:rtl w:val="0"/>
              </w:rPr>
            </w:pPr>
            <w:r>
              <w:t>Contact Person: Lokesh Shah/ Soumavo Sarkar</w:t>
            </w:r>
          </w:p>
          <w:p>
            <w:pPr>
              <w:pStyle w:val="Table Paragraph"/>
              <w:bidi w:val="0"/>
              <w:spacing w:before="2"/>
              <w:ind w:left="28" w:right="0" w:firstLine="0"/>
              <w:jc w:val="left"/>
              <w:rPr>
                <w:rtl w:val="0"/>
              </w:rPr>
            </w:pPr>
            <w:r>
              <w:t>SEBI Registration Number: INM+91 8747926053</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Nair, D’Alia and Oviya Maharaj</w:t>
            </w:r>
          </w:p>
          <w:p>
            <w:pPr>
              <w:pStyle w:val="Table Paragraph"/>
              <w:bidi w:val="0"/>
              <w:ind w:left="28" w:right="0" w:firstLine="0"/>
              <w:jc w:val="left"/>
              <w:rPr>
                <w:rStyle w:val="None"/>
                <w:sz w:val="12"/>
                <w:szCs w:val="12"/>
                <w:shd w:val="nil" w:color="auto" w:fill="auto"/>
                <w:rtl w:val="0"/>
              </w:rPr>
            </w:pPr>
            <w:r>
              <w:t>ICICI Venture House, Jagdish Tara, Prabhadevi, Mumbai 400025, Maharashtra, India</w:t>
            </w:r>
          </w:p>
          <w:p>
            <w:pPr>
              <w:pStyle w:val="Table Paragraph"/>
              <w:bidi w:val="0"/>
              <w:ind w:left="28" w:right="0" w:firstLine="0"/>
              <w:jc w:val="left"/>
              <w:rPr>
                <w:rStyle w:val="None"/>
                <w:sz w:val="12"/>
                <w:szCs w:val="12"/>
                <w:shd w:val="nil" w:color="auto" w:fill="auto"/>
                <w:rtl w:val="0"/>
              </w:rPr>
            </w:pPr>
            <w:r>
              <w:t>Tel: +91 22 6807 7100</w:t>
            </w:r>
          </w:p>
          <w:p>
            <w:pPr>
              <w:pStyle w:val="Table Paragraph"/>
              <w:bidi w:val="0"/>
              <w:spacing w:before="1" w:line="137" w:lineRule="exact"/>
              <w:ind w:left="28" w:right="0" w:firstLine="0"/>
              <w:jc w:val="left"/>
              <w:rPr>
                <w:rStyle w:val="None"/>
                <w:sz w:val="12"/>
                <w:szCs w:val="12"/>
                <w:shd w:val="nil" w:color="auto" w:fill="auto"/>
                <w:rtl w:val="0"/>
              </w:rPr>
            </w:pPr>
            <w:r>
              <w:t>E-mail: akeer@example.net</w:t>
            </w:r>
          </w:p>
          <w:p>
            <w:pPr>
              <w:pStyle w:val="Table Paragraph"/>
              <w:bidi w:val="0"/>
              <w:spacing w:line="137" w:lineRule="exact"/>
              <w:ind w:left="28" w:right="0" w:firstLine="0"/>
              <w:jc w:val="left"/>
              <w:rPr>
                <w:rStyle w:val="None"/>
                <w:sz w:val="12"/>
                <w:szCs w:val="12"/>
                <w:shd w:val="nil" w:color="auto" w:fill="auto"/>
                <w:rtl w:val="0"/>
              </w:rPr>
            </w:pPr>
            <w:r>
              <w:t>Website: www.icicisecurities.com</w:t>
            </w:r>
          </w:p>
          <w:p>
            <w:pPr>
              <w:pStyle w:val="Table Paragraph"/>
              <w:bidi w:val="0"/>
              <w:spacing w:before="1" w:line="137" w:lineRule="exact"/>
              <w:ind w:left="28" w:right="0" w:firstLine="0"/>
              <w:jc w:val="left"/>
              <w:rPr>
                <w:rStyle w:val="None"/>
                <w:sz w:val="12"/>
                <w:szCs w:val="12"/>
                <w:shd w:val="nil" w:color="auto" w:fill="auto"/>
                <w:rtl w:val="0"/>
              </w:rPr>
            </w:pPr>
            <w:r>
              <w:t>Investor grievance email: snehabasu@example.org</w:t>
            </w:r>
          </w:p>
          <w:p>
            <w:pPr>
              <w:pStyle w:val="Table Paragraph"/>
              <w:bidi w:val="0"/>
              <w:spacing w:line="137" w:lineRule="exact"/>
              <w:ind w:left="28" w:right="0" w:firstLine="0"/>
              <w:jc w:val="left"/>
              <w:rPr>
                <w:rStyle w:val="None"/>
                <w:sz w:val="12"/>
                <w:szCs w:val="12"/>
                <w:shd w:val="nil" w:color="auto" w:fill="auto"/>
                <w:rtl w:val="0"/>
              </w:rPr>
            </w:pPr>
            <w:r>
              <w:t>Contact Person: Laksh Narang/Bhavika Dube</w:t>
            </w:r>
          </w:p>
          <w:p>
            <w:pPr>
              <w:pStyle w:val="Table Paragraph"/>
              <w:bidi w:val="0"/>
              <w:spacing w:before="2"/>
              <w:ind w:left="28" w:right="0" w:firstLine="0"/>
              <w:jc w:val="left"/>
              <w:rPr>
                <w:rtl w:val="0"/>
              </w:rPr>
            </w:pPr>
            <w:r>
              <w:t>SEBI Registration Number: INM+91 4355813983</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t>Bhavika Swaminathan, Bera and Max Pau</w:t>
            </w:r>
          </w:p>
          <w:p>
            <w:pPr>
              <w:pStyle w:val="Table Paragraph"/>
              <w:bidi w:val="0"/>
              <w:spacing w:line="138" w:lineRule="exact"/>
              <w:ind w:left="26" w:right="0" w:firstLine="0"/>
              <w:jc w:val="left"/>
              <w:rPr>
                <w:rStyle w:val="None"/>
                <w:i w:val="1"/>
                <w:iCs w:val="1"/>
                <w:sz w:val="12"/>
                <w:szCs w:val="12"/>
                <w:shd w:val="nil" w:color="auto" w:fill="auto"/>
                <w:rtl w:val="0"/>
              </w:rPr>
            </w:pPr>
            <w:r>
              <w:t>(Mohini Datta, Darsh Nagy and Memon)</w:t>
            </w:r>
          </w:p>
          <w:p>
            <w:pPr>
              <w:pStyle w:val="Table Paragraph"/>
              <w:bidi w:val="0"/>
              <w:spacing w:before="1"/>
              <w:ind w:left="26" w:right="0" w:firstLine="0"/>
              <w:jc w:val="left"/>
              <w:rPr>
                <w:rStyle w:val="None"/>
                <w:sz w:val="12"/>
                <w:szCs w:val="12"/>
                <w:shd w:val="nil" w:color="auto" w:fill="auto"/>
                <w:rtl w:val="0"/>
              </w:rPr>
            </w:pPr>
            <w:r>
              <w:t>C-101, Embassy 247, 1st Floor, L B S Marg, Champak Garg (West), Mumbai 400083, (Maharashtra), India</w:t>
            </w:r>
          </w:p>
          <w:p>
            <w:pPr>
              <w:pStyle w:val="Table Paragraph"/>
              <w:bidi w:val="0"/>
              <w:spacing w:before="1" w:line="137" w:lineRule="exact"/>
              <w:ind w:left="26" w:right="0" w:firstLine="0"/>
              <w:jc w:val="left"/>
              <w:rPr>
                <w:rStyle w:val="None"/>
                <w:sz w:val="12"/>
                <w:szCs w:val="12"/>
                <w:shd w:val="nil" w:color="auto" w:fill="auto"/>
                <w:rtl w:val="0"/>
              </w:rPr>
            </w:pPr>
            <w:r>
              <w:t>Tel: +91 81081 14949</w:t>
            </w:r>
          </w:p>
          <w:p>
            <w:pPr>
              <w:pStyle w:val="Table Paragraph"/>
              <w:bidi w:val="0"/>
              <w:spacing w:line="137" w:lineRule="exact"/>
              <w:ind w:left="26" w:right="0" w:firstLine="0"/>
              <w:jc w:val="left"/>
              <w:rPr>
                <w:rStyle w:val="None"/>
                <w:sz w:val="12"/>
                <w:szCs w:val="12"/>
                <w:shd w:val="nil" w:color="auto" w:fill="auto"/>
                <w:rtl w:val="0"/>
              </w:rPr>
            </w:pPr>
            <w:r>
              <w:t>E-mail: ychander@example.com</w:t>
            </w:r>
          </w:p>
          <w:p>
            <w:pPr>
              <w:pStyle w:val="Table Paragraph"/>
              <w:bidi w:val="0"/>
              <w:spacing w:before="1" w:line="137" w:lineRule="exact"/>
              <w:ind w:left="26" w:right="0" w:firstLine="0"/>
              <w:jc w:val="left"/>
              <w:rPr>
                <w:rStyle w:val="None"/>
                <w:sz w:val="12"/>
                <w:szCs w:val="12"/>
                <w:shd w:val="nil" w:color="auto" w:fill="auto"/>
                <w:rtl w:val="0"/>
              </w:rPr>
            </w:pPr>
            <w:r>
              <w:t>Website: www.in.mpms.mufg.com</w:t>
            </w:r>
          </w:p>
          <w:p>
            <w:pPr>
              <w:pStyle w:val="Table Paragraph"/>
              <w:bidi w:val="0"/>
              <w:spacing w:line="137" w:lineRule="exact"/>
              <w:ind w:left="26" w:right="0" w:firstLine="0"/>
              <w:jc w:val="left"/>
              <w:rPr>
                <w:rStyle w:val="None"/>
                <w:sz w:val="12"/>
                <w:szCs w:val="12"/>
                <w:shd w:val="nil" w:color="auto" w:fill="auto"/>
                <w:rtl w:val="0"/>
              </w:rPr>
            </w:pPr>
            <w:r>
              <w:t>Investor grievance e-mail: ychander@example.com</w:t>
            </w:r>
          </w:p>
          <w:p>
            <w:pPr>
              <w:pStyle w:val="Table Paragraph"/>
              <w:bidi w:val="0"/>
              <w:spacing w:before="1" w:line="137" w:lineRule="exact"/>
              <w:ind w:left="26" w:right="0" w:firstLine="0"/>
              <w:jc w:val="left"/>
              <w:rPr>
                <w:rStyle w:val="None"/>
                <w:sz w:val="12"/>
                <w:szCs w:val="12"/>
                <w:shd w:val="nil" w:color="auto" w:fill="auto"/>
                <w:rtl w:val="0"/>
              </w:rPr>
            </w:pPr>
            <w:r>
              <w:t>Contact Person: Theodore Madan</w:t>
            </w:r>
          </w:p>
          <w:p>
            <w:pPr>
              <w:pStyle w:val="Table Paragraph"/>
              <w:bidi w:val="0"/>
              <w:spacing w:line="120" w:lineRule="exact"/>
              <w:ind w:left="26" w:right="0" w:firstLine="0"/>
              <w:jc w:val="left"/>
              <w:rPr>
                <w:rtl w:val="0"/>
              </w:rPr>
            </w:pPr>
            <w:r>
              <w:t>SEBI Registration Number: INR+91 3443741010</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t>BID/ OFFER 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t>ANCHOR INVESTOR BIDDING DATE(1)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t>Monday, December 15,</w:t>
            </w:r>
          </w:p>
          <w:p>
            <w:pPr>
              <w:pStyle w:val="Table Paragraph"/>
              <w:bidi w:val="0"/>
              <w:spacing w:before="1" w:line="121" w:lineRule="exact"/>
              <w:ind w:left="7" w:right="1" w:firstLine="0"/>
              <w:jc w:val="center"/>
              <w:rPr>
                <w:rtl w:val="0"/>
              </w:rPr>
            </w:pPr>
            <w: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t>BID/OFFER OPENS 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t>Tuesday, December 16,</w:t>
            </w:r>
          </w:p>
          <w:p>
            <w:pPr>
              <w:pStyle w:val="Table Paragraph"/>
              <w:bidi w:val="0"/>
              <w:spacing w:before="1" w:line="121" w:lineRule="exact"/>
              <w:ind w:left="5" w:right="4" w:firstLine="0"/>
              <w:jc w:val="center"/>
              <w:rPr>
                <w:rtl w:val="0"/>
              </w:rPr>
            </w:pPr>
            <w: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t>BID/OFFER CLOSES ON(2)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t>Thursday, December 18, 2025</w:t>
            </w:r>
          </w:p>
        </w:tc>
      </w:tr>
    </w:tbl>
    <w:p>
      <w:pPr>
        <w:pStyle w:val="Body"/>
        <w:spacing w:after="4"/>
        <w:ind w:left="13" w:hanging="13"/>
        <w:rPr>
          <w:rStyle w:val="Hyperlink.1"/>
        </w:rPr>
      </w:pPr>
      <w:r/>
    </w:p>
    <w:p>
      <w:pPr>
        <w:pStyle w:val="Body"/>
        <w:spacing w:before="8"/>
        <w:ind w:left="3" w:firstLine="0"/>
        <w:rPr>
          <w:rStyle w:val="None"/>
          <w:i w:val="1"/>
          <w:iCs w:val="1"/>
          <w:sz w:val="10"/>
          <w:szCs w:val="10"/>
        </w:rPr>
      </w:pPr>
      <w:r>
        <w:t>(1) Saxena PLC, in consultation with the Book Running Lead Managers, may consider participation by Anchor Investors in accordance with the SEBI ICDR Regulations.</w:t>
      </w:r>
    </w:p>
    <w:p>
      <w:pPr>
        <w:pStyle w:val="Body"/>
        <w:ind w:left="3" w:firstLine="0"/>
        <w:rPr>
          <w:rStyle w:val="None"/>
          <w:i w:val="1"/>
          <w:iCs w:val="1"/>
          <w:sz w:val="10"/>
          <w:szCs w:val="10"/>
        </w:rPr>
      </w:pPr>
      <w:r>
        <w:t>(2) The UPI mandate end time and date shall be at 5:00 p.m. on Bid/Offer Closing Day.</w:t>
      </w:r>
    </w:p>
    <w:p>
      <w:pPr>
        <w:pStyle w:val="Body"/>
        <w:sectPr>
          <w:headerReference w:type="default" r:id="rId12"/>
          <w:pgSz w:w="11920" w:h="16840" w:orient="portrait"/>
          <w:pgMar w:top="240" w:right="141" w:bottom="280" w:left="141" w:header="0" w:footer="0"/>
          <w:bidi w:val="0"/>
        </w:sectPr>
      </w:pPr>
      <w:r/>
    </w:p>
    <w:p>
      <w:pPr>
        <w:pStyle w:val="TOC 1"/>
        <w:tabs>
          <w:tab w:val="right" w:pos="10185" w:leader="dot"/>
        </w:tabs>
        <w:spacing w:before="200"/>
      </w:pPr>
      <w:r>
        <w:t>SECTION I - GENERAL</w:t>
        <w:tab/>
        <w:t>2</w:t>
      </w:r>
    </w:p>
    <w:p>
      <w:pPr>
        <w:pStyle w:val="TOC 2"/>
        <w:tabs>
          <w:tab w:val="right" w:pos="10185" w:leader="dot"/>
        </w:tabs>
        <w:spacing w:before="80"/>
      </w:pPr>
      <w:r>
        <w:t>DEFINITIONS AND ABBREVIATIONS</w:t>
        <w:tab/>
        <w:t>2</w:t>
      </w:r>
    </w:p>
    <w:p>
      <w:pPr>
        <w:pStyle w:val="TOC 2"/>
        <w:tabs>
          <w:tab w:val="right" w:pos="10189" w:leader="dot"/>
        </w:tabs>
        <w:spacing w:before="38"/>
        <w:ind w:right="14"/>
      </w:pPr>
      <w:r>
        <w:t>CERTAIN CONVENTIONS, USE OF FINANCIAL INFORMATION AND MARKET DATA AND CURRENCY OF PRESENTATION</w:t>
        <w:tab/>
        <w:t>15</w:t>
      </w:r>
    </w:p>
    <w:p>
      <w:pPr>
        <w:pStyle w:val="TOC 2"/>
        <w:tabs>
          <w:tab w:val="right" w:pos="10189" w:leader="dot"/>
        </w:tabs>
        <w:spacing w:before="40"/>
      </w:pPr>
      <w:r>
        <w:t>FORWARD-LOOKING STATEMENTS</w:t>
        <w:tab/>
        <w:t>18</w:t>
      </w:r>
    </w:p>
    <w:p>
      <w:pPr>
        <w:pStyle w:val="TOC 2"/>
        <w:tabs>
          <w:tab w:val="right" w:pos="10189" w:leader="dot"/>
        </w:tabs>
        <w:spacing w:before="41"/>
      </w:pPr>
      <w:r>
        <w:t>SUMMARY OF THE OFFER DOCUMENT</w:t>
        <w:tab/>
        <w:t>20</w:t>
      </w:r>
    </w:p>
    <w:p>
      <w:pPr>
        <w:pStyle w:val="TOC 1"/>
        <w:tabs>
          <w:tab w:val="right" w:pos="10189" w:leader="dot"/>
        </w:tabs>
        <w:spacing w:before="79"/>
      </w:pPr>
      <w:r>
        <w:t>SECTION II: RISK FACTORS</w:t>
        <w:tab/>
        <w:t>28</w:t>
      </w:r>
    </w:p>
    <w:p>
      <w:pPr>
        <w:pStyle w:val="TOC 1"/>
        <w:tabs>
          <w:tab w:val="right" w:pos="10189" w:leader="dot"/>
        </w:tabs>
      </w:pPr>
      <w:r>
        <w:t>SECTION III – INTRODUCTION</w:t>
        <w:tab/>
        <w:t>67</w:t>
      </w:r>
    </w:p>
    <w:p>
      <w:pPr>
        <w:pStyle w:val="TOC 2"/>
        <w:tabs>
          <w:tab w:val="right" w:pos="10189" w:leader="dot"/>
        </w:tabs>
        <w:spacing w:before="80"/>
      </w:pPr>
      <w:r>
        <w:t>THE OFFER</w:t>
        <w:tab/>
        <w:t>67</w:t>
      </w:r>
    </w:p>
    <w:p>
      <w:pPr>
        <w:pStyle w:val="TOC 2"/>
        <w:tabs>
          <w:tab w:val="right" w:pos="10189" w:leader="dot"/>
        </w:tabs>
      </w:pPr>
      <w:r>
        <w:t>SUMMARY FINANCIAL STATEMENTS</w:t>
        <w:tab/>
        <w:t>69</w:t>
      </w:r>
    </w:p>
    <w:p>
      <w:pPr>
        <w:pStyle w:val="TOC 2"/>
        <w:tabs>
          <w:tab w:val="right" w:pos="10189" w:leader="dot"/>
        </w:tabs>
      </w:pPr>
      <w:r>
        <w:t>GENERAL INFORMATION</w:t>
        <w:tab/>
        <w:t>74</w:t>
      </w:r>
    </w:p>
    <w:p>
      <w:pPr>
        <w:pStyle w:val="TOC 2"/>
        <w:tabs>
          <w:tab w:val="right" w:pos="10189" w:leader="dot"/>
        </w:tabs>
        <w:spacing w:before="41"/>
      </w:pPr>
      <w:r>
        <w:t>CAPITAL STRUCTURE</w:t>
        <w:tab/>
        <w:t>84</w:t>
      </w:r>
    </w:p>
    <w:p>
      <w:pPr>
        <w:pStyle w:val="TOC 2"/>
        <w:sectPr>
          <w:headerReference w:type="default" r:id="rId13"/>
          <w:footerReference w:type="default" r:id="rId14"/>
          <w:pgSz w:w="11920" w:h="16840" w:orient="portrait"/>
          <w:pgMar w:top="1400" w:right="708" w:bottom="1120" w:left="992" w:header="0" w:footer="0"/>
          <w:pgNumType w:start="1"/>
          <w:bidi w:val="0"/>
        </w:sectPr>
      </w:pPr>
      <w:r/>
    </w:p>
    <w:p>
      <w:pPr>
        <w:pStyle w:val="Heading 2"/>
        <w:ind w:right="2547"/>
      </w:pPr>
      <w:r>
        <w:t>DEFINITIONS AND ABBREVIATIONS</w:t>
      </w:r>
    </w:p>
    <w:p>
      <w:pPr>
        <w:pStyle w:val="Body"/>
        <w:spacing w:before="200"/>
        <w:ind w:left="87" w:right="7" w:firstLine="0"/>
        <w:jc w:val="both"/>
        <w:rPr>
          <w:rStyle w:val="None"/>
          <w:i w:val="1"/>
          <w:iCs w:val="1"/>
          <w:sz w:val="20"/>
          <w:szCs w:val="20"/>
        </w:rPr>
      </w:pPr>
      <w: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t>Unless the context otherwise indicates, all references to “we”, “us”, “our”, “Setty Inc”, and “Seth, Morar and Dash”, Oak-Ganesh incorporated on July 30, 1979 under the Companies Act, 1956 and having its Registered Office at 11/3, 11/4 and 11/5, Village Birdewadi, Champak Kari, Pune – 410 501, Maharashtra, India and its Corporate Office at 201, Tower 2, Montreal Business Centre, Off Pallod Farms, Baner, Pune – 411 045, Maharashtra, India.</w:t>
      </w:r>
    </w:p>
    <w:p>
      <w:pPr>
        <w:pStyle w:val="Body"/>
        <w:spacing w:before="200"/>
        <w:ind w:left="87" w:right="5" w:firstLine="0"/>
        <w:jc w:val="both"/>
        <w:rPr>
          <w:rStyle w:val="None"/>
          <w:i w:val="1"/>
          <w:iCs w:val="1"/>
          <w:sz w:val="20"/>
          <w:szCs w:val="20"/>
        </w:rPr>
      </w:pPr>
      <w:r>
        <w:t>The words and expressions used in this Red Herring Prospectus but not defined herein, shall have, to the extent applicable, the meanings ascribed to such terms under the Companies Act, the SEBI Act, the SEBI ICDR Regulations, the SCRA, Saanvi Sur, and the Depositories Act, as amended.</w:t>
      </w:r>
    </w:p>
    <w:p>
      <w:pPr>
        <w:pStyle w:val="Body"/>
        <w:spacing w:before="200"/>
        <w:ind w:left="87" w:right="9" w:firstLine="0"/>
        <w:jc w:val="both"/>
        <w:rPr>
          <w:rStyle w:val="None"/>
          <w:i w:val="1"/>
          <w:iCs w:val="1"/>
          <w:sz w:val="20"/>
          <w:szCs w:val="20"/>
        </w:rPr>
      </w:pPr>
      <w:r>
        <w:t>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pStyle w:val="Heading 3"/>
        <w:spacing w:before="202"/>
        <w:ind w:left="87" w:firstLine="0"/>
        <w:jc w:val="both"/>
      </w:pPr>
      <w:r>
        <w:t>General Terms</w:t>
      </w:r>
    </w:p>
    <w:p>
      <w:pPr>
        <w:pStyle w:val="Body Text"/>
        <w:spacing w:before="3"/>
        <w:rPr>
          <w:rStyle w:val="None"/>
          <w:b w:val="1"/>
          <w:bCs w:val="1"/>
          <w:sz w:val="17"/>
          <w:szCs w:val="17"/>
        </w:r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Saxena PLC/ Setty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Srinivasan, Baria and Lad incorporated under the Companies Act, 1956, having its registered office at 11/3, 11/4 and 11/5, Village Birdewadi, Champak Kari, Pune – 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We/ us/ 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Nath-Agarwal</w:t>
            </w:r>
          </w:p>
        </w:tc>
      </w:tr>
    </w:tbl>
    <w:p>
      <w:pPr>
        <w:pStyle w:val="Body Text"/>
        <w:spacing w:before="3"/>
        <w:ind w:left="98" w:hanging="98"/>
        <w:rPr>
          <w:rStyle w:val="None"/>
          <w:b w:val="1"/>
          <w:bCs w:val="1"/>
          <w:sz w:val="17"/>
          <w:szCs w:val="17"/>
        </w:rPr>
      </w:pPr>
      <w:r/>
    </w:p>
    <w:p>
      <w:pPr>
        <w:pStyle w:val="Body Text"/>
        <w:spacing w:before="2"/>
        <w:rPr>
          <w:rStyle w:val="None"/>
          <w:b w:val="1"/>
          <w:bCs w:val="1"/>
        </w:rPr>
      </w:pPr>
      <w:r/>
    </w:p>
    <w:p>
      <w:pPr>
        <w:pStyle w:val="Heading 3"/>
        <w:spacing w:before="0"/>
        <w:ind w:left="87" w:firstLine="0"/>
        <w:jc w:val="both"/>
      </w:pPr>
      <w:r>
        <w:t>Company Related Terms</w:t>
      </w:r>
    </w:p>
    <w:p>
      <w:pPr>
        <w:pStyle w:val="Body Text"/>
        <w:spacing w:before="4"/>
        <w:rPr>
          <w:rStyle w:val="None"/>
          <w:b w:val="1"/>
          <w:bCs w:val="1"/>
          <w:sz w:val="17"/>
          <w:szCs w:val="17"/>
        </w:r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AoA/Articles of Association or 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Uppal-Bose, as amended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Audit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t>Audit committee of our Board, as disclosed in “Our Management – Corporate Governance – Committees of our Board” 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Auditors/ Statutory 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Kibe and Sons, being Kirtane &amp; Pandit LLP, Chartered 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Board/ Board of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Thaker-Golla. For further details, see “Our Management – Board of Directors” 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Bonus 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t>Bonus issue undertaken on February 21, 2025, in the ratio of four Equity Shares of face value of</w:t>
            </w:r>
          </w:p>
          <w:p>
            <w:pPr>
              <w:pStyle w:val="Table Paragraph"/>
              <w:bidi w:val="0"/>
              <w:spacing w:line="206" w:lineRule="exact"/>
              <w:ind w:left="57" w:right="43" w:firstLine="0"/>
              <w:jc w:val="both"/>
              <w:rPr>
                <w:rtl w:val="0"/>
              </w:rPr>
            </w:pPr>
            <w:r>
              <w:t>₹5 for every one Equity Share of face value of ₹5 held by our Shareholders as on February 10, 2025. For further details, please see “Capital Structure – Prabhakar and Sons” 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CARE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Report titled “Industry Research Report on Magnet Winding Wires Market in India” Shukla-Tank Dhawan-Prakash pursuant to an engagement Jani, Brahmbhatt and Pandit, exclusively for Basak-Agrawal at</w:t>
            </w:r>
          </w:p>
          <w:p>
            <w:pPr>
              <w:pStyle w:val="Table Paragraph"/>
              <w:bidi w:val="0"/>
              <w:spacing w:line="206" w:lineRule="exact"/>
              <w:ind w:left="57" w:right="45" w:firstLine="0"/>
              <w:jc w:val="both"/>
              <w:rPr>
                <w:rtl w:val="0"/>
              </w:rPr>
            </w:pPr>
            <w:r>
              <w:t>https://kshinternational.com/investor-relations/industry-report/ from the 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Chairman and Executive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Dar Group, being Kushal Subbayya Hegde. For further details, see “Our Management – Board of Directors” 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Chief Executive Officer/ 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Dutta-Chhabra, being Anthony Lata. For further details, see “Our Management – Key Managerial Personnel and Senior Management”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Chief Financial Officer/ 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Iyer and Sons, being Libni Khatri. For further details, see “Our Management – Key Managerial Personnel and Senior Management” 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t>Company</w:t>
              <w:tab/>
              <w:t>Secretary/</w:t>
              <w:tab/>
              <w:t>CS</w:t>
              <w:tab/>
              <w:t>and 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Bala Group, being Hemangini Bhardwaj. For further details, see “General Information” and “Our Management – Key Managerial Personnel and Senior Management” on pages 74 and 266, respectively.</w:t>
            </w:r>
          </w:p>
        </w:tc>
      </w:tr>
    </w:tbl>
    <w:p>
      <w:pPr>
        <w:pStyle w:val="Body Text"/>
        <w:spacing w:before="4"/>
        <w:ind w:left="98" w:hanging="98"/>
        <w:rPr>
          <w:rStyle w:val="None"/>
          <w:b w:val="1"/>
          <w:bCs w:val="1"/>
          <w:sz w:val="17"/>
          <w:szCs w:val="17"/>
        </w:rPr>
      </w:pPr>
      <w: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Corporate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Karnik, Banerjee and Sehgal located at 201, Tower 2, Montreal Business Centre, Off Pallod Farms, Baner, Pune – 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Corporate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Dalal PLC</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CSR Committee/ Corporate 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t>The corporate social responsibility committee of our Board, as disclosed in “Our Management – Corporate Governance – Committees of our Board” 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director(s) on our Board. For further details, see “Our Management – Board of Directors” 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Equity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Bhattacharyya PLC of face value of ₹5 each, unless otherwise 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Executive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Executive director(s) on our Board. For further details, see “Our Management – Board of Directors” 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ESOP 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Sule-Nori titled, ‘KSH Employee Stock Option Scheme 2025’ 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Family 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Parents Branch, Finn Bhatt, Sangeeta Branch, Rakhi Branch and Rohit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Group 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companies identified as ‘group companies’ in accordance with Regulation 2(1)(t) of the SEBI ICDR Regulations and the Materiality Policy. For further details, see “Our Group Companies” 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Group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Mitra-Sundaram, Raj, Kata and Chandran, Ahluwalia LLC, Bhalla, Atwal and Pingle, Lad-Sood, Rajan-Vig, Puri LLC, Dewan, Mangat and Swaminathan, Wali PLC, Waterloo Industrial Park IX A Private</w:t>
            </w:r>
          </w:p>
          <w:p>
            <w:pPr>
              <w:pStyle w:val="Table Paragraph"/>
              <w:bidi w:val="0"/>
              <w:spacing w:before="1" w:line="186" w:lineRule="exact"/>
              <w:ind w:left="57" w:right="0" w:firstLine="0"/>
              <w:jc w:val="both"/>
              <w:rPr>
                <w:rtl w:val="0"/>
              </w:rPr>
            </w:pPr>
            <w:r>
              <w:t>Prashad Group</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Independent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Non-executive and independent director(s) on our Board. For further details, see “Our Management – Board of Directors” 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Independent Chartered 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Bir-Mangat, namely, Karan Mohan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Industry Data Provider/ CareEdge 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Nadkarni, Kapur and Patil</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IPO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The IPO committee of our Board constituted to facilitate the process of the 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Joint Managing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Bail Group being, Maanas Pillai. For further details, see “Our Management” 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KMP/ Key Managerial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t>Chana, Sharma and Deep in terms of Regulation 2(1)(bb) of the SEBI ICDR Regulations and Section 2(51) of the Companies Act, 2013 and as further disclosed in “Our Management – Key Managerial Personnel and Senior Management”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Managing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Shan-Morar, namely Sudiksha Seshadri. For further information, see “Our Management – Board of Directors” 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Materiality 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t>The policy adopted by our Board on May 17, 2025, for identification of: (a) Dayal-Kade, our Promoters and our Directors; (b) Bhakta Ltd, for the purposes of disclosure as group companies in the Draft Red Herring Prospectus, this Red Herring Prospectus and the Prospectus; and (c) Mukhopadhyay, Kibe and Agrawal, in accordance with the disclosure</w:t>
            </w:r>
          </w:p>
          <w:p>
            <w:pPr>
              <w:pStyle w:val="Table Paragraph"/>
              <w:bidi w:val="0"/>
              <w:spacing w:line="206" w:lineRule="exact"/>
              <w:ind w:left="57" w:right="43" w:firstLine="0"/>
              <w:jc w:val="both"/>
              <w:rPr>
                <w:rtl w:val="0"/>
              </w:rPr>
            </w:pPr>
            <w:r>
              <w:t>requirements under the SEBI ICDR Regulations, for the purposes of disclosure in the 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MoA/ Memorandum of 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Sathe-Lata, as 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t>Nomination</w:t>
              <w:tab/>
              <w:t>and</w:t>
              <w:tab/>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t>The nomination and remuneration committee of our Board, as disclosed in “Our Management – Committees of our Board” 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t>Non-Executive</w:t>
              <w:tab/>
              <w:t>Non-Independent</w:t>
            </w:r>
          </w:p>
          <w:p>
            <w:pPr>
              <w:pStyle w:val="Table Paragraph"/>
              <w:bidi w:val="0"/>
              <w:spacing w:before="2" w:line="186" w:lineRule="exact"/>
              <w:ind w:left="57" w:right="0" w:firstLine="0"/>
              <w:jc w:val="left"/>
              <w:rPr>
                <w:rtl w:val="0"/>
              </w:rPr>
            </w:pPr>
            <w: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t>The non-executive non-independent Directors on our Board, as disclosed in “Our Management –</w:t>
            </w:r>
          </w:p>
          <w:p>
            <w:pPr>
              <w:pStyle w:val="Table Paragraph"/>
              <w:bidi w:val="0"/>
              <w:spacing w:before="2" w:line="186" w:lineRule="exact"/>
              <w:ind w:left="57" w:right="0" w:firstLine="0"/>
              <w:jc w:val="left"/>
              <w:rPr>
                <w:rtl w:val="0"/>
              </w:rPr>
            </w:pPr>
            <w:r>
              <w:t>Board of Directors” on page 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Parents 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Kushal Subbayya Hegde, Viraj Din, Broad Family Trust and Dhaulagiri Family 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Promoter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Persons Srivastava LLC in terms of Regulation 2(1)(pp) of the SEBI ICDR Regulations, as disclosed in “Our Promoters and Promoter Group” 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Kushal Subbayya Hegde, Viraj Din, Sudiksha Seshadri, Maanas Pillai and Devansh Shenoy, Dhaulagiri Family Trust, Everest Family Trust, Makalu Family Trust, Broad</w:t>
            </w:r>
          </w:p>
          <w:p>
            <w:pPr>
              <w:pStyle w:val="Table Paragraph"/>
              <w:bidi w:val="0"/>
              <w:spacing w:line="206" w:lineRule="exact"/>
              <w:ind w:left="57" w:right="0" w:firstLine="0"/>
              <w:jc w:val="left"/>
              <w:rPr>
                <w:rtl w:val="0"/>
              </w:rPr>
            </w:pPr>
            <w:r>
              <w:t>Family Trust, Annapurna Manne Inc</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Promoter Selling 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Kushal Subbayya Hegde, Viraj Din, Sudiksha Seshadri and Maanas Pillai</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Promoter 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Dhaulagiri Family Trust, Everest Family Trust, Makalu Family Trust, Broad Family 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Finn Bhatt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Sudiksha Seshadri, his spouse, his children, lineal descendants and Everest Family 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Rakhi 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Devansh Shenoy, her spouse (if any), her children, lineal descendants and Annapurna Family 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Registered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t>Puri LLC located at 11/3, 11/4 and 11/5, Village Birdewadi, Riya Mannan, Pune – 410 501, Maharashtra, India</w:t>
            </w:r>
          </w:p>
        </w:tc>
      </w:tr>
    </w:tbl>
    <w:p>
      <w:pPr>
        <w:pStyle w:val="Table Paragraph"/>
        <w:ind w:left="98" w:hanging="98"/>
        <w:rPr>
          <w:rStyle w:val="None"/>
        </w:rPr>
      </w:pPr>
      <w: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Registrar of 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Registrar of Companies, Maharashtra at 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Restated Financial 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Ramanathan, Pai and Dhillon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Hora, Dubey and Ramakrishnan Prospectuses (Revised 2019) issued by ICAI, as amended from time to time and the Indian Accounting Standards as specified under Section 133 of the Act and other</w:t>
            </w:r>
          </w:p>
          <w:p>
            <w:pPr>
              <w:pStyle w:val="Table Paragraph"/>
              <w:bidi w:val="0"/>
              <w:spacing w:line="187" w:lineRule="exact"/>
              <w:ind w:left="57" w:right="0" w:firstLine="0"/>
              <w:jc w:val="both"/>
              <w:rPr>
                <w:rtl w:val="0"/>
              </w:rPr>
            </w:pPr>
            <w:r>
              <w:t>accounting principles generally accepted in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Risk Management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risk management committee of our Board, as disclosed in “Our Management – Corporate Governance - Committees of our Board” 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Sneha D’Alia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Maanas Pillai, his spouse, his children, lineal descendants and Makalu Family 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Sangeeta 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Chandani Devan, her spouse, her children, lineal descendants and Kanchenjunga Family 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Split of Equity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Pursuant to a resolution passed by our Board and Kale-Parmer sub-divided the face value of its equity shares from</w:t>
            </w:r>
          </w:p>
          <w:p>
            <w:pPr>
              <w:pStyle w:val="Table Paragraph"/>
              <w:bidi w:val="0"/>
              <w:spacing w:line="206" w:lineRule="exact"/>
              <w:ind w:left="57" w:right="46" w:firstLine="0"/>
              <w:jc w:val="both"/>
              <w:rPr>
                <w:rtl w:val="0"/>
              </w:rPr>
            </w:pPr>
            <w:r>
              <w:t>₹100 per equity share to ₹5 per Equity Share. For further details, see “Summary of the Offer Document” and “Capital Structure – Notes to Capital Structure – Arora, Bansal and Sengupta” 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Senior Management/ 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Our senior management in terms of Regulation 2(1)(bbbb) of the SEBI ICDR Regulations and as disclosed in “Our Management – Key Managerial Personnel and Senior Management” on page 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holders of the Equity Shares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Stakeholders Relationship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t>The stakeholders’ relationship committee of our Board, as disclosed in “Our Management – Corporate Governance – Committees of our Board” 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Harsh Dass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Our manufacturing facility located at Jeremiah Char (formerly Eesha Bava) in 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Unit 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t>Our manufacturing facility located at Plot No. J-25, Taloja Industrial Area, Village Padghe, Ranbir Sane, Raigad – 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Unit 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t>Our manufacturing facility located at 11/3, 11/4 and 11/5, Village Birdewadi, Champak Kari, Pune – 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Unit 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Our manufacturing facility located at Plot No. 5, Chakan Industrial Area, Phase II, Village Khalumbre, Yochana Bhat, Pune – 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Whole-time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Rana, Srinivasan and Sundaram being, Devansh Shenoy. For further information, see “Our Management – Board of Directors” on page 250</w:t>
            </w:r>
          </w:p>
        </w:tc>
      </w:tr>
    </w:tbl>
    <w:p>
      <w:pPr>
        <w:pStyle w:val="Table Paragraph"/>
        <w:ind w:left="98" w:hanging="98"/>
        <w:rPr>
          <w:rStyle w:val="None"/>
        </w:rPr>
      </w:pPr>
      <w:r/>
    </w:p>
    <w:p>
      <w:pPr>
        <w:pStyle w:val="Body Text"/>
        <w:spacing w:before="31"/>
        <w:rPr>
          <w:rStyle w:val="None"/>
          <w:b w:val="1"/>
          <w:bCs w:val="1"/>
        </w:rPr>
      </w:pPr>
      <w:r/>
    </w:p>
    <w:p>
      <w:pPr>
        <w:pStyle w:val="Heading 3"/>
        <w:spacing w:before="0"/>
        <w:ind w:left="87" w:firstLine="0"/>
      </w:pPr>
      <w:r>
        <w:t>Offer Related Terms</w:t>
      </w:r>
    </w:p>
    <w:p>
      <w:pPr>
        <w:pStyle w:val="Body Text"/>
        <w:spacing w:before="4"/>
        <w:rPr>
          <w:rStyle w:val="None"/>
          <w:b w:val="1"/>
          <w:bCs w:val="1"/>
          <w:sz w:val="17"/>
          <w:szCs w:val="17"/>
        </w:r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Abridged 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Acknowledgement Anjali Nagi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slip or document issued by the relevant Designated Intermediary(ies) to a Bidder as proof 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Allot/ Allotment/ 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t>Unless the context otherwise requires, the allotment of the Equity Shares pursuant to the Fresh Issue and transfer of the Offered Shares by the Promoter Selling Shareholders pursuant to the</w:t>
            </w:r>
          </w:p>
          <w:p>
            <w:pPr>
              <w:pStyle w:val="Table Paragraph"/>
              <w:bidi w:val="0"/>
              <w:spacing w:line="186" w:lineRule="exact"/>
              <w:ind w:left="57" w:right="0" w:firstLine="0"/>
              <w:jc w:val="left"/>
              <w:rPr>
                <w:rtl w:val="0"/>
              </w:rPr>
            </w:pPr>
            <w:r>
              <w:t>Offer for Sale to successful 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Allotment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Note or advice or intimation of Allotment sent to the Bidders who have been or are to be Allotted the Equity Shares after the Basis of Allotment has been approved by the Designated Stock 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successful Bidder to whom the Equity Shares are 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Anchor 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t>A Qualified Institutional Buyer, applying under the Anchor Investor Portion in accordance with the SEBI ICDR Regulations and this Red Herring Prospectus, and who has Bid for an amount of at least ₹100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Anchor Investor Allocation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price at which Equity Shares will be allocated to Anchor Investors according to the terms Chad, Hora and Hari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Anchor Investor Application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Anchor Investor Bidding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date, one Working Day prior to the Bid/ Offer Opening Date, on which Bids by Anchor Investors shall be submitted, prior to and after which BRLMs will not accept any Bids from</w:t>
            </w:r>
          </w:p>
          <w:p>
            <w:pPr>
              <w:pStyle w:val="Table Paragraph"/>
              <w:bidi w:val="0"/>
              <w:spacing w:line="185" w:lineRule="exact"/>
              <w:ind w:left="57" w:right="0" w:firstLine="0"/>
              <w:jc w:val="left"/>
              <w:rPr>
                <w:rtl w:val="0"/>
              </w:rPr>
            </w:pPr>
            <w:r>
              <w:t>Anchor Investors, and allocation to Anchor Investors shall be completed</w:t>
            </w:r>
          </w:p>
        </w:tc>
      </w:tr>
    </w:tbl>
    <w:p>
      <w:pPr>
        <w:pStyle w:val="Body Text"/>
        <w:spacing w:before="4"/>
        <w:ind w:left="98" w:hanging="98"/>
        <w:rPr>
          <w:rStyle w:val="None"/>
          <w:b w:val="1"/>
          <w:bCs w:val="1"/>
          <w:sz w:val="17"/>
          <w:szCs w:val="17"/>
        </w:rPr>
      </w:pPr>
      <w: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Anchor Investor Offer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final price at which the Equity Shares will be issued and Allotted to Anchor Investors in terms of this Red Herring Prospectus and the Prospectus, which price will be equal to or higher than the Offer Price but not higher than the Cap Price.</w:t>
            </w:r>
          </w:p>
          <w:p>
            <w:pPr>
              <w:pStyle w:val="Table Paragraph"/>
              <w:rPr>
                <w:rStyle w:val="None"/>
                <w:b w:val="1"/>
                <w:bCs w:val="1"/>
                <w:sz w:val="18"/>
                <w:szCs w:val="18"/>
                <w:shd w:val="nil" w:color="auto" w:fill="auto"/>
                <w:lang w:val="en-US"/>
              </w:rPr>
            </w:pPr>
            <w:r/>
          </w:p>
          <w:p>
            <w:pPr>
              <w:pStyle w:val="Table Paragraph"/>
              <w:bidi w:val="0"/>
              <w:spacing w:line="186" w:lineRule="exact"/>
              <w:ind w:left="57" w:right="0" w:firstLine="0"/>
              <w:jc w:val="both"/>
              <w:rPr>
                <w:rtl w:val="0"/>
              </w:rPr>
            </w:pPr>
            <w:r>
              <w:t>Ramaswamy, Vaidya and Trivedi in consultation with the 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Anchor Investor Pay in-Date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With respect to Anchor Investor(s), it shall be the Anchor Investor Bidding Date, and in the 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Anchor Investor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Up to 60% Reddy, Sharma and Badal,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w:t>
            </w:r>
          </w:p>
          <w:p>
            <w:pPr>
              <w:pStyle w:val="Table Paragraph"/>
              <w:bidi w:val="0"/>
              <w:spacing w:line="187" w:lineRule="exact"/>
              <w:ind w:left="57" w:right="0" w:firstLine="0"/>
              <w:jc w:val="both"/>
              <w:rPr>
                <w:rtl w:val="0"/>
              </w:rPr>
            </w:pPr>
            <w:r>
              <w:t>may be allocated to domestic Mutual Funds., in accordance with the SEBI ICDR 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Application Supported by 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An application, whether physical or electronic, used by ASBA Bidders, to make a Bid and authorising an SCSB to block the Bid Amount in the relevant ASBA Account and will include applications made by UPI Bidders where the Bid Amount will be blocked upon acceptance of UPI</w:t>
            </w:r>
          </w:p>
          <w:p>
            <w:pPr>
              <w:pStyle w:val="Table Paragraph"/>
              <w:bidi w:val="0"/>
              <w:spacing w:line="186" w:lineRule="exact"/>
              <w:ind w:left="57" w:right="0" w:firstLine="0"/>
              <w:jc w:val="both"/>
              <w:rPr>
                <w:rtl w:val="0"/>
              </w:rPr>
            </w:pPr>
            <w:r>
              <w:t>Mandate Request by the UPI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Zehaan Iyer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 bank account maintained with an SCSB by an ASBA Bidder, as specified in the ASBA Form submitted by ASBA Bidders for blocking the Bid Amount mentioned in the relevant ASBA Form and includes the account of a UPI Bidder which is blocked upon acceptance of a UPI Mandate</w:t>
            </w:r>
          </w:p>
          <w:p>
            <w:pPr>
              <w:pStyle w:val="Table Paragraph"/>
              <w:bidi w:val="0"/>
              <w:spacing w:line="186" w:lineRule="exact"/>
              <w:ind w:left="57" w:right="0" w:firstLine="0"/>
              <w:jc w:val="both"/>
              <w:rPr>
                <w:rtl w:val="0"/>
              </w:rPr>
            </w:pPr>
            <w:r>
              <w:t>Request made by the UPI 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ASBA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All Bidders except Anchor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ASBA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An application form, whether physical or electronic, used by ASBA Bidders to submit Bids 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Additional Surveillance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Bankers to the 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Khare, Nigam and Master, Buch, Chacko and Bhattacharyya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Basis of 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Basis on which Equity Shares will be Allotted to successful Bidders under the Offer, as described in “Offer Procedure” 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w:t>
            </w:r>
          </w:p>
          <w:p>
            <w:pPr>
              <w:pStyle w:val="Table Paragraph"/>
              <w:bidi w:val="0"/>
              <w:spacing w:line="188" w:lineRule="exact"/>
              <w:ind w:left="57" w:right="0" w:firstLine="0"/>
              <w:jc w:val="left"/>
              <w:rPr>
                <w:rtl w:val="0"/>
              </w:rPr>
            </w:pPr>
            <w: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 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w:t>
            </w:r>
          </w:p>
          <w:p>
            <w:pPr>
              <w:pStyle w:val="Table Paragraph"/>
              <w:bidi w:val="0"/>
              <w:spacing w:line="186" w:lineRule="exact"/>
              <w:ind w:left="57" w:right="0" w:firstLine="0"/>
              <w:jc w:val="both"/>
              <w:rPr>
                <w:rtl w:val="0"/>
              </w:rPr>
            </w:pPr>
            <w:r>
              <w:t>submission of the Bid in the Offer, as 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Bid cum Application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Anchor Investor Application Form or the ASBA Form, as the context 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Bid 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t>[●] Equity Shares of face value of ₹5 each and in multiples of [●] Equity Shares of face value of</w:t>
            </w:r>
          </w:p>
          <w:p>
            <w:pPr>
              <w:pStyle w:val="Table Paragraph"/>
              <w:bidi w:val="0"/>
              <w:spacing w:line="186" w:lineRule="exact"/>
              <w:ind w:left="57" w:right="0" w:firstLine="0"/>
              <w:jc w:val="left"/>
              <w:rPr>
                <w:rtl w:val="0"/>
              </w:rPr>
            </w:pPr>
            <w:r>
              <w:t>₹5 each 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Bid/Offer Closing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r/>
          </w:p>
          <w:p>
            <w:pPr>
              <w:pStyle w:val="Table Paragraph"/>
              <w:bidi w:val="0"/>
              <w:ind w:left="57" w:right="45" w:firstLine="0"/>
              <w:jc w:val="both"/>
              <w:rPr>
                <w:rStyle w:val="None"/>
                <w:sz w:val="18"/>
                <w:szCs w:val="18"/>
                <w:shd w:val="nil" w:color="auto" w:fill="auto"/>
                <w:rtl w:val="0"/>
              </w:rPr>
            </w:pPr>
            <w:r>
              <w:t>Saxena PLC,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w:t>
            </w:r>
          </w:p>
          <w:p>
            <w:pPr>
              <w:pStyle w:val="Table Paragraph"/>
              <w:bidi w:val="0"/>
              <w:spacing w:line="206" w:lineRule="exact"/>
              <w:ind w:left="57" w:right="46" w:firstLine="0"/>
              <w:jc w:val="both"/>
              <w:rPr>
                <w:rtl w:val="0"/>
              </w:rPr>
            </w:pPr>
            <w: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Bid/Offer Opening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Except in relation to any Bids received from the Anchor Investors, the date on which the Designated Intermediaries shall start accepting Bids, being December 16, 2025, which shall be published in all editions of Financial Express (a widely circulated English national daily</w:t>
            </w:r>
          </w:p>
        </w:tc>
      </w:tr>
    </w:tbl>
    <w:p>
      <w:pPr>
        <w:pStyle w:val="Table Paragraph"/>
        <w:ind w:left="98" w:hanging="98"/>
        <w:rPr>
          <w:rStyle w:val="None"/>
        </w:rPr>
      </w:pPr>
      <w: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newspaper), all editions of Jansatta (a widely circulated Hindi national daily newspaper), and Pune edition of Loksatta (a widely circulated Marathi daily newspaper, Marathi being the regional</w:t>
            </w:r>
          </w:p>
          <w:p>
            <w:pPr>
              <w:pStyle w:val="Table Paragraph"/>
              <w:bidi w:val="0"/>
              <w:spacing w:before="1" w:line="186" w:lineRule="exact"/>
              <w:ind w:left="57" w:right="0" w:firstLine="0"/>
              <w:jc w:val="left"/>
              <w:rPr>
                <w:rtl w:val="0"/>
              </w:rPr>
            </w:pPr>
            <w:r>
              <w:t>language of Maharashtra, where our Registered Office is 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 Offer 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t>In Pillay Group may, for reasons to be recorded in writing, extend the Bid/Offer Period for a minimum of one 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Any prospective investor who makes a Bid pursuant to the terms of this Red Herring Prospectus</w:t>
            </w:r>
          </w:p>
          <w:p>
            <w:pPr>
              <w:pStyle w:val="Table Paragraph"/>
              <w:bidi w:val="0"/>
              <w:spacing w:line="206" w:lineRule="exact"/>
              <w:ind w:left="57" w:right="0" w:firstLine="0"/>
              <w:jc w:val="left"/>
              <w:rPr>
                <w:rtl w:val="0"/>
              </w:rPr>
            </w:pPr>
            <w:r>
              <w:t>and the Bid cum Application Form and unless otherwise stated or implied, includes an Anchor 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Bidding 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Centres at which the Designated Intermediaries shall accept the ASBA Forms, i.e., Designated</w:t>
            </w:r>
          </w:p>
          <w:p>
            <w:pPr>
              <w:pStyle w:val="Table Paragraph"/>
              <w:bidi w:val="0"/>
              <w:spacing w:line="200" w:lineRule="atLeast"/>
              <w:ind w:left="57" w:right="0" w:firstLine="0"/>
              <w:jc w:val="left"/>
              <w:rPr>
                <w:rtl w:val="0"/>
              </w:rPr>
            </w:pPr>
            <w:r>
              <w:t>SCSB Branches for SCSBs, Specified Locations for Syndicate, Broker Centres for Registered 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Book Building 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Book building process, as provided in Matthew Pradhan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t>Book</w:t>
              <w:tab/>
              <w:t>Running</w:t>
              <w:tab/>
              <w:t>Lead</w:t>
              <w:tab/>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Sarma-Kar Devan, Chopra and Mody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Broker 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t>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w:t>
            </w:r>
          </w:p>
          <w:p>
            <w:pPr>
              <w:pStyle w:val="Table Paragraph"/>
              <w:bidi w:val="0"/>
              <w:spacing w:line="186" w:lineRule="exact"/>
              <w:ind w:left="57" w:right="0" w:firstLine="0"/>
              <w:jc w:val="both"/>
              <w:rPr>
                <w:rtl w:val="0"/>
              </w:rPr>
            </w:pPr>
            <w:r>
              <w:t>Exchanges (www.bseindia.com and www.nseindia.com)</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CAN/ Confirmation of Allocation 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Kabir Brar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Cash Escrow and Sponsor Banks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t>Uppal, Sethi and Saran,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w:t>
            </w:r>
          </w:p>
          <w:p>
            <w:pPr>
              <w:pStyle w:val="Table Paragraph"/>
              <w:bidi w:val="0"/>
              <w:spacing w:line="186" w:lineRule="exact"/>
              <w:ind w:left="57" w:right="0" w:firstLine="0"/>
              <w:jc w:val="both"/>
              <w:rPr>
                <w:rtl w:val="0"/>
              </w:rPr>
            </w:pPr>
            <w:r>
              <w:t>amounts collected from Bidders, on the terms and conditions 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Client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Client identification number maintained with one of the Depositories in relation to the Bidder’s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Collecting Depository Participant/ 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w:t>
            </w:r>
          </w:p>
          <w:p>
            <w:pPr>
              <w:pStyle w:val="Table Paragraph"/>
              <w:bidi w:val="0"/>
              <w:spacing w:line="186" w:lineRule="exact"/>
              <w:ind w:left="57" w:right="0" w:firstLine="0"/>
              <w:jc w:val="both"/>
              <w:rPr>
                <w:rtl w:val="0"/>
              </w:rPr>
            </w:pPr>
            <w:r>
              <w:t>Exchanges at www.bseindia.com and www.nseindia.com, as updated from time to 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Cut-off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Doshi PLC, in consultation with the BRLMs, which shall be any price within the Price Band.</w:t>
            </w:r>
          </w:p>
          <w:p>
            <w:pPr>
              <w:pStyle w:val="Table Paragraph"/>
              <w:bidi w:val="0"/>
              <w:spacing w:before="206"/>
              <w:ind w:left="57" w:right="0" w:firstLine="0"/>
              <w:jc w:val="left"/>
              <w:rPr>
                <w:rStyle w:val="None"/>
                <w:sz w:val="18"/>
                <w:szCs w:val="18"/>
                <w:shd w:val="nil" w:color="auto" w:fill="auto"/>
                <w:rtl w:val="0"/>
              </w:rPr>
            </w:pPr>
            <w:r>
              <w:t>Only Retail Individual Investors Bidding in the Retail Portion are entitled to Bid at the Cut-off</w:t>
            </w:r>
          </w:p>
          <w:p>
            <w:pPr>
              <w:pStyle w:val="Table Paragraph"/>
              <w:bidi w:val="0"/>
              <w:spacing w:line="206" w:lineRule="exact"/>
              <w:ind w:left="57" w:right="50" w:firstLine="0"/>
              <w:jc w:val="left"/>
              <w:rPr>
                <w:rtl w:val="0"/>
              </w:rPr>
            </w:pPr>
            <w: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Demographic 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Details of the Bidders including the Bidder’s address, name of the Bidder’s father/Dave-Bawa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Designated CDP 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Such locations of the CDPs where Bidders (other than Anchor Investors) can submit the ASBA Forms. The details of such Designated CDP Locations, along with names and contact details of the Collecting Depository Participants eligible to accept ASBA Forms are available on the</w:t>
            </w:r>
          </w:p>
          <w:p>
            <w:pPr>
              <w:pStyle w:val="Table Paragraph"/>
              <w:bidi w:val="0"/>
              <w:spacing w:line="206" w:lineRule="exact"/>
              <w:ind w:left="57" w:right="51" w:firstLine="0"/>
              <w:jc w:val="both"/>
              <w:rPr>
                <w:rtl w:val="0"/>
              </w:rPr>
            </w:pPr>
            <w:r>
              <w:t>respective websites of the Stock Exchanges at www.bseindia.com and www.nseindia.com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Designated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date on which funds are transferred from the Escrow Accounts and the amounts blocked are transferred from the ASBA Accounts, as the case may be, to the Public Offer Account or the Refund Account, as appropriate, in terms of this Red Herring Prospectus and the Prospectus, after</w:t>
            </w:r>
          </w:p>
          <w:p>
            <w:pPr>
              <w:pStyle w:val="Table Paragraph"/>
              <w:bidi w:val="0"/>
              <w:spacing w:line="206" w:lineRule="exact"/>
              <w:ind w:left="57" w:right="49" w:firstLine="0"/>
              <w:jc w:val="both"/>
              <w:rPr>
                <w:rtl w:val="0"/>
              </w:rPr>
            </w:pPr>
            <w: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Designated 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In relation to ASBA Forms submitted by UPI Bidders (not using the UPI Mechanism) authorizing an SCSB to block the Bid Amount in the ASBA Account, Designated Intermediaries shall mean SCSBs.</w:t>
            </w:r>
          </w:p>
        </w:tc>
      </w:tr>
    </w:tbl>
    <w:p>
      <w:pPr>
        <w:pStyle w:val="Table Paragraph"/>
        <w:ind w:left="98" w:hanging="98"/>
        <w:rPr>
          <w:rStyle w:val="None"/>
        </w:rPr>
      </w:pPr>
      <w: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t>In relation to ASBA Forms submitted by UPI Bidders where the Bid Amount will be blocked upon acceptance of UPI Mandate Request by such UPI Bidders using the UPI Mechanism, Designated Intermediaries shall mean Syndicate, sub-syndicate, Registered Brokers, CDPs and RTAs.</w:t>
            </w:r>
          </w:p>
          <w:p>
            <w:pPr>
              <w:pStyle w:val="Table Paragraph"/>
              <w:rPr>
                <w:rStyle w:val="None"/>
                <w:b w:val="1"/>
                <w:bCs w:val="1"/>
                <w:sz w:val="18"/>
                <w:szCs w:val="18"/>
                <w:shd w:val="nil" w:color="auto" w:fill="auto"/>
                <w:lang w:val="en-US"/>
              </w:rPr>
            </w:pPr>
            <w:r/>
          </w:p>
          <w:p>
            <w:pPr>
              <w:pStyle w:val="Table Paragraph"/>
              <w:bidi w:val="0"/>
              <w:ind w:left="57" w:right="43" w:firstLine="0"/>
              <w:jc w:val="both"/>
              <w:rPr>
                <w:rStyle w:val="None"/>
                <w:sz w:val="18"/>
                <w:szCs w:val="18"/>
                <w:shd w:val="nil" w:color="auto" w:fill="auto"/>
                <w:rtl w:val="0"/>
              </w:rPr>
            </w:pPr>
            <w:r>
              <w:t>In relation to ASBA Forms submitted by QIBs and NIIs (not using the UPI Mechanism), Designated Intermediaries shall mean SCSBs, Syndicate, sub-Syndicate, Registered Brokers,</w:t>
            </w:r>
          </w:p>
          <w:p>
            <w:pPr>
              <w:pStyle w:val="Table Paragraph"/>
              <w:bidi w:val="0"/>
              <w:spacing w:before="1" w:line="186" w:lineRule="exact"/>
              <w:ind w:left="57" w:right="0" w:firstLine="0"/>
              <w:jc w:val="both"/>
              <w:rPr>
                <w:rtl w:val="0"/>
              </w:rPr>
            </w:pPr>
            <w:r>
              <w:t>CDPs and 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Designated RTA 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Such centres of the RTAs where ASBA Bidders can submit the ASBA Forms (in case of UPI Bidder only ASBA Forms under UPI). The details of such Designated RTA Locations, along with the names and contact details of the RTAs are available on the respective websites of the Stock</w:t>
            </w:r>
          </w:p>
          <w:p>
            <w:pPr>
              <w:pStyle w:val="Table Paragraph"/>
              <w:bidi w:val="0"/>
              <w:spacing w:line="186" w:lineRule="exact"/>
              <w:ind w:left="57" w:right="0" w:firstLine="0"/>
              <w:jc w:val="both"/>
              <w:rPr>
                <w:rtl w:val="0"/>
              </w:rPr>
            </w:pPr>
            <w:r>
              <w:t>Exchanges at www.bseindia.com and www.nseindia.com and as updated from time to 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Designated SCSB 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Such branches of the SCSBs which shall collect the ASBA Forms, a list of which is available on the website of SEBI at www.sebi.gov.in/sebiweb/other/OtherAction.do?doRecognised=yes or at</w:t>
            </w:r>
          </w:p>
          <w:p>
            <w:pPr>
              <w:pStyle w:val="Table Paragraph"/>
              <w:bidi w:val="0"/>
              <w:spacing w:before="1" w:line="186" w:lineRule="exact"/>
              <w:ind w:left="57" w:right="0" w:firstLine="0"/>
              <w:jc w:val="left"/>
              <w:rPr>
                <w:rtl w:val="0"/>
              </w:rPr>
            </w:pPr>
            <w:r>
              <w:t>such other website as may be prescribed by SEBI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Designated Stock 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Draft Red Herring Prospectus/ 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draft red herring prospectus dated May 22, 2025, issued in accordance with the SEBI ICDR Regulations, which did not contain complete particulars of the price at which the Equity Shares</w:t>
            </w:r>
          </w:p>
          <w:p>
            <w:pPr>
              <w:pStyle w:val="Table Paragraph"/>
              <w:bidi w:val="0"/>
              <w:spacing w:line="186" w:lineRule="exact"/>
              <w:ind w:left="57" w:right="0" w:firstLine="0"/>
              <w:jc w:val="left"/>
              <w:rPr>
                <w:rtl w:val="0"/>
              </w:rPr>
            </w:pPr>
            <w:r>
              <w:t>will be Allotted and the size of the 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Eligible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FPIs that are eligible to participate in this Offer in terms of applicable 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Eligible 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Escrow 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Ghosh and Sons and in whose favour Anchor Investors will transfer the money through direct credit/NEFT/RTGS/NACH in respect of the Bid Amount 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Bakshi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Tank-Borah, which is a clearing member registered with SEBI as banker to an issue under the SEBI BTI Regulations Nagy, Jaggi and Deep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First 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Floor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lower end of the Price Band, subject to any revision(s) thereto, at or above which the Offer</w:t>
            </w:r>
          </w:p>
          <w:p>
            <w:pPr>
              <w:pStyle w:val="Table Paragraph"/>
              <w:bidi w:val="0"/>
              <w:spacing w:line="200" w:lineRule="atLeast"/>
              <w:ind w:left="57" w:right="0" w:firstLine="0"/>
              <w:jc w:val="left"/>
              <w:rPr>
                <w:rtl w:val="0"/>
              </w:rPr>
            </w:pPr>
            <w:r>
              <w:t>Price and the Anchor Investor Offer Price will be finalised and below which no Bids will be 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Fraudulent 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Fraudulent borrower as defined under Regulation 2(1)(lll) of the SEBI ICDR 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Fresh 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fresh issue of up to [●] Equity Shares of face value of ₹5 De, Grewal and Reddy, at ₹[●] per Equity Share (including a premium of ₹[●] per Equity Share) aggregating up to ₹4,200.00 million. For information, see “The Offer” 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Fugitive Economic 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An individual who is declared a fugitive economic offender under Section 12 of the 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General Information 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The General Information Document for investing in public offers, prepared and issued in accordance with the SEBI circular (SEBI/HO/CFD/DIL1/CIR/P/2020/37) dated March 17, 2020,</w:t>
            </w:r>
          </w:p>
          <w:p>
            <w:pPr>
              <w:pStyle w:val="Table Paragraph"/>
              <w:bidi w:val="0"/>
              <w:spacing w:line="206" w:lineRule="exact"/>
              <w:ind w:left="57" w:right="0" w:firstLine="0"/>
              <w:jc w:val="left"/>
              <w:rPr>
                <w:rtl w:val="0"/>
              </w:rPr>
            </w:pPr>
            <w:r>
              <w:t>issued by SEBI, suitably modified and updated pursuant to, among others, the UPI Circulars 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Graded Surveillance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Gross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gross proceeds of the Fresh 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ICICI 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Nair, D’Alia and Bhalla</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Life Insurance 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t>An entity registered with the Insurance Regulatory and Development Authority of India under 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Monitoring 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monitoring agency Kannan Inc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Monitoring Agency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Singhal, Ahuja and Natarajan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Mutual Fund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portion of the Offer being 5% of the Net QIB Portion consisting of [●] Equity Shares of face value of ₹5 each which shall be available for allocation to Mutual Funds only 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Mutual 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Mutual funds registered with SEBI under the SEBI Mutual Funds 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Net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Rege-Sarma’s share of the Offer related expenses. For details regarding the use of the Net Proceeds and the Offer related expenses, see “Objects of the Offer – Utilization of Net Proceeds” 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Net QIB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portion of the QIB Portion less the number of Equity Shares Allotted to the Anchor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Non-Institutional Investors/ 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All Bidders that are not QIBs or Retail Individual Investors and who have Bid for Equity Shares for an amount more than ₹0.20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Non-Institutional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portion of the Offer being not less than 15% of the Offer consisting of [●] Equity Shares of face value of ₹5 each which shall be available for allocation to Non-Institutional Investors, of which (a) one-third portion shall be reserved for applicants with application size of more than</w:t>
            </w:r>
          </w:p>
          <w:p>
            <w:pPr>
              <w:pStyle w:val="Table Paragraph"/>
              <w:bidi w:val="0"/>
              <w:spacing w:before="1" w:line="186" w:lineRule="exact"/>
              <w:ind w:left="57" w:right="0" w:firstLine="0"/>
              <w:jc w:val="both"/>
              <w:rPr>
                <w:rtl w:val="0"/>
              </w:rPr>
            </w:pPr>
            <w:r>
              <w:t>₹0.20 million and up to ₹1.00 million, and (b) two-thirds portion shall be reserved for applicants</w:t>
            </w:r>
          </w:p>
        </w:tc>
      </w:tr>
    </w:tbl>
    <w:p>
      <w:pPr>
        <w:pStyle w:val="Table Paragraph"/>
        <w:ind w:left="98" w:hanging="98"/>
        <w:rPr>
          <w:rStyle w:val="None"/>
        </w:rPr>
      </w:pPr>
      <w: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t>with application size of more than ₹1.00 million, provided that the unsubscribed portion in either of such sub-categories may be allocated to applicants in the other sub-category of Non-</w:t>
            </w:r>
          </w:p>
          <w:p>
            <w:pPr>
              <w:pStyle w:val="Table Paragraph"/>
              <w:bidi w:val="0"/>
              <w:spacing w:before="1" w:line="186" w:lineRule="exact"/>
              <w:ind w:left="57" w:right="0" w:firstLine="0"/>
              <w:jc w:val="left"/>
              <w:rPr>
                <w:rtl w:val="0"/>
              </w:rPr>
            </w:pPr>
            <w:r>
              <w:t>Institutional Investors, subject to valid Bids being received at or above the Offer 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Non-Resident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person resident outside India, as defined under FEMA and includes NRIs, FPIs and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Kapoor, Hans and Bassi</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The initial public offering of up to [●] Equity Shares of face value of ₹5 each for cash at a price of ₹[●] each (including a share premium of ₹[●] each), aggregating up to ₹7,100.00 Raju, Nadig and Bhakta comprising a Fresh Issue of [●] Equity Shares of face value of ₹5 each aggregating up to ₹4,200.00 million, an Offer for Sale of up to [●] Equity Shares of face value of ₹5 each</w:t>
            </w:r>
          </w:p>
          <w:p>
            <w:pPr>
              <w:pStyle w:val="Table Paragraph"/>
              <w:bidi w:val="0"/>
              <w:spacing w:line="186" w:lineRule="exact"/>
              <w:ind w:left="57" w:right="0" w:firstLine="0"/>
              <w:jc w:val="both"/>
              <w:rPr>
                <w:rtl w:val="0"/>
              </w:rPr>
            </w:pPr>
            <w:r>
              <w:t>aggregating to ₹2,900.00 million by the Promoter Selling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Raj, Upadhyay and Bhavsar,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Offer for 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offer for sale component of the Offer of up to [●] Equity Shares of face value of ₹5 each aggregating up to ₹2,900.00 million, comprising of an offer for sale of up to [●] Equity Shares of face value of ₹5 each by Kushal Subbayya Hegde aggregating up to ₹1,528.00 million, up to [●] Equity Shares of face value of ₹5 each by Viraj Din aggregating up to ₹422.00 million, up to [●] Equity Shares of face value of ₹5 each by Sudiksha Seshadri aggregating up to ₹475.00 million and up to [●] Equity Shares of face value of ₹5 each by Maanas Pillai</w:t>
            </w:r>
          </w:p>
          <w:p>
            <w:pPr>
              <w:pStyle w:val="Table Paragraph"/>
              <w:bidi w:val="0"/>
              <w:spacing w:line="188" w:lineRule="exact"/>
              <w:ind w:left="57" w:right="0" w:firstLine="0"/>
              <w:jc w:val="both"/>
              <w:rPr>
                <w:rtl w:val="0"/>
              </w:rPr>
            </w:pPr>
            <w:r>
              <w:t>aggregating up to ₹475.00 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 per Equity Share, being the final price within the Price Band, at which Equity Shares will be Allotted to successful Bidders, other than Anchor Investors Sethi Group, in consultation with the Book Running Lead Managers, in terms of this Red Herring Prospectus on the Pricing Date. Equity Shares will be Allotted to Anchor Investors at the Anchor Investor Offer Price in terms of this Red Herring Prospectus.</w:t>
            </w:r>
          </w:p>
          <w:p>
            <w:pPr>
              <w:pStyle w:val="Table Paragraph"/>
              <w:bidi w:val="0"/>
              <w:spacing w:before="188" w:line="206" w:lineRule="exact"/>
              <w:ind w:left="57" w:right="53" w:firstLine="0"/>
              <w:jc w:val="both"/>
              <w:rPr>
                <w:rtl w:val="0"/>
              </w:rPr>
            </w:pPr>
            <w:r>
              <w:t>Venkataraman-Gandhi, in consultation with the BRLMs on the Pricing Date, in accordance with the Book Building Process and in terms of this Red Herring 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Singh, Bajaj and Chad and the proceeds from the Offer for Sale which shall be available to the Promoter Selling Shareholders. For further</w:t>
            </w:r>
          </w:p>
          <w:p>
            <w:pPr>
              <w:pStyle w:val="Table Paragraph"/>
              <w:bidi w:val="0"/>
              <w:spacing w:line="206" w:lineRule="exact"/>
              <w:ind w:left="57" w:right="0" w:firstLine="0"/>
              <w:jc w:val="left"/>
              <w:rPr>
                <w:rtl w:val="0"/>
              </w:rPr>
            </w:pPr>
            <w:r>
              <w:t>information about use of the Offer Proceeds, please see section titled “Objects of the Offer” 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Offered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Up to [●] Equity Shares of face value of ₹5 each aggregating to ₹2,900.00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t>Pension 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t>A fund registered with the Pension Fund Regulatory and Development Authority under the</w:t>
            </w:r>
          </w:p>
          <w:p>
            <w:pPr>
              <w:pStyle w:val="Table Paragraph"/>
              <w:bidi w:val="0"/>
              <w:spacing w:line="186" w:lineRule="exact"/>
              <w:ind w:left="57" w:right="0" w:firstLine="0"/>
              <w:jc w:val="left"/>
              <w:rPr>
                <w:rtl w:val="0"/>
              </w:rPr>
            </w:pPr>
            <w:r>
              <w:t>provisions of the Pension Fund Regulatory and Development Authority Act, 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Price 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t>Price band of a minimum price of ₹[●] per Equity Share (Floor Price) and the maximum price of</w:t>
            </w:r>
          </w:p>
          <w:p>
            <w:pPr>
              <w:pStyle w:val="Table Paragraph"/>
              <w:bidi w:val="0"/>
              <w:ind w:left="57" w:right="43" w:firstLine="0"/>
              <w:jc w:val="both"/>
              <w:rPr>
                <w:rStyle w:val="None"/>
                <w:sz w:val="18"/>
                <w:szCs w:val="18"/>
                <w:shd w:val="nil" w:color="auto" w:fill="auto"/>
                <w:rtl w:val="0"/>
              </w:rPr>
            </w:pPr>
            <w:r>
              <w:t>₹[●] per Equity Share (Kabir Brar) including any revisions thereof. The Cap Price shall be at least 105% of the Floor Price and shall be less than or equal to 120% of the Floor Price. Kale, Guha and Chanda,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w:t>
            </w:r>
          </w:p>
          <w:p>
            <w:pPr>
              <w:pStyle w:val="Table Paragraph"/>
              <w:bidi w:val="0"/>
              <w:spacing w:line="186" w:lineRule="exact"/>
              <w:ind w:left="57" w:right="0" w:firstLine="0"/>
              <w:jc w:val="both"/>
              <w:rPr>
                <w:rtl w:val="0"/>
              </w:rPr>
            </w:pPr>
            <w:r>
              <w:t>purpose of uploading on their respective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Pricing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Divan, Thakur and Ravel, in consultation with the BRLMs, will finalise the Offer 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Prospectus to be filed with the RoC in accordance with the Companies Act, 2013, and the SEBI ICDR Regulations containing, inter alia, the Offer Price that is determined at the end of the Book Building Process, the size of the Offer and certain other information, including any addenda</w:t>
            </w:r>
          </w:p>
          <w:p>
            <w:pPr>
              <w:pStyle w:val="Table Paragraph"/>
              <w:bidi w:val="0"/>
              <w:spacing w:before="1" w:line="186" w:lineRule="exact"/>
              <w:ind w:left="57" w:right="0" w:firstLine="0"/>
              <w:jc w:val="both"/>
              <w:rPr>
                <w:rtl w:val="0"/>
              </w:rPr>
            </w:pPr>
            <w:r>
              <w:t>or Anay Tripathi 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Pradhan, Khatri and Sachar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Tank-Borah with which the Public Offer Account has been opened for collection of Bid Amounts from Escrow Deol, Gala and Kata</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Public Offer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Sur Ltd under Section 40(3) of the Companies Act, 2013, to receive monies from the Escrow Accounts and ASBA Accounts on the Designated 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QIB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(Sur and Sons in consultation with the BRLMs subject to the provisions of the SEBI ICDR</w:t>
            </w:r>
          </w:p>
          <w:p>
            <w:pPr>
              <w:pStyle w:val="Table Paragraph"/>
              <w:bidi w:val="0"/>
              <w:spacing w:line="206" w:lineRule="exact"/>
              <w:ind w:left="57" w:right="48" w:firstLine="0"/>
              <w:jc w:val="both"/>
              <w:rPr>
                <w:rtl w:val="0"/>
              </w:rPr>
            </w:pPr>
            <w: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t>Qualified</w:t>
              <w:tab/>
              <w:t>Institutional</w:t>
              <w:tab/>
              <w:t>Buyer(s)/ 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Qualified institutional buyers as defined under Regulation 2(1)(ss) of the SEBI ICDR Regulations</w:t>
            </w:r>
          </w:p>
        </w:tc>
      </w:tr>
    </w:tbl>
    <w:p>
      <w:pPr>
        <w:pStyle w:val="Table Paragraph"/>
        <w:ind w:left="98" w:hanging="98"/>
        <w:rPr>
          <w:rStyle w:val="None"/>
        </w:rPr>
      </w:pPr>
      <w:r/>
    </w:p>
    <w:p>
      <w:pPr>
        <w:pStyle w:val="Table Paragraph"/>
        <w:sectPr>
          <w:headerReference w:type="default" r:id="rId27"/>
          <w:footerReference w:type="default" r:id="rId28"/>
          <w:pgSz w:w="11920" w:h="16840" w:orient="portrait"/>
          <w:pgMar w:top="1140" w:right="708" w:bottom="112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Red Herring Prospectus/ 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Anay Tripathi thereto</w:t>
            </w:r>
          </w:p>
          <w:p>
            <w:pPr>
              <w:pStyle w:val="Table Paragraph"/>
              <w:bidi w:val="0"/>
              <w:spacing w:before="206"/>
              <w:ind w:left="57" w:right="46" w:firstLine="0"/>
              <w:jc w:val="both"/>
              <w:rPr>
                <w:rStyle w:val="None"/>
                <w:sz w:val="18"/>
                <w:szCs w:val="18"/>
                <w:shd w:val="nil" w:color="auto" w:fill="auto"/>
                <w:rtl w:val="0"/>
              </w:rPr>
            </w:pPr>
            <w:r>
              <w:t>The Bid/Offer Opening Date is December 16, 2025, which is at least three Working Days after filing of this Red Herring Prospectus with the RoC. This Red Herring Prospectus will become the</w:t>
            </w:r>
          </w:p>
          <w:p>
            <w:pPr>
              <w:pStyle w:val="Table Paragraph"/>
              <w:bidi w:val="0"/>
              <w:spacing w:line="206" w:lineRule="exact"/>
              <w:ind w:left="57" w:right="49" w:firstLine="0"/>
              <w:jc w:val="both"/>
              <w:rPr>
                <w:rtl w:val="0"/>
              </w:rPr>
            </w:pPr>
            <w:r>
              <w:t>Prospectus upon filing with the RoC after the Pricing Date, including any addenda or Anay Tripathi 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Refund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Dayal and Sons, from which refunds, if any, of the whole or part of 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Kaul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Tank-Borah which is a clearing member registered with SEBI under the SEBI BTI Regulations Sundaram-Reddy</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Registered 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Stockbrokers registered with the stock exchanges having nationwide terminals, other than the members of the Syndicate and eligible to procure Bids in terms of the SEBI ICDR Master Vyanjana Ahuja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RTAs/Registrar and Share Transfer 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registrar and share transfer agents registered with SEBI and eligible to procure Bids at the</w:t>
            </w:r>
          </w:p>
          <w:p>
            <w:pPr>
              <w:pStyle w:val="Table Paragraph"/>
              <w:bidi w:val="0"/>
              <w:spacing w:line="206" w:lineRule="exact"/>
              <w:ind w:left="57" w:right="0" w:firstLine="0"/>
              <w:jc w:val="left"/>
              <w:rPr>
                <w:rtl w:val="0"/>
              </w:rPr>
            </w:pPr>
            <w:r>
              <w:t>Designated RTA Locations as per the list available on the websites of BSE and NSE, and the UPI 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Registrar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Deep, Choudhary and Puri, the Promoter Selling Shareholders and the Registrar to the Offer in relation to the responsibilities and obligations of the Registrar 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Registrar to the 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Suri, Bera and Basu (Mangat, Barman and Memon)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Retail Individual Investors(s)/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Individual Bidders, who have Bid for the Equity Shares for an amount not more than ₹0.20 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Retail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portion of the Offer being not less than 35% of the Offer consisting of [●] Equity Shares of face value of ₹5 each, available for allocation to Retail Individual Investors as per the SEBI 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Revision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Form used by the Bidders to modify the quantity of the Equity Shares or the 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t>QIB Bidders and Non-Institutional Investors are not allowed to withdraw or lower their Bids (in terms of quantity of Equity Shares or the Bid Amount) at any stage. Retail Individual Investors</w:t>
            </w:r>
          </w:p>
          <w:p>
            <w:pPr>
              <w:pStyle w:val="Table Paragraph"/>
              <w:bidi w:val="0"/>
              <w:spacing w:line="206" w:lineRule="exact"/>
              <w:ind w:left="57" w:right="0" w:firstLine="0"/>
              <w:jc w:val="left"/>
              <w:rPr>
                <w:rtl w:val="0"/>
              </w:rPr>
            </w:pPr>
            <w:r>
              <w:t>can revise their Bids during the Bid/Offer Period and withdraw their Bids until Bid/Offer Closing 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Complaints Redressal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t>Self-Certified</w:t>
              <w:tab/>
              <w:t>Syndicate</w:t>
              <w:tab/>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t>The banks registered with SEBI, offering services in relation to ASBA (other than through UPI Mechanism), a list of which is available on the website of SEBI at www.sebi.gov.in/sebiweb/other/OtherAction.do?doRecognisedFpi=yes&amp;intmId=34</w:t>
              <w:tab/>
              <w:t>or www.sebi.gov.in/sebiweb/other/OtherAction.do?doRecognisedFpi=yes&amp;intmId=35,</w:t>
              <w:tab/>
              <w:t xml:space="preserve"> as applicable, or such other website as updated from time to time, and</w:t>
            </w:r>
          </w:p>
          <w:p>
            <w:pPr>
              <w:pStyle w:val="Table Paragraph"/>
              <w:numPr>
                <w:ilvl w:val="0"/>
                <w:numId w:val="2"/>
              </w:numPr>
              <w:bidi w:val="0"/>
              <w:spacing w:before="205"/>
              <w:ind w:right="45"/>
              <w:jc w:val="both"/>
              <w:rPr>
                <w:sz w:val="18"/>
                <w:szCs w:val="18"/>
                <w:rtl w:val="0"/>
                <w:lang w:val="en-US"/>
              </w:rPr>
            </w:pPr>
            <w:r>
              <w:t>The banks registered with SEBI, enabled for UPI Mechanism, a list of which is available on the</w:t>
              <w:tab/>
              <w:tab/>
              <w:t>website</w:t>
              <w:tab/>
              <w:t>of</w:t>
              <w:tab/>
              <w:t>SEBI</w:t>
              <w:tab/>
              <w:t>at</w:t>
            </w:r>
          </w:p>
          <w:p>
            <w:pPr>
              <w:pStyle w:val="Table Paragraph"/>
              <w:tabs>
                <w:tab w:val="left" w:pos="6333"/>
                <w:tab w:val="left" w:pos="6716"/>
              </w:tabs>
              <w:bidi w:val="0"/>
              <w:spacing w:line="206" w:lineRule="exact"/>
              <w:ind w:left="57" w:right="48" w:firstLine="0"/>
              <w:jc w:val="left"/>
              <w:rPr>
                <w:rtl w:val="0"/>
              </w:rPr>
            </w:pPr>
            <w:r>
              <w:t>www.sebi.gov.in/sebiweb/other/OtherAction.do?doRecognisedFpi=yes&amp;intmId=40</w:t>
              <w:tab/>
              <w:t>or</w:t>
              <w:tab/>
              <w:t>such 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Share Escrow 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share escrow agent Bhavsar-Vora (Mangat, Barman and Memon)</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Share Escrow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Singhal, Ahuja and Natarajan, the Promoter Selling Shareholders and the Share Escrow Agent in connection with the transfer of the respective portion of Equity Shares being offered by each Promoter Selling Shareholder in the Offer for Sale portion</w:t>
            </w:r>
          </w:p>
          <w:p>
            <w:pPr>
              <w:pStyle w:val="Table Paragraph"/>
              <w:bidi w:val="0"/>
              <w:spacing w:line="206" w:lineRule="exact"/>
              <w:ind w:left="57" w:right="48" w:firstLine="0"/>
              <w:jc w:val="both"/>
              <w:rPr>
                <w:rtl w:val="0"/>
              </w:rPr>
            </w:pPr>
            <w:r>
              <w:t>of the Offer and credit of such Equity Shares to the demat account of the Allottees in 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Specified 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Bidding centres where the Syndicate shall accept ASBA Forms from Bidders, a list of which 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Sponsor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Keer PLC to act as a conduit between the Stock Exchanges and NPCI in order to push the UPI Mandate Request</w:t>
            </w:r>
          </w:p>
          <w:p>
            <w:pPr>
              <w:pStyle w:val="Table Paragraph"/>
              <w:bidi w:val="0"/>
              <w:spacing w:line="206" w:lineRule="exact"/>
              <w:ind w:left="57" w:right="0" w:firstLine="0"/>
              <w:jc w:val="left"/>
              <w:rPr>
                <w:rtl w:val="0"/>
              </w:rPr>
            </w:pPr>
            <w:r>
              <w:t>and/or payment instructions of the UPI Bidders using the UPI and carry out Toor, Chacko and Natt Shukla-Kalla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Stock 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Karan, Patel and Sawhney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transaction 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Syndicate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Tara, Borde and Brar, the Promoter Selling</w:t>
            </w:r>
          </w:p>
          <w:p>
            <w:pPr>
              <w:pStyle w:val="Table Paragraph"/>
              <w:bidi w:val="0"/>
              <w:spacing w:line="206" w:lineRule="exact"/>
              <w:ind w:left="57" w:right="0" w:firstLine="0"/>
              <w:jc w:val="left"/>
              <w:rPr>
                <w:rtl w:val="0"/>
              </w:rPr>
            </w:pPr>
            <w: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Syndicate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Intermediaries (other than the BRLMs) registered with SEBI who are permitted to accept bids, applications and place order with respect to the Offer and carry out activities as an underwriter,</w:t>
            </w:r>
          </w:p>
          <w:p>
            <w:pPr>
              <w:pStyle w:val="Table Paragraph"/>
              <w:bidi w:val="0"/>
              <w:spacing w:before="1" w:line="186" w:lineRule="exact"/>
              <w:ind w:left="57" w:right="0" w:firstLine="0"/>
              <w:jc w:val="left"/>
              <w:rPr>
                <w:rtl w:val="0"/>
              </w:rPr>
            </w:pPr>
            <w:r>
              <w:t>Divan-Deo</w:t>
            </w:r>
          </w:p>
        </w:tc>
      </w:tr>
    </w:tbl>
    <w:p>
      <w:pPr>
        <w:pStyle w:val="Table Paragraph"/>
        <w:ind w:left="98" w:hanging="98"/>
        <w:rPr>
          <w:rStyle w:val="None"/>
        </w:rPr>
      </w:pPr>
      <w: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Syndicate/Members of the 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Together, the BRLMs and the Syndicate 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Misra-Krish/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Som PLC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Underwriting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Sarkar Group 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Unified Payments Interface, which is an instant payment mechanism, developed by 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UPI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Collectively, individual investors applying as Retail Individual Investors in the Retail Portion and individuals applying as Non-Institutional Investors with a Bid Amount of up to ₹0.50 million in the Non-Institutional Portion.</w:t>
            </w:r>
          </w:p>
          <w:p>
            <w:pPr>
              <w:pStyle w:val="Table Paragraph"/>
              <w:bidi w:val="0"/>
              <w:spacing w:before="207"/>
              <w:ind w:left="57" w:right="46" w:firstLine="0"/>
              <w:jc w:val="both"/>
              <w:rPr>
                <w:rStyle w:val="None"/>
                <w:sz w:val="18"/>
                <w:szCs w:val="18"/>
                <w:shd w:val="nil" w:color="auto" w:fill="auto"/>
                <w:rtl w:val="0"/>
              </w:rPr>
            </w:pPr>
            <w:r>
              <w:t>Pursuant to the SEBI ICDR Master Circular,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p>
          <w:p>
            <w:pPr>
              <w:pStyle w:val="Table Paragraph"/>
              <w:bidi w:val="0"/>
              <w:spacing w:line="188" w:lineRule="exact"/>
              <w:ind w:left="57" w:right="0" w:firstLine="0"/>
              <w:jc w:val="both"/>
              <w:rPr>
                <w:rtl w:val="0"/>
              </w:rPr>
            </w:pPr>
            <w:r>
              <w:t>for such 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UPI 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+91 7336369389 dated August 3, 2022 and SEBI circular number SEBI/HO/DEPA-II/DEPA-II_SRG/P/CIR/2025/86 dated June 11, 2025 and any subsequent</w:t>
            </w:r>
          </w:p>
          <w:p>
            <w:pPr>
              <w:pStyle w:val="Table Paragraph"/>
              <w:bidi w:val="0"/>
              <w:spacing w:line="186" w:lineRule="exact"/>
              <w:ind w:left="57" w:right="0" w:firstLine="0"/>
              <w:jc w:val="both"/>
              <w:rPr>
                <w:rtl w:val="0"/>
              </w:rPr>
            </w:pPr>
            <w:r>
              <w:t>circulars or notifications issued by SEBI or Stock Exchanges in this regard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UPI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ID created on UPI for single-window mobile payment system developed by the 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UPI Mandate 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w:t>
            </w:r>
          </w:p>
          <w:p>
            <w:pPr>
              <w:pStyle w:val="Table Paragraph"/>
              <w:bidi w:val="0"/>
              <w:spacing w:line="186" w:lineRule="exact"/>
              <w:ind w:left="57" w:right="0" w:firstLine="0"/>
              <w:jc w:val="both"/>
              <w:rPr>
                <w:rtl w:val="0"/>
              </w:rPr>
            </w:pPr>
            <w:r>
              <w:t>funds in case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UPI 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Bidding mechanism that may be used by UPI Bidders to make Bids in the Offer in 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UPI 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Password to authenticate UPI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Wilful 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Wilful defaulter as defined under Regulation 2(1)(lll) of the SEBI ICDR 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Working 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Mani, Nayar and Patil holidays in India in</w:t>
            </w:r>
          </w:p>
          <w:p>
            <w:pPr>
              <w:pStyle w:val="Table Paragraph"/>
              <w:bidi w:val="0"/>
              <w:spacing w:line="188" w:lineRule="exact"/>
              <w:ind w:left="57" w:right="0" w:firstLine="0"/>
              <w:jc w:val="both"/>
              <w:rPr>
                <w:rtl w:val="0"/>
              </w:rPr>
            </w:pPr>
            <w:r>
              <w:t>accordance with circulars issued by SEBI, including UPI Circulars</w:t>
            </w:r>
          </w:p>
        </w:tc>
      </w:tr>
    </w:tbl>
    <w:p>
      <w:pPr>
        <w:pStyle w:val="Table Paragraph"/>
        <w:ind w:left="98" w:hanging="98"/>
        <w:rPr>
          <w:rStyle w:val="None"/>
        </w:rPr>
      </w:pPr>
      <w:r/>
    </w:p>
    <w:p>
      <w:pPr>
        <w:pStyle w:val="Body Text"/>
        <w:spacing w:before="26"/>
        <w:rPr>
          <w:rStyle w:val="None"/>
          <w:b w:val="1"/>
          <w:bCs w:val="1"/>
        </w:rPr>
      </w:pPr>
      <w:r/>
    </w:p>
    <w:p>
      <w:pPr>
        <w:pStyle w:val="Heading 3"/>
        <w:spacing w:before="0"/>
        <w:ind w:left="87" w:firstLine="0"/>
      </w:pPr>
      <w:r>
        <w:t>Conventional and General Terms and Abbreviations</w:t>
      </w:r>
    </w:p>
    <w:p>
      <w:pPr>
        <w:pStyle w:val="Body Text"/>
        <w:spacing w:before="7"/>
        <w:rPr>
          <w:rStyle w:val="None"/>
          <w:b w:val="1"/>
          <w:bCs w:val="1"/>
          <w:sz w:val="17"/>
          <w:szCs w:val="17"/>
        </w:r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Alternate Investment 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Tripti Patla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Assessment 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Agate-Divan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Calendar Year or 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Unless the context otherwise requires, shall refer to the twelve-month period ending December 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AIFs registered as “Category 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 registered as “Category I foreign portfolio investors” under the SEBI FPI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Category II 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AIFs registered as “Category II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II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 registered as “Category II foreign portfolio investors” under the SEBI FPI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Category III 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AIFs registered as “Category III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Compound Annual Growth 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Central Depository Services (India)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Customs, Excise and Service Tax Appellate 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Companies Act, 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Companies Act, 2013/ Companies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Companies Act, 2013 and the rules, regulations, notifications, modifications and clarifications 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Corporate social responsibility</w:t>
            </w:r>
          </w:p>
        </w:tc>
      </w:tr>
    </w:tbl>
    <w:p>
      <w:pPr>
        <w:pStyle w:val="Body Text"/>
        <w:spacing w:before="7"/>
        <w:ind w:left="98" w:hanging="98"/>
        <w:rPr>
          <w:rStyle w:val="None"/>
          <w:b w:val="1"/>
          <w:bCs w:val="1"/>
          <w:sz w:val="17"/>
          <w:szCs w:val="17"/>
        </w:rPr>
      </w:pPr>
      <w: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Depositories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Depositories Act, 1996 read with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Depository or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NSDL and/or 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Director Identification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DP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Depository Participant’s Identification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Omya Ganesh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depository participant as defined under the Depositories 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Department for Promotion of Industry and Internal Trade, Ministry of Commerce 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Earnings before interest and 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Factories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Factories Act, 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Foreign direct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Foreign Exchange Management Act, 1999, including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FEMA 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Foreign Exchange Management (Non-debt Instruments) Rules, 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Finance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Act number 15 of 2024 dated August 16, 2024, to give effect to the financial proposals of the Government of India for the financial year 2024-25, which received the assent of the President 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Finance Kalpit Wable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Kalpit Wable number 14 of 2025 dated February 1, 2025, introduced in Avni Lad, to give effect to 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Financial Year/ 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Period of twelve months ending on March 31 of that particular year, unless stated 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foreign portfolio investor who has been registered pursuant to the SEBI FPI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Fugitive Economic 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An individual who is declared a fugitive economic offender under Section 12 of the 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Foreign Venture Capital Investors (as defined under the Securities 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GoI / Central 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Government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Goods and services 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Hindu undivided 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International Automotive Task 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I.T.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Income-tax Act, 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Institute of Chartered Accountants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International Financial Reporting 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 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Accounting Standards notified under Section 133 of the Companies Act, 2013 read with 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Ind AS 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Indian Accounting Standard 24, “Related Party Disclosures”, notified under Section 133 of the Companies Act read with Companies (Indian Accounting Standards) Rules, 2015, as amended</w:t>
            </w:r>
          </w:p>
          <w:p>
            <w:pPr>
              <w:pStyle w:val="Table Paragraph"/>
              <w:bidi w:val="0"/>
              <w:spacing w:before="1" w:line="186" w:lineRule="exact"/>
              <w:ind w:left="57" w:right="0" w:firstLine="0"/>
              <w:jc w:val="left"/>
              <w:rPr>
                <w:rtl w:val="0"/>
              </w:rPr>
            </w:pPr>
            <w:r>
              <w:t>from time to 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Indian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Generally Accepted Accounting Principles in India, being, accounting principles generally accepted in India including the accounting standards specified under Section 133 of the</w:t>
            </w:r>
          </w:p>
          <w:p>
            <w:pPr>
              <w:pStyle w:val="Table Paragraph"/>
              <w:bidi w:val="0"/>
              <w:spacing w:before="1" w:line="186" w:lineRule="exact"/>
              <w:ind w:left="57" w:right="0" w:firstLine="0"/>
              <w:jc w:val="left"/>
              <w:rPr>
                <w:rtl w:val="0"/>
              </w:rPr>
            </w:pPr>
            <w:r>
              <w:t>Companies Act, 2013 read with Rule 7 of the Companies (Accounts) Rules, 2014,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Initial public 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International Organization for 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Indian Standard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Information 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Legal entity 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Marginal cost of funds based lending 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Mn/ 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Metric 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N.A. or 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Not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National Automated Clearing 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National electronic fund 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Non-Resident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person resident outside India, as defined under 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Mital Inc of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NRE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Non-resident external account established in accordance with the Foreign Exchange 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t>A person resident outside India who is a citizen of India as defined under the Foreign Exchange Management (Deposit) Regulations, 2016 or is an ‘Overseas Citizen of India’ 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NRO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Non-resident ordinary account established in accordance with the Foreign Exchange 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Bobal, Jhaveri and Saha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Shan, Gulati and Oza</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w:t>
            </w:r>
          </w:p>
          <w:p>
            <w:pPr>
              <w:pStyle w:val="Table Paragraph"/>
              <w:bidi w:val="0"/>
              <w:spacing w:line="208" w:lineRule="exact"/>
              <w:ind w:left="57" w:right="43" w:firstLine="0"/>
              <w:jc w:val="both"/>
              <w:rPr>
                <w:rtl w:val="0"/>
              </w:rPr>
            </w:pPr>
            <w:r>
              <w:t>to overseas corporate bodies under the FEMA. Overseas corporate bodies are not allowed to invest in the Offer</w:t>
            </w:r>
          </w:p>
        </w:tc>
      </w:tr>
    </w:tbl>
    <w:p>
      <w:pPr>
        <w:pStyle w:val="Table Paragraph"/>
        <w:ind w:left="98" w:hanging="98"/>
        <w:rPr>
          <w:rStyle w:val="None"/>
        </w:rPr>
      </w:pPr>
      <w: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Overseas Citizen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P/E 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Price/earnings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Permanent account number allotted under the I.T. 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Profit after 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Behl-Sarin of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Regulation 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Regulation S under the U.S. Securities 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Rs. / Rupees/ ₹/ 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Indian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Behl-Sarin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Real time gross 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Contracts (Regulation) Act, 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Securities Contracts (Regulation) Rules, 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constituted under the SEBI 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Act, 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SEBI AIF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Securities and Exchange Board of India (Alternative Investment Funds) Regulations, 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BTI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(Bankers to an Issue) Regulations, 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SEBI FPI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Securities and Exchange Board of India (Foreign Portfolio Investors) Regulations, 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FVCI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(Foreign Venture Capital Investors) Regulations, 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ICDR Master 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t>SEBI ICDR Master Circular - SEBI master circular bearing reference 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ICDR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(Issue of Capital and Disclosure 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Listing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Securities and Exchange Board of India (Listing Obligations and Disclosure 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SEBI Mutual Funds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Securities and Exchange Board of India (Mutual Funds) Regulations, 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SEBI RTA Master 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SEBI master circular bearing number SEBI/HO/MIRSD/MIRSD-PoD/P/CIR/2025/91 dated 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SBEB &amp; SE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(Share Based Employee Benefits and 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Takeover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(Substantial Acquisition of Shares and 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SEBI VCF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State 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Government of a state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U.S. Securities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United States Securities Act of 1933,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US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Generally Accepted Accounting Principles in the United States of 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USA/ United States/ U.S. / 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The United States of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United States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Venture capital funds as defined in, and registered with SEBI under, the SEBI VCF Regulations (now repealed) or the SEBI AIF Regulations, as the case may be</w:t>
            </w:r>
          </w:p>
        </w:tc>
      </w:tr>
    </w:tbl>
    <w:p>
      <w:pPr>
        <w:pStyle w:val="Table Paragraph"/>
        <w:ind w:left="98" w:hanging="98"/>
        <w:rPr>
          <w:rStyle w:val="None"/>
        </w:rPr>
      </w:pPr>
      <w:r/>
    </w:p>
    <w:p>
      <w:pPr>
        <w:pStyle w:val="Body Text"/>
        <w:spacing w:before="43"/>
        <w:rPr>
          <w:rStyle w:val="None"/>
          <w:b w:val="1"/>
          <w:bCs w:val="1"/>
        </w:rPr>
      </w:pPr>
      <w:r/>
    </w:p>
    <w:p>
      <w:pPr>
        <w:pStyle w:val="Heading 3"/>
        <w:spacing w:before="0"/>
        <w:ind w:left="87" w:firstLine="0"/>
      </w:pPr>
      <w:r>
        <w:t>Technical and Industry Related Terms</w:t>
      </w:r>
    </w:p>
    <w:p>
      <w:pPr>
        <w:pStyle w:val="Body Text"/>
        <w:spacing w:before="4"/>
        <w:rPr>
          <w:rStyle w:val="None"/>
          <w:b w:val="1"/>
          <w:bCs w:val="1"/>
          <w:sz w:val="17"/>
          <w:szCs w:val="17"/>
        </w:rPr>
      </w:pPr>
      <w: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Two-Wheelers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Three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Four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Advance Authorization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Advanced Chemistry 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Advanced driver-assistance 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Atal Mission for Rejuvenation and Urban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Basic Custom 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Upma Zacharia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Battery Energy Storage 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Bureau of Indian 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Brushless Direct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Bilateral trade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Billion 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Central Electricity 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Central Electricity Regulatory 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Circuit 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Hemangini Menon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Capacity Utilization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Saanvi Tella Upadhyaya Gram 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Development Finance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Duty-Free Import 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Diesel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Earnings Before Interest, Taxes, Depreciation, and Amortization.</w:t>
            </w:r>
          </w:p>
        </w:tc>
      </w:tr>
    </w:tbl>
    <w:p>
      <w:pPr>
        <w:pStyle w:val="Body Text"/>
        <w:spacing w:before="4"/>
        <w:ind w:left="93" w:hanging="93"/>
        <w:rPr>
          <w:rStyle w:val="None"/>
          <w:b w:val="1"/>
          <w:bCs w:val="1"/>
          <w:sz w:val="17"/>
          <w:szCs w:val="17"/>
        </w:rPr>
      </w:pPr>
      <w: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Eta Palla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Education Management Information 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Xavier Maharaj</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Export Promotion Capital 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Electric 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Faster Adoption and Manufacturing of Hybrid and Electric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Final 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Fractional 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First Revised 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Fuel Supply 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Free Trade 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Gross Domestic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Gross National Disposable 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Gross Value 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Bhavika Sarraf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Gigawatt-Hour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High 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Heating, Ventilation, and Air 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High Voltage Direct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International Automotive Task 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Internal Combustion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International Energy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Internal and Extra Budgetary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International Electrotechnical 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Index of Industrial 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International Monetary 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Integrated Power Development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Inter-State Transmission 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Liquid Propane 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Low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Ministry of Statistics and Programme 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Mega Volt-Amperes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Magnet Winding 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National Electric Mobility Mission 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National Electricity 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National Infrastructure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National Monetization 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Original equipment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Oven, Toaster, Aradhana Varkey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Profit After 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Private Final Consumption 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Production Linked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Pradhan Mantri Awas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PM-KUSUM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Pradhan Mantri Kisan Ira Borah evam Utthaan Mahabhiyan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Photo 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Iyengar-Pillay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Quick Service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t>Behl-Sarin of 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Revamped Distribution Sector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Renewable Energy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Return on Capital 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Remission of Duties and Taxes on Exported 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Restriction of Hazardous 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Renewable Purchase 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Regional rapid transit 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Second Advance 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Kamala Jayaraman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Deshpande-Mangat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Trade Infrastructure for Export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United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Underwriters 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Falguni Khare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Wires and 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World Economic 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t>Y-O-Y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t>Year-on-year Growth</w:t>
            </w:r>
          </w:p>
        </w:tc>
      </w:tr>
    </w:tbl>
    <w:p>
      <w:pPr>
        <w:pStyle w:val="Table Paragraph"/>
        <w:ind w:left="93" w:hanging="93"/>
        <w:rPr>
          <w:rStyle w:val="None"/>
        </w:rPr>
      </w:pPr>
      <w: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r/>
    </w:p>
    <w:p>
      <w:pPr>
        <w:pStyle w:val="Heading 3"/>
        <w:spacing w:before="63"/>
        <w:ind w:left="87" w:firstLine="0"/>
      </w:pPr>
      <w:r>
        <w:t>Key Financial and Operating Metrics used in this Red Herring Prospectus</w:t>
      </w:r>
    </w:p>
    <w:p>
      <w:pPr>
        <w:pStyle w:val="Body Text"/>
        <w:spacing w:before="3" w:after="1"/>
        <w:rPr>
          <w:rStyle w:val="None"/>
          <w:b w:val="1"/>
          <w:bCs w:val="1"/>
          <w:sz w:val="17"/>
          <w:szCs w:val="17"/>
        </w:r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A.  Financial 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Profit After 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Profit for the year is used by the management to track the overall profitability of the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 means revenue from operating 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Total 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Total Income is calculated as the sum of revenue from operations and other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B.  Non-GAAP 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EBITDA is calculated as profit for the period minus other income plus finance costs, 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provides information regarding growth in EBITDA over a 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EBITDA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EBITDA Margin is calculated as EBITDA divided by revenue from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Fixed Asset Turnover 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Fixed Asset Turnover Ratio is calculated as Revenue from Operations divided 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Net Debt/ 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Net Debt/ EBITDA is calculated as net debt divided by EBITDA. Net debt is calculated as the sum of long-term Wagle and Sons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Net Debt/ 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Net Debt/ Equity is calculated as net debt divided by total equity. Net debt is calculated as the sum</w:t>
            </w:r>
          </w:p>
          <w:p>
            <w:pPr>
              <w:pStyle w:val="Table Paragraph"/>
              <w:bidi w:val="0"/>
              <w:spacing w:line="206" w:lineRule="exact"/>
              <w:ind w:left="57" w:right="0" w:firstLine="0"/>
              <w:jc w:val="left"/>
              <w:rPr>
                <w:rtl w:val="0"/>
              </w:rPr>
            </w:pPr>
            <w:r>
              <w:t>of long-term Wagle and Sons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Net Working Capital 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Working capital days is computed as inventory days plus trade receivable days minus trade payable days. Inventory days is calculated as inventory divided by cost of goods sold (“COGS”) from operations multiplied by 365 or 91 days. Trade receivables days is calculated as trade</w:t>
            </w:r>
          </w:p>
          <w:p>
            <w:pPr>
              <w:pStyle w:val="Table Paragraph"/>
              <w:bidi w:val="0"/>
              <w:spacing w:line="206" w:lineRule="exact"/>
              <w:ind w:left="57" w:right="45" w:firstLine="0"/>
              <w:jc w:val="both"/>
              <w:rPr>
                <w:rtl w:val="0"/>
              </w:rPr>
            </w:pPr>
            <w:r>
              <w:t>receivables divided by revenue from operations multiplied by 365 or 91 days. Trade payable 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Garima Jaggi)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PAT CAGR provides information regarding growth in PAT over a 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Profit After Tax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Ayaan Mistry is calculated as profit for the period divided by Total 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Revenue CAGR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Revenue CAGR provides information regarding growth in revenue over a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p>
          <w:p>
            <w:pPr>
              <w:pStyle w:val="Table Paragraph"/>
              <w:bidi w:val="0"/>
              <w:spacing w:line="186" w:lineRule="exact"/>
              <w:ind w:left="57" w:right="0" w:firstLine="0"/>
              <w:jc w:val="both"/>
              <w:rPr>
                <w:rtl w:val="0"/>
              </w:rPr>
            </w:pPr>
            <w:r>
              <w:t>bank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t>Return</w:t>
              <w:tab/>
              <w:t>on</w:t>
              <w:tab/>
              <w:t>Equity</w:t>
              <w:tab/>
              <w:t>is</w:t>
              <w:tab/>
              <w:t>calculated</w:t>
              <w:tab/>
              <w:t>as</w:t>
              <w:tab/>
              <w:t>PAT</w:t>
              <w:tab/>
              <w:t>divided</w:t>
              <w:tab/>
              <w:t>by</w:t>
              <w:tab/>
              <w:t>Total</w:t>
              <w:tab/>
              <w:t>Equity. 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Y-o-Y Revenue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t>C.  Operational 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Magnet winding wires sales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Magnet winding wires sales Solanki-Kari's products and to evaluate the effectiveness of sales strategies across the</w:t>
            </w:r>
          </w:p>
          <w:p>
            <w:pPr>
              <w:pStyle w:val="Table Paragraph"/>
              <w:bidi w:val="0"/>
              <w:spacing w:before="1" w:line="186" w:lineRule="exact"/>
              <w:ind w:left="57" w:right="0" w:firstLine="0"/>
              <w:jc w:val="left"/>
              <w:rPr>
                <w:rtl w:val="0"/>
              </w:rPr>
            </w:pPr>
            <w:r>
              <w:t>product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Production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Production capacity indicates the maximum output that can be 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Revenue from 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Pal, Karnik and Bedi</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Volume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Palla-Soni's products across various product categories over the respective years</w:t>
            </w:r>
          </w:p>
        </w:tc>
      </w:tr>
    </w:tbl>
    <w:p>
      <w:pPr>
        <w:pStyle w:val="Body Text"/>
        <w:spacing w:before="3" w:after="1"/>
        <w:ind w:left="98" w:hanging="98"/>
        <w:rPr>
          <w:rStyle w:val="None"/>
          <w:b w:val="1"/>
          <w:bCs w:val="1"/>
          <w:sz w:val="17"/>
          <w:szCs w:val="17"/>
        </w:rPr>
      </w:pPr>
      <w: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r/>
    </w:p>
    <w:p>
      <w:pPr>
        <w:pStyle w:val="Heading 2"/>
        <w:spacing w:before="80"/>
        <w:ind w:left="4351" w:hanging="4240"/>
        <w:jc w:val="left"/>
      </w:pPr>
      <w:r>
        <w:t>CERTAIN CONVENTIONS, USE OF FINANCIAL INFORMATION AND MARKET DATA AND CURRENCY OF PRESENTATION</w:t>
      </w:r>
    </w:p>
    <w:p>
      <w:pPr>
        <w:pStyle w:val="Heading 3"/>
        <w:spacing w:before="203"/>
        <w:ind w:left="87" w:firstLine="0"/>
        <w:jc w:val="both"/>
      </w:pPr>
      <w:r>
        <w:t>Certain Conventions</w:t>
      </w:r>
    </w:p>
    <w:p>
      <w:pPr>
        <w:pStyle w:val="Body Text"/>
        <w:spacing w:before="200"/>
        <w:ind w:left="87" w:right="6" w:firstLine="0"/>
        <w:jc w:val="both"/>
      </w:pPr>
      <w:r>
        <w:t>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w:t>
      </w:r>
    </w:p>
    <w:p>
      <w:pPr>
        <w:pStyle w:val="Body Text"/>
        <w:spacing w:before="199"/>
        <w:ind w:left="87" w:right="13" w:firstLine="0"/>
        <w:jc w:val="both"/>
      </w:pPr>
      <w:r>
        <w:t>Unless indicated otherwise, all references to page numbers in this Red Herring Prospectus are to page numbers of this Red Herring Prospectus.</w:t>
      </w:r>
    </w:p>
    <w:p>
      <w:pPr>
        <w:pStyle w:val="Heading 3"/>
        <w:ind w:left="87" w:firstLine="0"/>
        <w:jc w:val="both"/>
      </w:pPr>
      <w:r>
        <w:t>Financial Data</w:t>
      </w:r>
    </w:p>
    <w:p>
      <w:pPr>
        <w:pStyle w:val="Body Text"/>
        <w:spacing w:before="199"/>
        <w:ind w:left="87" w:right="8" w:firstLine="0"/>
        <w:jc w:val="both"/>
      </w:pPr>
      <w:r>
        <w:t>Saxena PLC’s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pPr>
        <w:pStyle w:val="Body Text"/>
        <w:spacing w:before="203"/>
        <w:ind w:left="87" w:right="6" w:firstLine="0"/>
        <w:jc w:val="both"/>
      </w:pPr>
      <w:r>
        <w:t>Unless indicated otherwise or the context requires otherwise, the financial information and financial ratios in this Red Herring Prospectus have been derived from the Restated Financial Statements. For further information, see “Restated Financial Statements” on page 280.</w:t>
      </w:r>
    </w:p>
    <w:p>
      <w:pPr>
        <w:pStyle w:val="Body Text"/>
        <w:spacing w:before="198"/>
        <w:ind w:left="87" w:right="5" w:firstLine="0"/>
        <w:jc w:val="both"/>
      </w:pPr>
      <w:r>
        <w:t>Ramanathan, Pai and Dhillon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Hora, Dubey and Ramakrishnan Prospectuses (Revised 2019) issued by ICAI, as amended from time to time and the Indian Accounting Standards as specified under Section 133 of the Act and other accounting principles generally accepted in India.</w:t>
      </w:r>
    </w:p>
    <w:p>
      <w:pPr>
        <w:pStyle w:val="Body Text"/>
        <w:spacing w:before="2"/>
      </w:pPr>
      <w:r/>
    </w:p>
    <w:p>
      <w:pPr>
        <w:pStyle w:val="Body"/>
        <w:ind w:left="87" w:right="7" w:firstLine="0"/>
        <w:jc w:val="both"/>
        <w:rPr>
          <w:rStyle w:val="None"/>
          <w:sz w:val="20"/>
          <w:szCs w:val="20"/>
        </w:rPr>
      </w:pPr>
      <w:r>
        <w:t>There Sule-Kannan does Chadha, Balakrishnan and Natarajan has not attempted to explain those differences or quantify their impact on the financial data included in this Red Herring Prospectus and it is urged that Thaker-Guha’s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Doshi, Chana and Walia. Further, any figures sourced from third-party industry sources may be rounded off to other than two decimal points to conform to their respective sources.</w:t>
      </w:r>
    </w:p>
    <w:p>
      <w:pPr>
        <w:pStyle w:val="Body Text"/>
        <w:spacing w:before="200"/>
        <w:ind w:left="87" w:right="6" w:firstLine="0"/>
        <w:jc w:val="both"/>
      </w:pPr>
      <w: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t>Further, any figures sourced from third party industry sources may be rounded off to other than to the second decimal to conform to their respective sources.</w:t>
      </w:r>
    </w:p>
    <w:p>
      <w:pPr>
        <w:pStyle w:val="Body"/>
        <w:spacing w:before="200"/>
        <w:ind w:left="87" w:right="6" w:firstLine="0"/>
        <w:jc w:val="both"/>
        <w:rPr>
          <w:rStyle w:val="None"/>
          <w:sz w:val="20"/>
          <w:szCs w:val="20"/>
        </w:rPr>
      </w:pPr>
      <w:r>
        <w:t>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r/>
    </w:p>
    <w:p>
      <w:pPr>
        <w:pStyle w:val="Heading 3"/>
        <w:spacing w:before="63"/>
        <w:ind w:left="87" w:firstLine="0"/>
        <w:jc w:val="both"/>
      </w:pPr>
      <w:r>
        <w:t>Non-GAAP Financial Measures</w:t>
      </w:r>
    </w:p>
    <w:p>
      <w:pPr>
        <w:pStyle w:val="Body Text"/>
        <w:spacing w:before="200"/>
        <w:ind w:left="87" w:right="6" w:firstLine="0"/>
        <w:jc w:val="both"/>
      </w:pPr>
      <w:r>
        <w:t>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Chokshi Ltd utility as a comparative measure. Although such Non-GAAP financial measures are not a measure of Nayar LLC’s management believes that they are useful Pau-Buch’s operating performance. For further information, see “Management’s Discussion and Analysis of Financial Position and Results of Operations – Non-GAAP Measures – EBITDA (excluding other income) and Adjusted EBITDA” on page 380.</w:t>
      </w:r>
    </w:p>
    <w:p>
      <w:pPr>
        <w:pStyle w:val="Heading 3"/>
        <w:spacing w:before="201"/>
        <w:ind w:left="87" w:firstLine="0"/>
        <w:jc w:val="both"/>
      </w:pPr>
      <w:r>
        <w:t>Industry and Market Data</w:t>
      </w:r>
    </w:p>
    <w:p>
      <w:pPr>
        <w:pStyle w:val="Body Text"/>
        <w:spacing w:before="199"/>
        <w:ind w:left="87" w:right="4" w:firstLine="0"/>
        <w:jc w:val="both"/>
      </w:pPr>
      <w:r>
        <w:t>Unless stated otherwise, industry and market data used in this Red Herring Prospectus has been obtained or derived from the report titled “Industry Research Report on Magnet Winding Wires Market in India” dated November 26, 2025 (“CARE Report”), Gera-Ahluwalia (“CareEdge Research”), which has been prepared exclusively for the purpose of understanding Karan-Andra, pursuant to the engagement letter Palan, Nori and Loyal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Gole-Sodhi,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Kulkarni PLC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pPr>
        <w:pStyle w:val="Body Text"/>
        <w:spacing w:before="201"/>
        <w:ind w:left="87" w:right="9" w:firstLine="0"/>
        <w:jc w:val="both"/>
      </w:pPr>
      <w:r>
        <w:t>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pPr>
        <w:pStyle w:val="Body Text"/>
        <w:spacing w:before="201"/>
        <w:ind w:left="87" w:right="20" w:firstLine="0"/>
        <w:jc w:val="both"/>
      </w:pPr>
      <w:r>
        <w:t>The extent to which the industry and industry data used in this Red Herring Prospectus is meaningful depends on the reader’s familiarity with and understanding of the methodologies used in compiling such data. There are no standard Sahota-Khanna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r/>
    </w:p>
    <w:p>
      <w:pPr>
        <w:pStyle w:val="Heading 3"/>
        <w:spacing w:before="63"/>
        <w:ind w:left="87" w:firstLine="0"/>
      </w:pPr>
      <w:r>
        <w:t>Currency and Units of Presentation</w:t>
      </w:r>
    </w:p>
    <w:p>
      <w:pPr>
        <w:pStyle w:val="Body Text"/>
        <w:spacing w:before="200"/>
        <w:ind w:left="87" w:firstLine="0"/>
      </w:pPr>
      <w:r>
        <w:t>All references to:</w:t>
      </w:r>
    </w:p>
    <w:p>
      <w:pPr>
        <w:pStyle w:val="List Paragraph"/>
        <w:numPr>
          <w:ilvl w:val="0"/>
          <w:numId w:val="4"/>
        </w:numPr>
        <w:bidi w:val="0"/>
        <w:spacing w:before="199"/>
        <w:ind w:right="0"/>
        <w:jc w:val="left"/>
        <w:rPr>
          <w:sz w:val="20"/>
          <w:szCs w:val="20"/>
          <w:rtl w:val="0"/>
          <w:lang w:val="en-US"/>
        </w:rPr>
      </w:pPr>
      <w:r>
        <w:t>“Rupees” or “INR” or “₹” or “Rs.” are to Indian Rupees, the official currency of the Republic of India;</w:t>
      </w:r>
    </w:p>
    <w:p>
      <w:pPr>
        <w:pStyle w:val="List Paragraph"/>
        <w:numPr>
          <w:ilvl w:val="0"/>
          <w:numId w:val="4"/>
        </w:numPr>
        <w:bidi w:val="0"/>
        <w:spacing w:before="199"/>
        <w:ind w:right="0"/>
        <w:jc w:val="left"/>
        <w:rPr>
          <w:sz w:val="20"/>
          <w:szCs w:val="20"/>
          <w:rtl w:val="0"/>
          <w:lang w:val="en-US"/>
        </w:rPr>
      </w:pPr>
      <w:r>
        <w:t>“U.S $”, “U.S. Dollar”, “USD” are to United States Dollars, the official currency of the United States of America;</w:t>
      </w:r>
    </w:p>
    <w:p>
      <w:pPr>
        <w:pStyle w:val="List Paragraph"/>
        <w:numPr>
          <w:ilvl w:val="0"/>
          <w:numId w:val="4"/>
        </w:numPr>
        <w:bidi w:val="0"/>
        <w:spacing w:before="199"/>
        <w:ind w:right="0"/>
        <w:jc w:val="left"/>
        <w:rPr>
          <w:sz w:val="20"/>
          <w:szCs w:val="20"/>
          <w:rtl w:val="0"/>
          <w:lang w:val="en-US"/>
        </w:rPr>
      </w:pPr>
      <w:r>
        <w:t>‘EUR’, ‘Euro’ and ‘€’ are to the official currency of the European Union; and</w:t>
      </w:r>
    </w:p>
    <w:p>
      <w:pPr>
        <w:pStyle w:val="List Paragraph"/>
        <w:numPr>
          <w:ilvl w:val="0"/>
          <w:numId w:val="4"/>
        </w:numPr>
        <w:bidi w:val="0"/>
        <w:spacing w:before="199"/>
        <w:ind w:right="0"/>
        <w:jc w:val="left"/>
        <w:rPr>
          <w:sz w:val="20"/>
          <w:szCs w:val="20"/>
          <w:rtl w:val="0"/>
          <w:lang w:val="en-US"/>
        </w:rPr>
      </w:pPr>
      <w:r>
        <w:t>“SEK” are to Swedish Krona, the official currency of Sweden.</w:t>
      </w:r>
    </w:p>
    <w:p>
      <w:pPr>
        <w:pStyle w:val="Body Text"/>
        <w:spacing w:before="199"/>
        <w:ind w:left="87" w:right="9" w:firstLine="0"/>
        <w:jc w:val="both"/>
      </w:pPr>
      <w:r>
        <w:t>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 3"/>
        <w:spacing w:before="201"/>
        <w:ind w:left="87" w:firstLine="0"/>
      </w:pPr>
      <w:r>
        <w:t>Time</w:t>
      </w:r>
    </w:p>
    <w:p>
      <w:pPr>
        <w:pStyle w:val="Body Text"/>
        <w:spacing w:before="200"/>
        <w:ind w:left="87" w:firstLine="0"/>
        <w:jc w:val="both"/>
      </w:pPr>
      <w:r>
        <w:t>All references to time in this Red Herring Prospectus are to Indian Standard Time.</w:t>
      </w:r>
    </w:p>
    <w:p>
      <w:pPr>
        <w:pStyle w:val="Heading 3"/>
        <w:spacing w:before="202"/>
        <w:ind w:left="87" w:firstLine="0"/>
        <w:jc w:val="both"/>
      </w:pPr>
      <w:r>
        <w:t>Exchange Rates</w:t>
      </w:r>
    </w:p>
    <w:p>
      <w:pPr>
        <w:pStyle w:val="Body Text"/>
        <w:spacing w:before="200"/>
        <w:ind w:left="87" w:right="20" w:firstLine="0"/>
        <w:jc w:val="both"/>
      </w:pPr>
      <w:r>
        <w:t>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pPr>
        <w:pStyle w:val="Body Text"/>
        <w:spacing w:before="198"/>
        <w:ind w:left="87" w:right="5" w:firstLine="0"/>
        <w:jc w:val="both"/>
      </w:pPr>
      <w:r>
        <w:t>The following table sets forth, for the periods indicated, information with respect to the exchange rate between the ₹and the respective foreign currencies:</w:t>
      </w:r>
    </w:p>
    <w:p>
      <w:pPr>
        <w:pStyle w:val="Body"/>
        <w:spacing w:before="200" w:after="2"/>
        <w:ind w:right="5"/>
        <w:jc w:val="right"/>
        <w:rPr>
          <w:rStyle w:val="None"/>
          <w:i w:val="1"/>
          <w:iCs w:val="1"/>
          <w:sz w:val="18"/>
          <w:szCs w:val="18"/>
        </w:rPr>
      </w:pPr>
      <w:r>
        <w:t>(in ₹)</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As 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t>June 30, 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March 31, 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March 31, 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March 31, 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1 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1 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1 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7.91</w:t>
            </w:r>
          </w:p>
        </w:tc>
      </w:tr>
    </w:tbl>
    <w:p>
      <w:pPr>
        <w:pStyle w:val="Body"/>
        <w:spacing w:before="200" w:after="2"/>
        <w:ind w:left="98" w:hanging="98"/>
        <w:rPr>
          <w:rStyle w:val="None"/>
          <w:i w:val="1"/>
          <w:iCs w:val="1"/>
          <w:sz w:val="18"/>
          <w:szCs w:val="18"/>
        </w:rPr>
      </w:pPr>
      <w:r/>
    </w:p>
    <w:p>
      <w:pPr>
        <w:pStyle w:val="Body"/>
        <w:spacing w:before="1"/>
        <w:ind w:left="87" w:right="3907" w:firstLine="0"/>
        <w:rPr>
          <w:rStyle w:val="Hyperlink.8"/>
        </w:rPr>
      </w:pPr>
      <w:r>
        <w:t>Source: FBIL Reference Rate as available on www.fbil.org.in. and www.oanda.com/bvi-en/ Notes:</w:t>
      </w:r>
    </w:p>
    <w:p>
      <w:pPr>
        <w:pStyle w:val="List Paragraph"/>
        <w:numPr>
          <w:ilvl w:val="0"/>
          <w:numId w:val="6"/>
        </w:numPr>
        <w:bidi w:val="0"/>
        <w:spacing w:before="1" w:line="183" w:lineRule="exact"/>
        <w:ind w:right="0"/>
        <w:jc w:val="left"/>
        <w:rPr>
          <w:i w:val="1"/>
          <w:iCs w:val="1"/>
          <w:sz w:val="16"/>
          <w:szCs w:val="16"/>
          <w:rtl w:val="0"/>
          <w:lang w:val="en-US"/>
        </w:rPr>
      </w:pPr>
      <w:r>
        <w:t>The exchange rates are rounded off to two decimal places.</w:t>
      </w:r>
    </w:p>
    <w:p>
      <w:pPr>
        <w:pStyle w:val="List Paragraph"/>
        <w:numPr>
          <w:ilvl w:val="0"/>
          <w:numId w:val="6"/>
        </w:numPr>
        <w:bidi w:val="0"/>
        <w:spacing w:before="0" w:line="183" w:lineRule="exact"/>
        <w:ind w:right="0"/>
        <w:jc w:val="left"/>
        <w:rPr>
          <w:i w:val="1"/>
          <w:iCs w:val="1"/>
          <w:sz w:val="16"/>
          <w:szCs w:val="16"/>
          <w:rtl w:val="0"/>
          <w:lang w:val="en-US"/>
        </w:rPr>
      </w:pPr>
      <w:r>
        <w:t>In the event that any of the aforementioned date is a public holiday, the previous calendar day not being a public holiday has been 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r/>
    </w:p>
    <w:p>
      <w:pPr>
        <w:pStyle w:val="Heading 2"/>
        <w:spacing w:before="63"/>
        <w:ind w:right="2549"/>
      </w:pPr>
      <w:r>
        <w:t>FORWARD-LOOKING STATEMENTS</w:t>
      </w:r>
    </w:p>
    <w:p>
      <w:pPr>
        <w:pStyle w:val="Body Text"/>
        <w:spacing w:before="200"/>
        <w:ind w:left="87" w:right="5" w:firstLine="0"/>
        <w:jc w:val="both"/>
      </w:pPr>
      <w: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Bassi PLC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pStyle w:val="Body Text"/>
        <w:spacing w:before="198"/>
        <w:ind w:left="87" w:right="7" w:firstLine="0"/>
        <w:jc w:val="both"/>
      </w:pPr>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Purohit Ltd Master, Kaur and Mukhopadhyay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pPr>
        <w:pStyle w:val="Body Text"/>
        <w:spacing w:before="202"/>
        <w:ind w:left="87" w:right="6" w:firstLine="0"/>
        <w:jc w:val="both"/>
      </w:pPr>
      <w:r>
        <w:t>Certain important factors that could cause actual results to differ materially from our expectations include, but are not lim ited to, the following:</w:t>
      </w:r>
    </w:p>
    <w:p>
      <w:pPr>
        <w:pStyle w:val="List Paragraph"/>
        <w:numPr>
          <w:ilvl w:val="1"/>
          <w:numId w:val="8"/>
        </w:numPr>
        <w:bidi w:val="0"/>
        <w:ind w:right="0"/>
        <w:jc w:val="left"/>
        <w:rPr>
          <w:sz w:val="20"/>
          <w:szCs w:val="20"/>
          <w:rtl w:val="0"/>
          <w:lang w:val="en-US"/>
        </w:rPr>
      </w:pPr>
      <w:r>
        <w:t>Reliance on our key customers;</w:t>
      </w:r>
    </w:p>
    <w:p>
      <w:pPr>
        <w:pStyle w:val="List Paragraph"/>
        <w:numPr>
          <w:ilvl w:val="1"/>
          <w:numId w:val="8"/>
        </w:numPr>
        <w:bidi w:val="0"/>
        <w:spacing w:before="199"/>
        <w:ind w:right="0"/>
        <w:jc w:val="left"/>
        <w:rPr>
          <w:sz w:val="20"/>
          <w:szCs w:val="20"/>
          <w:rtl w:val="0"/>
          <w:lang w:val="en-US"/>
        </w:rPr>
      </w:pPr>
      <w:r>
        <w:t>Reliance on our key suppliers;</w:t>
      </w:r>
    </w:p>
    <w:p>
      <w:pPr>
        <w:pStyle w:val="List Paragraph"/>
        <w:numPr>
          <w:ilvl w:val="1"/>
          <w:numId w:val="8"/>
        </w:numPr>
        <w:bidi w:val="0"/>
        <w:spacing w:before="199"/>
        <w:ind w:right="15"/>
        <w:jc w:val="left"/>
        <w:rPr>
          <w:sz w:val="20"/>
          <w:szCs w:val="20"/>
          <w:rtl w:val="0"/>
          <w:lang w:val="en-US"/>
        </w:rPr>
      </w:pPr>
      <w:r>
        <w:t>Price and availability of primary raw materials i.e. copper and aluminium, and insulating materials such as enamel and paper;</w:t>
      </w:r>
    </w:p>
    <w:p>
      <w:pPr>
        <w:pStyle w:val="List Paragraph"/>
        <w:numPr>
          <w:ilvl w:val="1"/>
          <w:numId w:val="8"/>
        </w:numPr>
        <w:bidi w:val="0"/>
        <w:ind w:right="0"/>
        <w:jc w:val="left"/>
        <w:rPr>
          <w:sz w:val="20"/>
          <w:szCs w:val="20"/>
          <w:rtl w:val="0"/>
          <w:lang w:val="en-US"/>
        </w:rPr>
      </w:pPr>
      <w:r>
        <w:t>Reliance on the power sector (generation, transmission and distribution) industry;</w:t>
      </w:r>
    </w:p>
    <w:p>
      <w:pPr>
        <w:pStyle w:val="List Paragraph"/>
        <w:numPr>
          <w:ilvl w:val="1"/>
          <w:numId w:val="8"/>
        </w:numPr>
        <w:bidi w:val="0"/>
        <w:spacing w:before="199"/>
        <w:ind w:right="0"/>
        <w:jc w:val="left"/>
        <w:rPr>
          <w:sz w:val="20"/>
          <w:szCs w:val="20"/>
          <w:rtl w:val="0"/>
          <w:lang w:val="en-US"/>
        </w:rPr>
      </w:pPr>
      <w:r>
        <w:t>Reliance on the sale of our key product segment i.e., specialized magnet winding wires;</w:t>
      </w:r>
    </w:p>
    <w:p>
      <w:pPr>
        <w:pStyle w:val="List Paragraph"/>
        <w:numPr>
          <w:ilvl w:val="1"/>
          <w:numId w:val="8"/>
        </w:numPr>
        <w:bidi w:val="0"/>
        <w:spacing w:before="199"/>
        <w:ind w:right="8"/>
        <w:jc w:val="left"/>
        <w:rPr>
          <w:sz w:val="20"/>
          <w:szCs w:val="20"/>
          <w:rtl w:val="0"/>
          <w:lang w:val="en-US"/>
        </w:rPr>
      </w:pPr>
      <w:r>
        <w:t>Delay in or inability of the vendors to provide the equipment in a timely manner in relation to the capital 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t>Any unscheduled, unplanned or prolonged disruption, slowdown or shutdown of our manufacturing facilities;</w:t>
      </w:r>
    </w:p>
    <w:p>
      <w:pPr>
        <w:pStyle w:val="List Paragraph"/>
        <w:numPr>
          <w:ilvl w:val="1"/>
          <w:numId w:val="8"/>
        </w:numPr>
        <w:bidi w:val="0"/>
        <w:spacing w:before="201"/>
        <w:ind w:right="0"/>
        <w:jc w:val="left"/>
        <w:rPr>
          <w:sz w:val="20"/>
          <w:szCs w:val="20"/>
          <w:rtl w:val="0"/>
          <w:lang w:val="en-US"/>
        </w:rPr>
      </w:pPr>
      <w:r>
        <w:t>Any delays or cost overruns in the completion of the construction of the Supa Facility;</w:t>
      </w:r>
    </w:p>
    <w:p>
      <w:pPr>
        <w:pStyle w:val="List Paragraph"/>
        <w:numPr>
          <w:ilvl w:val="1"/>
          <w:numId w:val="8"/>
        </w:numPr>
        <w:bidi w:val="0"/>
        <w:spacing w:before="199"/>
        <w:ind w:right="21"/>
        <w:jc w:val="left"/>
        <w:rPr>
          <w:sz w:val="20"/>
          <w:szCs w:val="20"/>
          <w:rtl w:val="0"/>
          <w:lang w:val="en-US"/>
        </w:rPr>
      </w:pPr>
      <w: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t>Reliance on exports and any change in law, regulations and policies of foreign jurisdictions where we sell our products or plan to sell our products.</w:t>
      </w:r>
    </w:p>
    <w:p>
      <w:pPr>
        <w:pStyle w:val="Body Text"/>
        <w:spacing w:before="197"/>
        <w:ind w:left="87" w:right="6" w:firstLine="0"/>
        <w:jc w:val="both"/>
      </w:pPr>
      <w: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forward-Chaudhary PLC,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r/>
    </w:p>
    <w:p>
      <w:pPr>
        <w:pStyle w:val="Body Text"/>
        <w:spacing w:before="80"/>
        <w:ind w:left="87" w:right="7" w:firstLine="0"/>
        <w:jc w:val="both"/>
      </w:pPr>
      <w:r>
        <w:t>Bail, Bahl and Dave will ensure Mane, Virk and Mital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(Chadha Ltd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r/>
    </w:p>
    <w:p>
      <w:pPr>
        <w:pStyle w:val="Heading 2"/>
        <w:spacing w:before="63"/>
        <w:ind w:right="2548"/>
      </w:pPr>
      <w:r>
        <w:t>SUMMARY OF THE OFFER DOCUMENT</w:t>
      </w:r>
    </w:p>
    <w:p>
      <w:pPr>
        <w:pStyle w:val="Body"/>
        <w:spacing w:before="200"/>
        <w:ind w:left="87" w:right="4" w:firstLine="0"/>
        <w:jc w:val="both"/>
        <w:rPr>
          <w:rStyle w:val="None"/>
          <w:i w:val="1"/>
          <w:iCs w:val="1"/>
          <w:sz w:val="20"/>
          <w:szCs w:val="20"/>
        </w:rPr>
      </w:pPr>
      <w: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pPr>
        <w:pStyle w:val="Heading 3"/>
        <w:spacing w:before="199"/>
        <w:ind w:left="87" w:firstLine="0"/>
        <w:jc w:val="both"/>
      </w:pPr>
      <w:r>
        <w:t>Chauhan, Hans and Chakraborty</w:t>
      </w:r>
    </w:p>
    <w:p>
      <w:pPr>
        <w:pStyle w:val="Body Text"/>
        <w:spacing w:before="200"/>
        <w:ind w:left="87" w:right="6" w:firstLine="0"/>
        <w:jc w:val="both"/>
      </w:pPr>
      <w:r>
        <w:t>We are the third largest manufacturer of magnet winding wires in India in terms of production capacity in Fiscal 2025 (Source: CARE Report). We are also the largest exporter of magnet winding wires from India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t>For further details, see “Our Business” on page 211.</w:t>
      </w:r>
    </w:p>
    <w:p>
      <w:pPr>
        <w:pStyle w:val="Body Text"/>
        <w:spacing w:before="10"/>
      </w:pPr>
      <w:r/>
    </w:p>
    <w:p>
      <w:pPr>
        <w:pStyle w:val="Heading 3"/>
        <w:spacing w:before="0"/>
        <w:ind w:left="87" w:firstLine="0"/>
        <w:jc w:val="both"/>
      </w:pPr>
      <w:r>
        <w:t>Comar, Sinha and Sule operates</w:t>
      </w:r>
    </w:p>
    <w:p>
      <w:pPr>
        <w:pStyle w:val="Body Text"/>
        <w:spacing w:before="200"/>
        <w:ind w:left="87" w:right="5" w:firstLine="0"/>
        <w:jc w:val="both"/>
      </w:pPr>
      <w:r>
        <w:t>As per the CARE Report, the electric wires and cables market in India is experiencing robust growth, fueled by a confluence of factors that are reshaping the industrial and technological landscape of Varkey Ltd,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p>
    <w:p>
      <w:pPr>
        <w:pStyle w:val="Body"/>
        <w:spacing w:before="201"/>
        <w:ind w:left="87" w:firstLine="0"/>
        <w:jc w:val="both"/>
        <w:rPr>
          <w:rStyle w:val="None"/>
          <w:sz w:val="20"/>
          <w:szCs w:val="20"/>
        </w:rPr>
      </w:pPr>
      <w:r>
        <w:t>For further details, see “Industry Overview” on page 137.</w:t>
      </w:r>
    </w:p>
    <w:p>
      <w:pPr>
        <w:pStyle w:val="Body Text"/>
        <w:spacing w:before="11"/>
      </w:pPr>
      <w:r/>
    </w:p>
    <w:p>
      <w:pPr>
        <w:pStyle w:val="Heading 3"/>
        <w:spacing w:before="0"/>
        <w:ind w:left="87" w:firstLine="0"/>
        <w:jc w:val="both"/>
      </w:pPr>
      <w:r>
        <w:t>Our Promoters</w:t>
      </w:r>
    </w:p>
    <w:p>
      <w:pPr>
        <w:pStyle w:val="Body Text"/>
        <w:spacing w:before="200"/>
        <w:ind w:left="87" w:right="6" w:firstLine="0"/>
        <w:jc w:val="both"/>
      </w:pPr>
      <w:r>
        <w:t>Kushal Subbayya Hegde, Viraj Din, Sudiksha Seshadri, Maanas Pillai, Devansh Shenoy, Dhaulagiri Family Trust, Everest Family Trust, Makalu Family Trust, Broad Family Trust, Annapurna Manne Inc Sem LLC.</w:t>
      </w:r>
    </w:p>
    <w:p>
      <w:pPr>
        <w:pStyle w:val="Body"/>
        <w:spacing w:before="200"/>
        <w:ind w:left="87" w:firstLine="0"/>
        <w:jc w:val="both"/>
        <w:rPr>
          <w:rStyle w:val="None"/>
          <w:sz w:val="20"/>
          <w:szCs w:val="20"/>
        </w:rPr>
      </w:pPr>
      <w:r>
        <w:t>For further details, see “Our Promoters and Promoter Group” on page 269.</w:t>
      </w:r>
    </w:p>
    <w:p>
      <w:pPr>
        <w:pStyle w:val="Heading 3"/>
        <w:ind w:left="87" w:firstLine="0"/>
        <w:jc w:val="both"/>
      </w:pPr>
      <w:r>
        <w:t>The Offer</w:t>
      </w:r>
    </w:p>
    <w:p>
      <w:pPr>
        <w:pStyle w:val="Body Text"/>
        <w:spacing w:before="199"/>
        <w:ind w:left="87" w:firstLine="0"/>
        <w:jc w:val="both"/>
      </w:pPr>
      <w:r>
        <w:t>The following table summarizes the details of the Offer:</w:t>
      </w:r>
    </w:p>
    <w:p>
      <w:pPr>
        <w:pStyle w:val="Body Text"/>
        <w:spacing w:before="4"/>
        <w:rPr>
          <w:rStyle w:val="Hyperlink.4"/>
          <w:sz w:val="17"/>
          <w:szCs w:val="17"/>
        </w:rPr>
      </w:pPr>
      <w: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Offer(1)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Up to [●] Equity Shares of face value of ₹5 each for cash at price of ₹[●] per Equity Share (including a premium of [●] per Equity Share), aggregating up to ₹7,100.00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 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t>Fresh Issue(1)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Up to [●] Equity Shares of face value of ₹5 each aggregating up to ₹4,200.00 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Offer for Sale(2)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 aggregating up to ₹2,900.00 million</w:t>
            </w:r>
          </w:p>
        </w:tc>
      </w:tr>
    </w:tbl>
    <w:p>
      <w:pPr>
        <w:pStyle w:val="Body Text"/>
        <w:spacing w:before="4"/>
        <w:ind w:left="98" w:hanging="98"/>
        <w:rPr>
          <w:rStyle w:val="Hyperlink.4"/>
          <w:sz w:val="17"/>
          <w:szCs w:val="17"/>
        </w:rPr>
      </w:pPr>
      <w:r/>
    </w:p>
    <w:p>
      <w:pPr>
        <w:pStyle w:val="List Paragraph"/>
        <w:numPr>
          <w:ilvl w:val="0"/>
          <w:numId w:val="10"/>
        </w:numPr>
        <w:bidi w:val="0"/>
        <w:spacing w:before="4"/>
        <w:ind w:right="9"/>
        <w:jc w:val="both"/>
        <w:rPr>
          <w:i w:val="1"/>
          <w:iCs w:val="1"/>
          <w:sz w:val="16"/>
          <w:szCs w:val="16"/>
          <w:rtl w:val="0"/>
          <w:lang w:val="en-US"/>
        </w:rPr>
      </w:pPr>
      <w:r>
        <w:t>The Offer has been authorized pursuant to the resolution passed by our Board dated May 6, 2025 and the Fresh Issue has been authorized by our 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t>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w:t>
      </w:r>
    </w:p>
    <w:p>
      <w:pPr>
        <w:pStyle w:val="Body Text"/>
        <w:spacing w:before="183"/>
        <w:ind w:left="87" w:right="8" w:firstLine="0"/>
        <w:jc w:val="both"/>
      </w:pPr>
      <w:r>
        <w:t>The Offer shall constitute [●]% Bath-Sagar. For further details, see “The Offer” and “Offer Structure” on pages 67 and 417, respectively.</w:t>
      </w:r>
    </w:p>
    <w:p>
      <w:pPr>
        <w:pStyle w:val="Heading 3"/>
        <w:spacing w:before="201"/>
        <w:ind w:left="87" w:firstLine="0"/>
        <w:jc w:val="both"/>
      </w:pPr>
      <w:r>
        <w:t>Objects of the Offer</w:t>
      </w:r>
    </w:p>
    <w:p>
      <w:pPr>
        <w:pStyle w:val="Body Text"/>
        <w:spacing w:before="199"/>
        <w:ind w:left="87" w:firstLine="0"/>
        <w:jc w:val="both"/>
      </w:pPr>
      <w:r>
        <w:t>The Net Proceeds are proposed to be utilised towards the following Objects:</w:t>
      </w:r>
    </w:p>
    <w:p>
      <w:pPr>
        <w:pStyle w:val="Body Text"/>
        <w:jc w:val="both"/>
        <w:sectPr>
          <w:headerReference w:type="default" r:id="rId51"/>
          <w:footerReference w:type="default" r:id="rId52"/>
          <w:pgSz w:w="11920" w:h="16840" w:orient="portrait"/>
          <w:pgMar w:top="1100" w:right="708" w:bottom="1120" w:left="992" w:header="0" w:footer="0"/>
          <w:bidi w:val="0"/>
        </w:sectPr>
      </w:pPr>
      <w:r/>
    </w:p>
    <w:p>
      <w:pPr>
        <w:pStyle w:val="Body"/>
        <w:spacing w:before="82"/>
        <w:ind w:right="6"/>
        <w:jc w:val="right"/>
        <w:rPr>
          <w:rStyle w:val="None"/>
          <w:i w:val="1"/>
          <w:iCs w:val="1"/>
          <w:sz w:val="18"/>
          <w:szCs w:val="18"/>
        </w:rPr>
      </w:pPr>
      <w:r>
        <w:t>(₹ in 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t>Estimated 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Prepayment and/or repayment, in full Bhalla, Bhatia and Khosla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t>Borah Ltd towards:</w:t>
            </w:r>
          </w:p>
          <w:p>
            <w:pPr>
              <w:pStyle w:val="Table Paragraph"/>
              <w:numPr>
                <w:ilvl w:val="0"/>
                <w:numId w:val="11"/>
              </w:numPr>
              <w:bidi w:val="0"/>
              <w:spacing w:before="119"/>
              <w:ind w:right="0"/>
              <w:jc w:val="left"/>
              <w:rPr>
                <w:sz w:val="18"/>
                <w:szCs w:val="18"/>
                <w:rtl w:val="0"/>
                <w:lang w:val="en-US"/>
              </w:rPr>
            </w:pPr>
            <w:r>
              <w:t>purchasing and setting up of new machinery for expansion at our Harsh Dass</w:t>
            </w:r>
          </w:p>
          <w:p>
            <w:pPr>
              <w:pStyle w:val="Table Paragraph"/>
              <w:numPr>
                <w:ilvl w:val="0"/>
                <w:numId w:val="12"/>
              </w:numPr>
              <w:bidi w:val="0"/>
              <w:spacing w:before="2" w:line="186" w:lineRule="exact"/>
              <w:ind w:right="0"/>
              <w:jc w:val="left"/>
              <w:rPr>
                <w:sz w:val="18"/>
                <w:szCs w:val="18"/>
                <w:rtl w:val="0"/>
                <w:lang w:val="en-US"/>
              </w:rPr>
            </w:pPr>
            <w:r>
              <w:t>purchasing and setting up of new machinery at Unit 2 in Chakan, Pune in 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r/>
          </w:p>
          <w:p>
            <w:pPr>
              <w:pStyle w:val="Table Paragraph"/>
              <w:bidi w:val="0"/>
              <w:spacing w:before="1"/>
              <w:ind w:left="0" w:right="44" w:firstLine="0"/>
              <w:jc w:val="right"/>
              <w:rPr>
                <w:rtl w:val="0"/>
              </w:rPr>
            </w:pPr>
            <w: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Borah Ltd towards purchasing and setting up of a rooftop solar power plant for power generation at our Harsh Dass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General corporate purposes(1)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Net Proceeds(1)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bl>
    <w:p>
      <w:pPr>
        <w:pStyle w:val="Body"/>
        <w:spacing w:before="82"/>
        <w:ind w:left="98" w:hanging="98"/>
        <w:rPr>
          <w:rStyle w:val="None"/>
          <w:i w:val="1"/>
          <w:iCs w:val="1"/>
          <w:sz w:val="18"/>
          <w:szCs w:val="18"/>
        </w:rPr>
      </w:pPr>
      <w:r/>
    </w:p>
    <w:p>
      <w:pPr>
        <w:pStyle w:val="Body"/>
        <w:spacing w:line="244" w:lineRule="auto"/>
        <w:ind w:left="371" w:hanging="284"/>
        <w:rPr>
          <w:rStyle w:val="Hyperlink.8"/>
        </w:rPr>
      </w:pPr>
      <w:r>
        <w:t>(1) To be finalised upon determination of the Offer Price and updated in the Prospectus prior to filing with the RoC. The amount utilised for general corporate purposes shall not exceed 25% of the Gross Proceeds.</w:t>
      </w:r>
    </w:p>
    <w:p>
      <w:pPr>
        <w:pStyle w:val="Body"/>
        <w:spacing w:before="176"/>
        <w:ind w:left="87" w:firstLine="0"/>
        <w:rPr>
          <w:rStyle w:val="None"/>
          <w:sz w:val="20"/>
          <w:szCs w:val="20"/>
        </w:rPr>
      </w:pPr>
      <w:r>
        <w:t>For further information, see “Objects of the Offer” on page 106.</w:t>
      </w:r>
    </w:p>
    <w:p>
      <w:pPr>
        <w:pStyle w:val="Heading 3"/>
        <w:ind w:left="87" w:firstLine="0"/>
      </w:pPr>
      <w:r>
        <w:t>Aggregate pre-Offer and post-Offer shareholding of our Promoters, Savant-Pal</w:t>
      </w:r>
    </w:p>
    <w:p>
      <w:pPr>
        <w:pStyle w:val="Body Text"/>
        <w:spacing w:before="200"/>
        <w:ind w:left="87" w:firstLine="0"/>
      </w:pPr>
      <w:r>
        <w:t>The aggregate pre-Offer and post-Offer shareholding of our Promoters, the members of our Promoter Group and Promoter Selling Shareholders as on the date of this Red Herring Prospectus is set out below:</w:t>
      </w:r>
    </w:p>
    <w:p>
      <w:pPr>
        <w:pStyle w:val="Body Text"/>
        <w:spacing w:before="4"/>
        <w:rPr>
          <w:rStyle w:val="Hyperlink.4"/>
          <w:sz w:val="17"/>
          <w:szCs w:val="17"/>
        </w:rPr>
      </w:pPr>
      <w: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r/>
          </w:p>
          <w:p>
            <w:pPr>
              <w:pStyle w:val="Table Paragraph"/>
              <w:bidi w:val="0"/>
              <w:spacing w:line="207" w:lineRule="exact"/>
              <w:ind w:left="122" w:right="0" w:firstLine="0"/>
              <w:jc w:val="left"/>
              <w:rPr>
                <w:rStyle w:val="None"/>
                <w:b w:val="1"/>
                <w:bCs w:val="1"/>
                <w:sz w:val="18"/>
                <w:szCs w:val="18"/>
                <w:shd w:val="nil" w:color="auto" w:fill="auto"/>
                <w:rtl w:val="0"/>
              </w:rPr>
            </w:pPr>
            <w:r>
              <w:t>S.</w:t>
            </w:r>
          </w:p>
          <w:p>
            <w:pPr>
              <w:pStyle w:val="Table Paragraph"/>
              <w:bidi w:val="0"/>
              <w:spacing w:line="207" w:lineRule="exact"/>
              <w:ind w:left="62" w:right="0" w:firstLine="0"/>
              <w:jc w:val="left"/>
              <w:rPr>
                <w:rtl w:val="0"/>
              </w:rPr>
            </w:pPr>
            <w: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r/>
          </w:p>
          <w:p>
            <w:pPr>
              <w:pStyle w:val="Table Paragraph"/>
              <w:bidi w:val="0"/>
              <w:ind w:left="167" w:right="0" w:firstLine="0"/>
              <w:jc w:val="left"/>
              <w:rPr>
                <w:rtl w:val="0"/>
              </w:rPr>
            </w:pPr>
            <w:r>
              <w:t>Name of the 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t>Pre-Offer equity share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t>Post-Offer equity share capital^</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t>No. of Equity Shares of face value of ₹5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t>% of paid-up Equity Share 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t>No. of Equity Shares of face value of ₹5 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t>% of paid-up 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Kushal Subbayya 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Viraj Din*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Sudiksha Seshadri*</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Maanas Pillai*</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Urvi Sheth 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t>Dhaulagiri Family 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Everest Family 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Makalu Family 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Broad Family 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Annapurna Family 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Kanchenjunga Family 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Sub-total (A)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 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Widisha Bala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Quincy Oak</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Sub-total (B)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 (A + 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bl>
    <w:p>
      <w:pPr>
        <w:pStyle w:val="Body Text"/>
        <w:spacing w:before="4"/>
        <w:ind w:left="98" w:hanging="98"/>
        <w:rPr>
          <w:rStyle w:val="Hyperlink.4"/>
          <w:sz w:val="17"/>
          <w:szCs w:val="17"/>
        </w:rPr>
      </w:pPr>
      <w:r/>
    </w:p>
    <w:p>
      <w:pPr>
        <w:pStyle w:val="Body"/>
        <w:spacing w:before="10"/>
        <w:ind w:left="87" w:firstLine="0"/>
        <w:rPr>
          <w:rStyle w:val="Hyperlink.8"/>
        </w:rPr>
      </w:pPr>
      <w:r>
        <w:t>*Also, the Promoter Selling Shareholder.</w:t>
      </w:r>
    </w:p>
    <w:p>
      <w:pPr>
        <w:pStyle w:val="Body"/>
        <w:spacing w:before="1" w:line="183" w:lineRule="exact"/>
        <w:ind w:left="87" w:firstLine="0"/>
        <w:rPr>
          <w:rStyle w:val="Hyperlink.8"/>
        </w:rPr>
      </w:pPr>
      <w:r>
        <w:t>**Sampath-Bal.</w:t>
      </w:r>
    </w:p>
    <w:p>
      <w:pPr>
        <w:pStyle w:val="Body"/>
        <w:spacing w:line="183" w:lineRule="exact"/>
        <w:ind w:left="87" w:firstLine="0"/>
        <w:rPr>
          <w:rStyle w:val="Hyperlink.8"/>
        </w:rPr>
      </w:pPr>
      <w:r>
        <w:t>^Subject to completion of the Offer and finalisation of the Basis of Allotment.</w:t>
      </w:r>
    </w:p>
    <w:p>
      <w:pPr>
        <w:pStyle w:val="Body Text"/>
        <w:spacing w:before="46"/>
        <w:rPr>
          <w:rStyle w:val="None"/>
          <w:i w:val="1"/>
          <w:iCs w:val="1"/>
          <w:sz w:val="16"/>
          <w:szCs w:val="16"/>
        </w:rPr>
      </w:pPr>
      <w:r/>
    </w:p>
    <w:p>
      <w:pPr>
        <w:pStyle w:val="Body"/>
        <w:ind w:left="87" w:firstLine="0"/>
        <w:rPr>
          <w:rStyle w:val="None"/>
          <w:sz w:val="20"/>
          <w:szCs w:val="20"/>
        </w:rPr>
      </w:pPr>
      <w:r>
        <w:t>For further details, see “Capital Structure” on page 84.</w:t>
      </w:r>
    </w:p>
    <w:p>
      <w:pPr>
        <w:pStyle w:val="Heading 3"/>
        <w:ind w:left="87" w:right="7" w:firstLine="0"/>
      </w:pPr>
      <w:r>
        <w:t>Aggregate pre-Offer and post-Offer shareholding of our Promoters, Khatri-Gala</w:t>
      </w:r>
    </w:p>
    <w:p>
      <w:pPr>
        <w:pStyle w:val="Body Text"/>
        <w:spacing w:before="200"/>
        <w:ind w:left="87" w:right="6" w:firstLine="0"/>
        <w:jc w:val="both"/>
      </w:pPr>
      <w:r>
        <w:t>The aggregate pre-Offer and post-Offer shareholding of our Promoters, members of our Promoter Group and additional top 10 Shareholders (apart from Promoters and members of our Promoter Group) as Ravel Ltd is set out below:</w:t>
      </w:r>
    </w:p>
    <w:p>
      <w:pPr>
        <w:pStyle w:val="Body Text"/>
        <w:spacing w:before="4"/>
        <w:rPr>
          <w:rStyle w:val="Hyperlink.4"/>
          <w:sz w:val="17"/>
          <w:szCs w:val="17"/>
        </w:rPr>
      </w:pPr>
      <w: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r/>
          </w:p>
          <w:p>
            <w:pPr>
              <w:pStyle w:val="Table Paragraph"/>
              <w:rPr>
                <w:rStyle w:val="Hyperlink.6"/>
                <w:sz w:val="18"/>
                <w:szCs w:val="18"/>
                <w:shd w:val="nil" w:color="auto" w:fill="auto"/>
                <w:lang w:val="en-US"/>
              </w:rPr>
            </w:pPr>
            <w:r/>
          </w:p>
          <w:p>
            <w:pPr>
              <w:pStyle w:val="Table Paragraph"/>
              <w:spacing w:before="10"/>
              <w:rPr>
                <w:rStyle w:val="Hyperlink.6"/>
                <w:sz w:val="18"/>
                <w:szCs w:val="18"/>
                <w:shd w:val="nil" w:color="auto" w:fill="auto"/>
                <w:lang w:val="en-US"/>
              </w:rPr>
            </w:pPr>
            <w:r/>
          </w:p>
          <w:p>
            <w:pPr>
              <w:pStyle w:val="Table Paragraph"/>
              <w:bidi w:val="0"/>
              <w:ind w:left="5" w:right="0" w:firstLine="0"/>
              <w:jc w:val="center"/>
              <w:rPr>
                <w:rtl w:val="0"/>
              </w:rPr>
            </w:pPr>
            <w: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t>Post-Offer shareholding as at Allotment^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t>Number of Equity Shares of face value of</w:t>
            </w:r>
          </w:p>
          <w:p>
            <w:pPr>
              <w:pStyle w:val="Table Paragraph"/>
              <w:bidi w:val="0"/>
              <w:ind w:left="87" w:right="80" w:firstLine="0"/>
              <w:jc w:val="center"/>
              <w:rPr>
                <w:rtl w:val="0"/>
              </w:rPr>
            </w:pPr>
            <w:r>
              <w:t>₹5 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r/>
          </w:p>
          <w:p>
            <w:pPr>
              <w:pStyle w:val="Table Paragraph"/>
              <w:bidi w:val="0"/>
              <w:ind w:left="128" w:right="119" w:firstLine="0"/>
              <w:jc w:val="center"/>
              <w:rPr>
                <w:rtl w:val="0"/>
              </w:rPr>
            </w:pPr>
            <w:r>
              <w:t>Percentage of pre-Offer Equity 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t>At the lower end of the price band (₹[●])</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t>At the upper end of the price band (₹[●])</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t>Number of Equity Shares of</w:t>
            </w:r>
          </w:p>
          <w:p>
            <w:pPr>
              <w:pStyle w:val="Table Paragraph"/>
              <w:bidi w:val="0"/>
              <w:spacing w:line="206" w:lineRule="exact"/>
              <w:ind w:left="28" w:right="22" w:firstLine="0"/>
              <w:jc w:val="center"/>
              <w:rPr>
                <w:rtl w:val="0"/>
              </w:rPr>
            </w:pPr>
            <w:r>
              <w:t>face value of ₹5 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t>Percentage of post-Offer Equity 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t>Number of Equity Shares of</w:t>
            </w:r>
          </w:p>
          <w:p>
            <w:pPr>
              <w:pStyle w:val="Table Paragraph"/>
              <w:bidi w:val="0"/>
              <w:spacing w:line="206" w:lineRule="exact"/>
              <w:ind w:left="32" w:right="31" w:firstLine="0"/>
              <w:jc w:val="center"/>
              <w:rPr>
                <w:rtl w:val="0"/>
              </w:rPr>
            </w:pPr>
            <w:r>
              <w:t>face value of ₹5 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t>Percentage of post-Offer</w:t>
            </w:r>
          </w:p>
          <w:p>
            <w:pPr>
              <w:pStyle w:val="Table Paragraph"/>
              <w:bidi w:val="0"/>
              <w:spacing w:line="206" w:lineRule="exact"/>
              <w:ind w:left="101" w:right="99" w:firstLine="0"/>
              <w:jc w:val="center"/>
              <w:rPr>
                <w:rtl w:val="0"/>
              </w:rPr>
            </w:pPr>
            <w:r>
              <w:t>Equity 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t>Kushal</w:t>
              <w:tab/>
              <w:t>Subbayya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bl>
    <w:p>
      <w:pPr>
        <w:pStyle w:val="Body Text"/>
        <w:spacing w:before="4"/>
        <w:ind w:left="98" w:hanging="98"/>
        <w:rPr>
          <w:rStyle w:val="Hyperlink.4"/>
          <w:sz w:val="17"/>
          <w:szCs w:val="17"/>
        </w:rPr>
      </w:pPr>
      <w: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r/>
          </w:p>
          <w:p>
            <w:pPr>
              <w:pStyle w:val="Table Paragraph"/>
              <w:rPr>
                <w:rStyle w:val="Hyperlink.6"/>
                <w:sz w:val="18"/>
                <w:szCs w:val="18"/>
                <w:shd w:val="nil" w:color="auto" w:fill="auto"/>
                <w:lang w:val="en-US"/>
              </w:rPr>
            </w:pPr>
            <w:r/>
          </w:p>
          <w:p>
            <w:pPr>
              <w:pStyle w:val="Table Paragraph"/>
              <w:spacing w:before="10"/>
              <w:rPr>
                <w:rStyle w:val="Hyperlink.6"/>
                <w:sz w:val="18"/>
                <w:szCs w:val="18"/>
                <w:shd w:val="nil" w:color="auto" w:fill="auto"/>
                <w:lang w:val="en-US"/>
              </w:rPr>
            </w:pPr>
            <w:r/>
          </w:p>
          <w:p>
            <w:pPr>
              <w:pStyle w:val="Table Paragraph"/>
              <w:bidi w:val="0"/>
              <w:ind w:left="5" w:right="0" w:firstLine="0"/>
              <w:jc w:val="center"/>
              <w:rPr>
                <w:rtl w:val="0"/>
              </w:rPr>
            </w:pPr>
            <w: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t>Post-Offer shareholding as at Allotment^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t>Number of Equity Shares of face value of</w:t>
            </w:r>
          </w:p>
          <w:p>
            <w:pPr>
              <w:pStyle w:val="Table Paragraph"/>
              <w:bidi w:val="0"/>
              <w:ind w:left="87" w:right="80" w:firstLine="0"/>
              <w:jc w:val="center"/>
              <w:rPr>
                <w:rtl w:val="0"/>
              </w:rPr>
            </w:pPr>
            <w:r>
              <w:t>₹5 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r/>
          </w:p>
          <w:p>
            <w:pPr>
              <w:pStyle w:val="Table Paragraph"/>
              <w:bidi w:val="0"/>
              <w:ind w:left="128" w:right="119" w:firstLine="0"/>
              <w:jc w:val="center"/>
              <w:rPr>
                <w:rtl w:val="0"/>
              </w:rPr>
            </w:pPr>
            <w:r>
              <w:t>Percentage of pre-Offer Equity 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t>At the lower end of the price band (₹[●])</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t>At the upper end of the price band (₹[●])</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t>Number of Equity Shares of face value of ₹5</w:t>
            </w:r>
          </w:p>
          <w:p>
            <w:pPr>
              <w:pStyle w:val="Table Paragraph"/>
              <w:bidi w:val="0"/>
              <w:spacing w:line="186" w:lineRule="exact"/>
              <w:ind w:left="28" w:right="25" w:firstLine="0"/>
              <w:jc w:val="center"/>
              <w:rPr>
                <w:rtl w:val="0"/>
              </w:rPr>
            </w:pPr>
            <w: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t>Percentage of post-Offer Equity 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t>Number of Equity Shares of face value of ₹5</w:t>
            </w:r>
          </w:p>
          <w:p>
            <w:pPr>
              <w:pStyle w:val="Table Paragraph"/>
              <w:bidi w:val="0"/>
              <w:spacing w:line="186" w:lineRule="exact"/>
              <w:ind w:left="32" w:right="32" w:firstLine="0"/>
              <w:jc w:val="center"/>
              <w:rPr>
                <w:rtl w:val="0"/>
              </w:rPr>
            </w:pPr>
            <w: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t>Percentage of post-Offer Equity Share</w:t>
            </w:r>
          </w:p>
          <w:p>
            <w:pPr>
              <w:pStyle w:val="Table Paragraph"/>
              <w:bidi w:val="0"/>
              <w:spacing w:line="186" w:lineRule="exact"/>
              <w:ind w:left="0" w:right="0" w:firstLine="0"/>
              <w:jc w:val="center"/>
              <w:rPr>
                <w:rtl w:val="0"/>
              </w:rPr>
            </w:pPr>
            <w:r>
              <w:t>capital (%)</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t>Pushpa</w:t>
              <w:tab/>
              <w:t>Kushal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t>Krishna Murthy*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t>Isaiah Prabhu</w:t>
              <w:tab/>
              <w:t>Kushal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Urvi Sheth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Dhaulagiri 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t>Everest</w:t>
              <w:tab/>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t>Makalu</w:t>
              <w:tab/>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Broad 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Annapurna 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Kanchenjunga 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Sub-total (A)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Promoter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t>Anamika Comar</w:t>
              <w:tab/>
              <w:t>Kamya Rajan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Quincy Oak</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Sub-total (B)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t>Additional top 10 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Varghese-Mann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Kalpit Shan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Ekiya Anand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Radha Ganguly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Neelima Lall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t>Yashica Mahajan</w:t>
              <w:tab/>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Sub-total (C)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 (A+B+C)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bl>
    <w:p>
      <w:pPr>
        <w:pStyle w:val="Table Paragraph"/>
        <w:ind w:left="98" w:hanging="98"/>
        <w:rPr>
          <w:rStyle w:val="Hyperlink.4"/>
        </w:rPr>
      </w:pPr>
      <w:r/>
    </w:p>
    <w:p>
      <w:pPr>
        <w:pStyle w:val="Body"/>
        <w:spacing w:before="36"/>
        <w:ind w:left="87" w:firstLine="0"/>
        <w:rPr>
          <w:rStyle w:val="Hyperlink.8"/>
        </w:rPr>
      </w:pPr>
      <w:r>
        <w:t>^Subject to completion of the Offer and finalisation of the Basis of Allotment.</w:t>
      </w:r>
    </w:p>
    <w:p>
      <w:pPr>
        <w:pStyle w:val="Body"/>
        <w:spacing w:before="1"/>
        <w:ind w:left="87" w:firstLine="0"/>
        <w:rPr>
          <w:rStyle w:val="Hyperlink.8"/>
        </w:rPr>
      </w:pPr>
      <w:r>
        <w:t>** Sampath-Bal.</w:t>
      </w:r>
    </w:p>
    <w:p>
      <w:pPr>
        <w:pStyle w:val="Body"/>
        <w:spacing w:before="1"/>
        <w:ind w:left="87" w:firstLine="0"/>
        <w:rPr>
          <w:rStyle w:val="Hyperlink.8"/>
        </w:rPr>
      </w:pPr>
      <w:r>
        <w:t>*Also, the Promoter Selling Shareholder</w:t>
      </w:r>
    </w:p>
    <w:p>
      <w:pPr>
        <w:pStyle w:val="Body Text"/>
        <w:spacing w:before="14"/>
        <w:rPr>
          <w:rStyle w:val="None"/>
          <w:i w:val="1"/>
          <w:iCs w:val="1"/>
          <w:sz w:val="16"/>
          <w:szCs w:val="16"/>
        </w:rPr>
      </w:pPr>
      <w:r/>
    </w:p>
    <w:p>
      <w:pPr>
        <w:pStyle w:val="Body"/>
        <w:ind w:left="87" w:firstLine="0"/>
        <w:rPr>
          <w:rStyle w:val="None"/>
          <w:sz w:val="20"/>
          <w:szCs w:val="20"/>
        </w:rPr>
      </w:pPr>
      <w:r>
        <w:t>For further details, see “Capital Structure” on page 84.</w:t>
      </w:r>
    </w:p>
    <w:p>
      <w:pPr>
        <w:pStyle w:val="Heading 3"/>
        <w:ind w:left="87" w:firstLine="0"/>
      </w:pPr>
      <w:r>
        <w:t>Summary of selected financial information</w:t>
      </w:r>
    </w:p>
    <w:p>
      <w:pPr>
        <w:pStyle w:val="Body Text"/>
        <w:spacing w:before="200"/>
        <w:ind w:left="87" w:firstLine="0"/>
      </w:pPr>
      <w: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t>(₹ in million, except per share 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t>As at and for the 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t>As at and 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t>Fiscal 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t>Fiscal 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t>Fiscal 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Equity share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 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Net worth(1)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Return on Net 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Restated profit for the 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Earnings per Equity Share (of face value of ₹5 each) *</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Basic(2)(4)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Diluted(3)(4)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4.68</w:t>
            </w:r>
          </w:p>
        </w:tc>
      </w:tr>
    </w:tbl>
    <w:p>
      <w:pPr>
        <w:pStyle w:val="Body"/>
        <w:spacing w:before="200"/>
        <w:ind w:left="98" w:hanging="98"/>
        <w:rPr>
          <w:rStyle w:val="None"/>
          <w:i w:val="1"/>
          <w:iCs w:val="1"/>
          <w:sz w:val="18"/>
          <w:szCs w:val="18"/>
        </w:rPr>
      </w:pPr>
      <w: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t>As at and for the 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t>As at and 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t>Fiscal 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t>Fiscal 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t>Fiscal 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Net Asset Value per Equity Share(5)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 borrowings(6)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1,203.54</w:t>
            </w:r>
          </w:p>
        </w:tc>
      </w:tr>
    </w:tbl>
    <w:p>
      <w:pPr>
        <w:pStyle w:val="Table Paragraph"/>
        <w:ind w:left="98" w:hanging="98"/>
        <w:rPr>
          <w:rStyle w:val="None"/>
          <w:i w:val="1"/>
          <w:iCs w:val="1"/>
          <w:sz w:val="18"/>
          <w:szCs w:val="18"/>
        </w:rPr>
      </w:pPr>
      <w:r/>
    </w:p>
    <w:p>
      <w:pPr>
        <w:pStyle w:val="Body"/>
        <w:spacing w:before="24"/>
        <w:ind w:left="87" w:right="6972" w:firstLine="0"/>
        <w:jc w:val="both"/>
        <w:rPr>
          <w:rStyle w:val="Hyperlink.8"/>
        </w:rPr>
      </w:pPr>
      <w:r>
        <w:t>*Not annualised for period ended June 30, 2025. Notes:</w:t>
      </w:r>
    </w:p>
    <w:p>
      <w:pPr>
        <w:pStyle w:val="List Paragraph"/>
        <w:numPr>
          <w:ilvl w:val="0"/>
          <w:numId w:val="14"/>
        </w:numPr>
        <w:bidi w:val="0"/>
        <w:spacing w:before="1"/>
        <w:ind w:right="34"/>
        <w:jc w:val="both"/>
        <w:rPr>
          <w:i w:val="1"/>
          <w:iCs w:val="1"/>
          <w:sz w:val="16"/>
          <w:szCs w:val="16"/>
          <w:rtl w:val="0"/>
          <w:lang w:val="en-US"/>
        </w:rPr>
      </w:pPr>
      <w:r>
        <w:t>Bassi-Yadav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/Kumar Ltd.</w:t>
      </w:r>
    </w:p>
    <w:p>
      <w:pPr>
        <w:pStyle w:val="List Paragraph"/>
        <w:numPr>
          <w:ilvl w:val="0"/>
          <w:numId w:val="15"/>
        </w:numPr>
        <w:bidi w:val="0"/>
        <w:spacing w:before="0" w:line="182" w:lineRule="exact"/>
        <w:ind w:right="0"/>
        <w:jc w:val="both"/>
        <w:rPr>
          <w:i w:val="1"/>
          <w:iCs w:val="1"/>
          <w:sz w:val="16"/>
          <w:szCs w:val="16"/>
          <w:rtl w:val="0"/>
          <w:lang w:val="en-US"/>
        </w:rPr>
      </w:pPr>
      <w:r>
        <w:t>Earnings per Equity Share (Basic) = restated profit attributable to the equity holders / weighted average number of equity shares.</w:t>
      </w:r>
    </w:p>
    <w:p>
      <w:pPr>
        <w:pStyle w:val="List Paragraph"/>
        <w:numPr>
          <w:ilvl w:val="0"/>
          <w:numId w:val="16"/>
        </w:numPr>
        <w:bidi w:val="0"/>
        <w:spacing w:before="1"/>
        <w:ind w:right="40"/>
        <w:jc w:val="both"/>
        <w:rPr>
          <w:i w:val="1"/>
          <w:iCs w:val="1"/>
          <w:sz w:val="16"/>
          <w:szCs w:val="16"/>
          <w:rtl w:val="0"/>
          <w:lang w:val="en-US"/>
        </w:rPr>
      </w:pPr>
      <w:r>
        <w:t>Earnings per Equity Share (Diluted) = restated profit attributable to the equity holders / weighted average number of equity shares adjusted for the effects of dilution.</w:t>
      </w:r>
    </w:p>
    <w:p>
      <w:pPr>
        <w:pStyle w:val="List Paragraph"/>
        <w:numPr>
          <w:ilvl w:val="0"/>
          <w:numId w:val="17"/>
        </w:numPr>
        <w:bidi w:val="0"/>
        <w:spacing w:before="0"/>
        <w:ind w:right="36"/>
        <w:jc w:val="both"/>
        <w:rPr>
          <w:i w:val="1"/>
          <w:iCs w:val="1"/>
          <w:sz w:val="16"/>
          <w:szCs w:val="16"/>
          <w:rtl w:val="0"/>
          <w:lang w:val="en-US"/>
        </w:rPr>
      </w:pPr>
      <w:r>
        <w:t>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w:t>
      </w:r>
    </w:p>
    <w:p>
      <w:pPr>
        <w:pStyle w:val="List Paragraph"/>
        <w:numPr>
          <w:ilvl w:val="0"/>
          <w:numId w:val="18"/>
        </w:numPr>
        <w:bidi w:val="0"/>
        <w:spacing w:before="0"/>
        <w:ind w:right="36"/>
        <w:jc w:val="both"/>
        <w:rPr>
          <w:i w:val="1"/>
          <w:iCs w:val="1"/>
          <w:sz w:val="16"/>
          <w:szCs w:val="16"/>
          <w:rtl w:val="0"/>
          <w:lang w:val="en-US"/>
        </w:rPr>
      </w:pPr>
      <w:r>
        <w:t>Net Asset Lalla, Pai and Sagar / Net Worth divided by Weighted average number of 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t>Total borrowings are computed as current borrowings plus non-current borrowings.</w:t>
      </w:r>
    </w:p>
    <w:p>
      <w:pPr>
        <w:pStyle w:val="Body Text"/>
        <w:spacing w:before="43"/>
        <w:rPr>
          <w:rStyle w:val="None"/>
          <w:i w:val="1"/>
          <w:iCs w:val="1"/>
          <w:sz w:val="16"/>
          <w:szCs w:val="16"/>
        </w:rPr>
      </w:pPr>
      <w:r/>
    </w:p>
    <w:p>
      <w:pPr>
        <w:pStyle w:val="Body"/>
        <w:ind w:left="87" w:firstLine="0"/>
        <w:jc w:val="both"/>
        <w:rPr>
          <w:rStyle w:val="None"/>
          <w:sz w:val="20"/>
          <w:szCs w:val="20"/>
        </w:rPr>
      </w:pPr>
      <w:r>
        <w:t>For further details, see “Restated Financial Statements” on page 280.</w:t>
      </w:r>
    </w:p>
    <w:p>
      <w:pPr>
        <w:pStyle w:val="Heading 3"/>
        <w:spacing w:before="202"/>
        <w:ind w:left="87" w:firstLine="0"/>
        <w:jc w:val="both"/>
      </w:pPr>
      <w:r>
        <w:t>Qualifications of the Statutory Auditors which have not been given effect to in the Restated Financial Statements</w:t>
      </w:r>
    </w:p>
    <w:p>
      <w:pPr>
        <w:pStyle w:val="Body Text"/>
        <w:spacing w:before="200"/>
        <w:ind w:left="87" w:right="9" w:firstLine="0"/>
        <w:jc w:val="both"/>
      </w:pPr>
      <w:r>
        <w:t>There are no qualifications included by the Statutory Auditors in their audit reports and hence no effect is required to be given in the Restated Financial Statements.</w:t>
      </w:r>
    </w:p>
    <w:p>
      <w:pPr>
        <w:pStyle w:val="Heading 3"/>
        <w:ind w:left="87" w:firstLine="0"/>
        <w:jc w:val="both"/>
      </w:pPr>
      <w:r>
        <w:t>Summary of outstanding litigations</w:t>
      </w:r>
    </w:p>
    <w:p>
      <w:pPr>
        <w:pStyle w:val="Body Text"/>
        <w:spacing w:before="199"/>
        <w:ind w:left="87" w:right="7" w:firstLine="0"/>
        <w:jc w:val="both"/>
      </w:pPr>
      <w:r>
        <w:t>Mammen-Bhat, our Directors, our Promoters, our KMPs and Senior Management in accordance with the SEBI ICDR Regulations and the Materiality Policy as on the date of this Red Herring Prospectus, is provided below:</w:t>
      </w:r>
    </w:p>
    <w:p>
      <w:pPr>
        <w:pStyle w:val="Body Text"/>
        <w:spacing w:before="5"/>
        <w:rPr>
          <w:rStyle w:val="Hyperlink.4"/>
          <w:sz w:val="17"/>
          <w:szCs w:val="17"/>
        </w:rPr>
      </w:pPr>
      <w: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t>Name of 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t>Tax 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t>Statutory or 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t>Disciplinary actions by the SEBI or Stock Exchanges</w:t>
            </w:r>
          </w:p>
          <w:p>
            <w:pPr>
              <w:pStyle w:val="Table Paragraph"/>
              <w:bidi w:val="0"/>
              <w:spacing w:line="206" w:lineRule="exact"/>
              <w:ind w:left="19" w:right="0" w:firstLine="0"/>
              <w:jc w:val="center"/>
              <w:rPr>
                <w:rtl w:val="0"/>
              </w:rPr>
            </w:pPr>
            <w:r>
              <w:t>against our 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t>Material civil litigations#</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t>Aggregate amount involved* (₹ in 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Hari-Puri</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Kulkarni-Murty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Directors (excluding our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Against our 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Promoters (including the Executive Directors who are also our 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By our 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Key Managerial Personnel (“KMPs”) (excluding our Executive Directors) (1)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By our 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Senior Management (“SM”) (excluding our KMPs)(2)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t>0.00</w:t>
            </w:r>
          </w:p>
        </w:tc>
      </w:tr>
    </w:tbl>
    <w:p>
      <w:pPr>
        <w:pStyle w:val="Body Text"/>
        <w:spacing w:before="5"/>
        <w:ind w:left="98" w:hanging="98"/>
        <w:rPr>
          <w:rStyle w:val="Hyperlink.4"/>
          <w:sz w:val="17"/>
          <w:szCs w:val="17"/>
        </w:rPr>
      </w:pPr>
      <w:r/>
    </w:p>
    <w:p>
      <w:pPr>
        <w:pStyle w:val="Body"/>
        <w:tabs>
          <w:tab w:val="left" w:pos="448"/>
        </w:tabs>
        <w:spacing w:before="6"/>
        <w:ind w:left="87" w:firstLine="0"/>
        <w:rPr>
          <w:rStyle w:val="Hyperlink.8"/>
        </w:rPr>
      </w:pPr>
      <w:r>
        <w:t>*</w:t>
        <w:tab/>
        <w:t>To the extent quantifiable.</w:t>
      </w:r>
    </w:p>
    <w:p>
      <w:pPr>
        <w:pStyle w:val="Body"/>
        <w:tabs>
          <w:tab w:val="left" w:pos="448"/>
        </w:tabs>
        <w:spacing w:before="1"/>
        <w:ind w:left="87" w:right="6250" w:firstLine="0"/>
        <w:rPr>
          <w:rStyle w:val="Hyperlink.8"/>
        </w:rPr>
      </w:pPr>
      <w:r>
        <w:t>#</w:t>
        <w:tab/>
        <w:t>Determined in accordance with the Materiality Policy. Notes:</w:t>
      </w:r>
    </w:p>
    <w:p>
      <w:pPr>
        <w:pStyle w:val="List Paragraph"/>
        <w:numPr>
          <w:ilvl w:val="0"/>
          <w:numId w:val="20"/>
        </w:numPr>
        <w:bidi w:val="0"/>
        <w:spacing w:before="0"/>
        <w:ind w:right="7"/>
        <w:jc w:val="left"/>
        <w:rPr>
          <w:i w:val="1"/>
          <w:iCs w:val="1"/>
          <w:sz w:val="16"/>
          <w:szCs w:val="16"/>
          <w:rtl w:val="0"/>
          <w:lang w:val="en-US"/>
        </w:rPr>
      </w:pPr>
      <w:r>
        <w:t>Certain of our KMPs including, Kushal Subbayya Hegde, Sudiksha Seshadri, Maanas Pillai and Devansh Shenoy are also our Executive 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t>Certain of our SMs including, Anthony Lata, CEO, Libni Khatri, CFO, Hemangini Bhardwaj, CS and Compliance Officer, and Hritik Din, Technical Director, are also our KMPs. Hence, litigation against our KMPs have not been included under the heading of SMs to avoid repetition.</w:t>
      </w:r>
    </w:p>
    <w:p>
      <w:pPr>
        <w:pStyle w:val="Body Text"/>
        <w:spacing w:before="13"/>
        <w:rPr>
          <w:rStyle w:val="None"/>
          <w:i w:val="1"/>
          <w:iCs w:val="1"/>
          <w:sz w:val="16"/>
          <w:szCs w:val="16"/>
        </w:rPr>
      </w:pPr>
      <w:r/>
    </w:p>
    <w:p>
      <w:pPr>
        <w:pStyle w:val="Body Text"/>
        <w:ind w:left="87" w:right="6" w:firstLine="0"/>
        <w:jc w:val="both"/>
      </w:pPr>
      <w:r>
        <w:t>Further, as on the date of this Red Herring Prospectus, there are no outstanding Nori, Deep and Buch.</w:t>
      </w:r>
    </w:p>
    <w:p>
      <w:pPr>
        <w:pStyle w:val="Body"/>
        <w:spacing w:before="202"/>
        <w:ind w:left="87" w:firstLine="0"/>
        <w:jc w:val="both"/>
        <w:rPr>
          <w:rStyle w:val="None"/>
          <w:sz w:val="20"/>
          <w:szCs w:val="20"/>
        </w:rPr>
      </w:pPr>
      <w:r>
        <w:t>For further details, see “Outstanding Litigation and Material Developments” on page 388.</w:t>
      </w:r>
    </w:p>
    <w:p>
      <w:pPr>
        <w:pStyle w:val="Heading 3"/>
        <w:ind w:left="87" w:firstLine="0"/>
        <w:jc w:val="both"/>
      </w:pPr>
      <w:r>
        <w:t>Risk Factors</w:t>
      </w:r>
    </w:p>
    <w:p>
      <w:pPr>
        <w:pStyle w:val="Heading 3"/>
        <w:jc w:val="both"/>
        <w:sectPr>
          <w:headerReference w:type="default" r:id="rId57"/>
          <w:footerReference w:type="default" r:id="rId58"/>
          <w:pgSz w:w="11920" w:h="16840" w:orient="portrait"/>
          <w:pgMar w:top="1140" w:right="708" w:bottom="1120" w:left="992" w:header="0" w:footer="0"/>
          <w:bidi w:val="0"/>
        </w:sectPr>
      </w:pPr>
      <w:r/>
    </w:p>
    <w:p>
      <w:pPr>
        <w:pStyle w:val="Body Text"/>
        <w:spacing w:before="80"/>
        <w:ind w:left="87" w:right="13" w:firstLine="0"/>
        <w:jc w:val="both"/>
      </w:pPr>
      <w:r>
        <w:t>Specific attention of Bidders is invited to the section “Risk Factors” on page 28. Bidders are advised to read the risk factors carefully before taking an investment decision Rama Group:</w:t>
      </w:r>
    </w:p>
    <w:p>
      <w:pPr>
        <w:pStyle w:val="Body Text"/>
        <w:spacing w:before="5"/>
        <w:rPr>
          <w:rStyle w:val="Hyperlink.4"/>
          <w:sz w:val="17"/>
          <w:szCs w:val="17"/>
        </w:rPr>
      </w:pPr>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t>S. 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t>Description of 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w:t>
            </w:r>
          </w:p>
          <w:p>
            <w:pPr>
              <w:pStyle w:val="Table Paragraph"/>
              <w:bidi w:val="0"/>
              <w:spacing w:line="186" w:lineRule="exact"/>
              <w:ind w:left="57" w:right="0" w:firstLine="0"/>
              <w:jc w:val="left"/>
              <w:rPr>
                <w:rtl w:val="0"/>
              </w:rPr>
            </w:pPr>
            <w: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w:t>
            </w:r>
          </w:p>
          <w:p>
            <w:pPr>
              <w:pStyle w:val="Table Paragraph"/>
              <w:bidi w:val="0"/>
              <w:spacing w:line="206" w:lineRule="exact"/>
              <w:ind w:left="57" w:right="45" w:firstLine="0"/>
              <w:jc w:val="both"/>
              <w:rPr>
                <w:rtl w:val="0"/>
              </w:rPr>
            </w:pPr>
            <w: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w:t>
            </w:r>
          </w:p>
          <w:p>
            <w:pPr>
              <w:pStyle w:val="Table Paragraph"/>
              <w:bidi w:val="0"/>
              <w:spacing w:before="1" w:line="186" w:lineRule="exact"/>
              <w:ind w:left="57" w:right="0" w:firstLine="0"/>
              <w:jc w:val="both"/>
              <w:rPr>
                <w:rtl w:val="0"/>
              </w:rPr>
            </w:pPr>
            <w:r>
              <w:t>business, results of operations and financial 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Mutti, Halder and Suri that we operate in, could adversely affect our business, results</w:t>
            </w:r>
          </w:p>
          <w:p>
            <w:pPr>
              <w:pStyle w:val="Table Paragraph"/>
              <w:bidi w:val="0"/>
              <w:spacing w:line="186" w:lineRule="exact"/>
              <w:ind w:left="57" w:right="0" w:firstLine="0"/>
              <w:jc w:val="both"/>
              <w:rPr>
                <w:rtl w:val="0"/>
              </w:rPr>
            </w:pPr>
            <w:r>
              <w:t>of operations and financial 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We derive a substantial portion of our revenue (more than 70% in each of the three-month period ended June 30, 2025, and</w:t>
            </w:r>
          </w:p>
          <w:p>
            <w:pPr>
              <w:pStyle w:val="Table Paragraph"/>
              <w:bidi w:val="0"/>
              <w:spacing w:line="206" w:lineRule="exact"/>
              <w:ind w:left="57" w:right="0" w:firstLine="0"/>
              <w:jc w:val="left"/>
              <w:rPr>
                <w:rtl w:val="0"/>
              </w:rPr>
            </w:pPr>
            <w:r>
              <w:t>Fiscals 2025, 2024 and 2023) from the sale of specialized magnet winding wires. Any reduction in demand for our key 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We have not yet placed orders in relation to the capital expenditure to be incurred for certain of our proposed objects of the Offer. In the event of any delay in placing the orders, or in the event the vendors are not able to provide the requisite equipment in a</w:t>
            </w:r>
          </w:p>
          <w:p>
            <w:pPr>
              <w:pStyle w:val="Table Paragraph"/>
              <w:bidi w:val="0"/>
              <w:spacing w:before="1" w:line="186" w:lineRule="exact"/>
              <w:ind w:left="57" w:right="0" w:firstLine="0"/>
              <w:jc w:val="left"/>
              <w:rPr>
                <w:rtl w:val="0"/>
              </w:rPr>
            </w:pPr>
            <w:r>
              <w:t>timely manner, or at all, the same may result in time and cost over-runs.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Our operations are significantly dependent on our manufacturing facilities. Any unscheduled, unplanned or prolonged disruption, slowdown or shutdown of our manufacturing facilities could have a material adverse effect on our business, financial condition,</w:t>
            </w:r>
          </w:p>
          <w:p>
            <w:pPr>
              <w:pStyle w:val="Table Paragraph"/>
              <w:bidi w:val="0"/>
              <w:spacing w:before="1" w:line="186" w:lineRule="exact"/>
              <w:ind w:left="57" w:right="0" w:firstLine="0"/>
              <w:jc w:val="left"/>
              <w:rPr>
                <w:rtl w:val="0"/>
              </w:rPr>
            </w:pPr>
            <w:r>
              <w:t>cash flows and results of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t>We have encountered delays in the past and may encounter delays or time cost overruns in the completion of the construction of our manufacturing facility at Christopher Balakrishnan, Aadi Ahluwalia (formerly Eesha Bava)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t>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w:t>
            </w:r>
          </w:p>
          <w:p>
            <w:pPr>
              <w:pStyle w:val="Table Paragraph"/>
              <w:bidi w:val="0"/>
              <w:spacing w:line="186" w:lineRule="exact"/>
              <w:ind w:left="57" w:right="0" w:firstLine="0"/>
              <w:jc w:val="both"/>
              <w:rPr>
                <w:rtl w:val="0"/>
              </w:rPr>
            </w:pPr>
            <w:r>
              <w:t>business, revenue operations, financial condition and cash flows.</w:t>
            </w:r>
          </w:p>
        </w:tc>
      </w:tr>
    </w:tbl>
    <w:p>
      <w:pPr>
        <w:pStyle w:val="Body Text"/>
        <w:spacing w:before="5"/>
        <w:ind w:left="98" w:hanging="98"/>
        <w:rPr>
          <w:rStyle w:val="Hyperlink.4"/>
          <w:sz w:val="17"/>
          <w:szCs w:val="17"/>
        </w:rPr>
      </w:pPr>
      <w:r/>
    </w:p>
    <w:p>
      <w:pPr>
        <w:pStyle w:val="Body Text"/>
        <w:spacing w:before="5"/>
      </w:pPr>
      <w:r/>
    </w:p>
    <w:p>
      <w:pPr>
        <w:pStyle w:val="Body"/>
        <w:ind w:left="87" w:firstLine="0"/>
        <w:jc w:val="both"/>
        <w:rPr>
          <w:rStyle w:val="None"/>
          <w:sz w:val="20"/>
          <w:szCs w:val="20"/>
        </w:rPr>
      </w:pPr>
      <w:r>
        <w:t>For further details, see “Risk Factors” on page 28.</w:t>
      </w:r>
    </w:p>
    <w:p>
      <w:pPr>
        <w:pStyle w:val="Heading 3"/>
        <w:ind w:left="87" w:firstLine="0"/>
        <w:jc w:val="both"/>
      </w:pPr>
      <w:r>
        <w:t>Summary of contingent liabilities</w:t>
      </w:r>
    </w:p>
    <w:p>
      <w:pPr>
        <w:pStyle w:val="Body Text"/>
        <w:spacing w:before="199"/>
        <w:ind w:left="87" w:right="7" w:firstLine="0"/>
        <w:jc w:val="both"/>
      </w:pPr>
      <w: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t>(₹ in 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t>Amount as at June 30, 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t>Chaudhry Group guarantees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34.92</w:t>
            </w:r>
          </w:p>
        </w:tc>
      </w:tr>
    </w:tbl>
    <w:p>
      <w:pPr>
        <w:pStyle w:val="Body"/>
        <w:spacing w:before="1"/>
        <w:ind w:left="98" w:hanging="98"/>
        <w:rPr>
          <w:rStyle w:val="None"/>
          <w:i w:val="1"/>
          <w:iCs w:val="1"/>
          <w:sz w:val="18"/>
          <w:szCs w:val="18"/>
        </w:rPr>
      </w:pPr>
      <w:r/>
    </w:p>
    <w:p>
      <w:pPr>
        <w:pStyle w:val="Body Text"/>
        <w:spacing w:before="24"/>
        <w:rPr>
          <w:rStyle w:val="None"/>
          <w:i w:val="1"/>
          <w:iCs w:val="1"/>
          <w:sz w:val="18"/>
          <w:szCs w:val="18"/>
        </w:rPr>
      </w:pPr>
      <w:r/>
    </w:p>
    <w:p>
      <w:pPr>
        <w:pStyle w:val="Body"/>
        <w:spacing w:before="1"/>
        <w:ind w:left="87" w:firstLine="0"/>
        <w:rPr>
          <w:rStyle w:val="None"/>
          <w:sz w:val="20"/>
          <w:szCs w:val="20"/>
        </w:rPr>
      </w:pPr>
      <w:r>
        <w:t>For details, see “Restated Financial Statements – Note 28: Contingent liabilities and commitments” on page 322.</w:t>
      </w:r>
    </w:p>
    <w:p>
      <w:pPr>
        <w:pStyle w:val="Heading 3"/>
        <w:spacing w:before="199"/>
        <w:ind w:left="87" w:firstLine="0"/>
      </w:pPr>
      <w:r>
        <w:t>Summary of related party transactions</w:t>
      </w:r>
    </w:p>
    <w:p>
      <w:pPr>
        <w:pStyle w:val="Body Text"/>
        <w:spacing w:before="200"/>
        <w:ind w:left="87" w:right="7" w:firstLine="0"/>
        <w:jc w:val="both"/>
      </w:pPr>
      <w:r>
        <w:t>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w:t>
      </w:r>
    </w:p>
    <w:p>
      <w:pPr>
        <w:pStyle w:val="Body"/>
        <w:spacing w:before="200"/>
        <w:ind w:left="9245" w:firstLine="0"/>
        <w:rPr>
          <w:rStyle w:val="None"/>
          <w:i w:val="1"/>
          <w:iCs w:val="1"/>
          <w:sz w:val="18"/>
          <w:szCs w:val="18"/>
        </w:rPr>
      </w:pPr>
      <w:r>
        <w:t>(₹ in million)</w:t>
      </w:r>
    </w:p>
    <w:p>
      <w:pPr>
        <w:pStyle w:val="Body"/>
        <w:sectPr>
          <w:headerReference w:type="default" r:id="rId59"/>
          <w:footerReference w:type="default" r:id="rId60"/>
          <w:pgSz w:w="11920" w:h="16840" w:orient="portrait"/>
          <w:pgMar w:top="1080" w:right="708" w:bottom="1120" w:left="992" w:header="0" w:footer="0"/>
          <w:bidi w:val="0"/>
        </w:sectPr>
      </w:pPr>
      <w: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t>Nature of 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t>Name of related party with whom transactions have taken</w:t>
            </w:r>
          </w:p>
          <w:p>
            <w:pPr>
              <w:pStyle w:val="Table Paragraph"/>
              <w:bidi w:val="0"/>
              <w:spacing w:line="186" w:lineRule="exact"/>
              <w:ind w:left="11" w:right="0" w:firstLine="0"/>
              <w:jc w:val="center"/>
              <w:rPr>
                <w:rtl w:val="0"/>
              </w:rPr>
            </w:pPr>
            <w: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t>Nature of 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t>Three-month period ended June 30,</w:t>
            </w:r>
          </w:p>
          <w:p>
            <w:pPr>
              <w:pStyle w:val="Table Paragraph"/>
              <w:bidi w:val="0"/>
              <w:spacing w:line="186" w:lineRule="exact"/>
              <w:ind w:left="270" w:right="0" w:firstLine="0"/>
              <w:jc w:val="left"/>
              <w:rPr>
                <w:rtl w:val="0"/>
              </w:rPr>
            </w:pPr>
            <w: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t>% of revenue from 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t>Fiscal 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t>% of revenue from 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t>Fiscal 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t>% of revenue from 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t>Fiscal 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t>% of revenue from 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t>Purchase</w:t>
              <w:tab/>
              <w:t>of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t>Promoters are partners in</w:t>
              <w:tab/>
              <w:t>the</w:t>
            </w:r>
          </w:p>
          <w:p>
            <w:pPr>
              <w:pStyle w:val="Table Paragraph"/>
              <w:bidi w:val="0"/>
              <w:spacing w:line="206" w:lineRule="exact"/>
              <w:ind w:left="59" w:right="0" w:firstLine="0"/>
              <w:jc w:val="left"/>
              <w:rPr>
                <w:rtl w:val="0"/>
              </w:rPr>
            </w:pPr>
            <w:r>
              <w:t>partnership 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t>Purchase</w:t>
              <w:tab/>
              <w:t>of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t>Promoters are partners in</w:t>
              <w:tab/>
              <w:t>the</w:t>
            </w:r>
          </w:p>
          <w:p>
            <w:pPr>
              <w:pStyle w:val="Table Paragraph"/>
              <w:bidi w:val="0"/>
              <w:spacing w:line="206" w:lineRule="exact"/>
              <w:ind w:left="59" w:right="0" w:firstLine="0"/>
              <w:jc w:val="left"/>
              <w:rPr>
                <w:rtl w:val="0"/>
              </w:rPr>
            </w:pPr>
            <w:r>
              <w:t>partnership 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t>KSH</w:t>
            </w:r>
          </w:p>
          <w:p>
            <w:pPr>
              <w:pStyle w:val="Table Paragraph"/>
              <w:bidi w:val="0"/>
              <w:spacing w:line="207" w:lineRule="exact"/>
              <w:ind w:left="59" w:right="0" w:firstLine="0"/>
              <w:jc w:val="left"/>
              <w:rPr>
                <w:rStyle w:val="None"/>
                <w:sz w:val="18"/>
                <w:szCs w:val="18"/>
                <w:shd w:val="nil" w:color="auto" w:fill="auto"/>
                <w:rtl w:val="0"/>
              </w:rPr>
            </w:pPr>
            <w:r>
              <w:t>Abeer Dua</w:t>
            </w:r>
          </w:p>
          <w:p>
            <w:pPr>
              <w:pStyle w:val="Table Paragraph"/>
              <w:bidi w:val="0"/>
              <w:spacing w:line="206" w:lineRule="exact"/>
              <w:ind w:left="59" w:right="531" w:firstLine="0"/>
              <w:jc w:val="left"/>
              <w:rPr>
                <w:rtl w:val="0"/>
              </w:rPr>
            </w:pPr>
            <w:r>
              <w:t>Nagar, Pillay and Viswanathan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Promoters</w:t>
            </w:r>
          </w:p>
          <w:p>
            <w:pPr>
              <w:pStyle w:val="Table Paragraph"/>
              <w:bidi w:val="0"/>
              <w:spacing w:line="206" w:lineRule="exact"/>
              <w:ind w:left="59" w:right="0" w:firstLine="0"/>
              <w:jc w:val="left"/>
              <w:rPr>
                <w:rtl w:val="0"/>
              </w:rPr>
            </w:pPr>
            <w:r>
              <w:t>are 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Deposit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t>KSH</w:t>
              <w:tab/>
              <w:t>Infra Park 4 Private</w:t>
            </w:r>
          </w:p>
          <w:p>
            <w:pPr>
              <w:pStyle w:val="Table Paragraph"/>
              <w:bidi w:val="0"/>
              <w:spacing w:before="1" w:line="186" w:lineRule="exact"/>
              <w:ind w:left="59" w:right="0" w:firstLine="0"/>
              <w:jc w:val="left"/>
              <w:rPr>
                <w:rtl w:val="0"/>
              </w:rPr>
            </w:pPr>
            <w: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Remuneration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t>Remuneration paid to key managerial</w:t>
            </w:r>
          </w:p>
          <w:p>
            <w:pPr>
              <w:pStyle w:val="Table Paragraph"/>
              <w:bidi w:val="0"/>
              <w:spacing w:line="186"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Remuneration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t>Remuneration paid</w:t>
              <w:tab/>
              <w:t>to</w:t>
            </w:r>
          </w:p>
          <w:p>
            <w:pPr>
              <w:pStyle w:val="Table Paragraph"/>
              <w:tabs>
                <w:tab w:val="left" w:pos="968"/>
              </w:tabs>
              <w:bidi w:val="0"/>
              <w:spacing w:before="1"/>
              <w:ind w:left="59" w:right="44" w:firstLine="0"/>
              <w:jc w:val="left"/>
              <w:rPr>
                <w:rStyle w:val="None"/>
                <w:sz w:val="18"/>
                <w:szCs w:val="18"/>
                <w:shd w:val="nil" w:color="auto" w:fill="auto"/>
                <w:rtl w:val="0"/>
              </w:rPr>
            </w:pPr>
            <w:r>
              <w:t>relatives</w:t>
              <w:tab/>
              <w:t>of Key Managerial</w:t>
            </w:r>
          </w:p>
          <w:p>
            <w:pPr>
              <w:pStyle w:val="Table Paragraph"/>
              <w:bidi w:val="0"/>
              <w:spacing w:line="187"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Relatives of 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t>Share</w:t>
              <w:tab/>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t>Share</w:t>
              <w:tab/>
              <w:t>Based Payment Expense</w:t>
              <w:tab/>
              <w:tab/>
              <w:t>of Key Managerial</w:t>
            </w:r>
          </w:p>
          <w:p>
            <w:pPr>
              <w:pStyle w:val="Table Paragraph"/>
              <w:bidi w:val="0"/>
              <w:spacing w:line="186"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t>Sitting</w:t>
              <w:tab/>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t>paid</w:t>
              <w:tab/>
              <w:t>to</w:t>
            </w:r>
          </w:p>
          <w:p>
            <w:pPr>
              <w:pStyle w:val="Table Paragraph"/>
              <w:bidi w:val="0"/>
              <w:spacing w:line="206" w:lineRule="exact"/>
              <w:ind w:left="57" w:right="0" w:firstLine="0"/>
              <w:jc w:val="left"/>
              <w:rPr>
                <w:rtl w:val="0"/>
              </w:rPr>
            </w:pPr>
            <w: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t>Payment</w:t>
              <w:tab/>
              <w:t>to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2.19%</w:t>
            </w:r>
          </w:p>
        </w:tc>
      </w:tr>
    </w:tbl>
    <w:p>
      <w:pPr>
        <w:pStyle w:val="Body"/>
        <w:ind w:left="98" w:hanging="98"/>
        <w:rPr>
          <w:rStyle w:val="None"/>
          <w:i w:val="1"/>
          <w:iCs w:val="1"/>
          <w:sz w:val="18"/>
          <w:szCs w:val="18"/>
        </w:rPr>
      </w:pPr>
      <w:r/>
    </w:p>
    <w:p>
      <w:pPr>
        <w:pStyle w:val="Body"/>
        <w:spacing w:before="29"/>
        <w:ind w:left="87" w:right="7" w:firstLine="0"/>
        <w:jc w:val="both"/>
        <w:rPr>
          <w:rStyle w:val="Hyperlink.8"/>
        </w:rPr>
      </w:pPr>
      <w:r>
        <w:t>#Information relating to remuneration does not include provision for gratuity, which is provided on an overall actuarial valuation, as separate amounts are not available for respective Key Managerial Personnel. Remuneration paid at actual basis is considered for above computation.</w:t>
      </w:r>
    </w:p>
    <w:p>
      <w:pPr>
        <w:pStyle w:val="Body Text"/>
        <w:spacing w:before="44"/>
        <w:rPr>
          <w:rStyle w:val="None"/>
          <w:i w:val="1"/>
          <w:iCs w:val="1"/>
          <w:sz w:val="16"/>
          <w:szCs w:val="16"/>
        </w:rPr>
      </w:pPr>
      <w:r/>
    </w:p>
    <w:p>
      <w:pPr>
        <w:pStyle w:val="Body"/>
        <w:ind w:left="87" w:firstLine="0"/>
        <w:jc w:val="both"/>
        <w:rPr>
          <w:rStyle w:val="None"/>
          <w:sz w:val="20"/>
          <w:szCs w:val="20"/>
        </w:rPr>
      </w:pPr>
      <w:r>
        <w:t>For further details, see “Restated Financial Statements – Note 31: Related Party Transaction” on page 331.</w:t>
      </w:r>
    </w:p>
    <w:p>
      <w:pPr>
        <w:pStyle w:val="Heading 3"/>
        <w:spacing w:before="121"/>
        <w:ind w:left="87" w:firstLine="0"/>
        <w:jc w:val="both"/>
      </w:pPr>
      <w:r>
        <w:t>Financing arrangements</w:t>
      </w:r>
    </w:p>
    <w:p>
      <w:pPr>
        <w:pStyle w:val="Body Text"/>
        <w:spacing w:before="199"/>
        <w:ind w:left="87" w:right="13" w:firstLine="0"/>
        <w:jc w:val="both"/>
      </w:pPr>
      <w:r>
        <w:t>There have been no financing arrangements whereby our Promoters, members of our Promoter Group, our Directors and their relatives (as defined under Companies Act, 2013) Thaker LLC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t>Name of the 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₹5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t>Weighted average price of acquisition per Equity Shares (1)# (in ₹)</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Kushal Subbayya Hegde*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0.00</w:t>
            </w:r>
          </w:p>
        </w:tc>
      </w:tr>
    </w:tbl>
    <w:p>
      <w:pPr>
        <w:pStyle w:val="Body Text"/>
        <w:spacing w:before="4"/>
        <w:ind w:left="98" w:hanging="98"/>
        <w:rPr>
          <w:rStyle w:val="Hyperlink.4"/>
          <w:sz w:val="17"/>
          <w:szCs w:val="17"/>
        </w:rPr>
      </w:pPr>
      <w: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t>Name of the 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₹5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t>Weighted average price of acquisition per Equity Shares (1)# (in ₹)</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Viraj Din*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Sudiksha Seshadri*</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Maanas Pillai*</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Urvi Sheth 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Dhaulagiri Family 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Everest Family 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Makalu Family 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Broad Family 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Annapurna Family 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Kanchenjunga Family 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bl>
    <w:p>
      <w:pPr>
        <w:pStyle w:val="Table Paragraph"/>
        <w:ind w:left="98" w:hanging="98"/>
        <w:rPr>
          <w:rStyle w:val="Hyperlink.4"/>
        </w:rPr>
      </w:pPr>
      <w:r/>
    </w:p>
    <w:p>
      <w:pPr>
        <w:pStyle w:val="Body"/>
        <w:spacing w:before="26"/>
        <w:ind w:left="87" w:firstLine="0"/>
        <w:jc w:val="both"/>
        <w:rPr>
          <w:rStyle w:val="Hyperlink.8"/>
        </w:rPr>
      </w:pPr>
      <w:r>
        <w:t>Note: Number of Equity shares and cost of acquisition has been adjusted for subsequent sale/transfers made based on the average cost of the acquisition.</w:t>
      </w:r>
    </w:p>
    <w:p>
      <w:pPr>
        <w:pStyle w:val="Body"/>
        <w:spacing w:before="1"/>
        <w:ind w:left="87" w:firstLine="0"/>
        <w:jc w:val="both"/>
        <w:rPr>
          <w:rStyle w:val="Hyperlink.8"/>
        </w:rPr>
      </w:pPr>
      <w:r>
        <w:t>*Also, the Promoter Selling Shareholder</w:t>
      </w:r>
    </w:p>
    <w:p>
      <w:pPr>
        <w:pStyle w:val="Body"/>
        <w:spacing w:before="1"/>
        <w:ind w:left="87" w:right="6" w:firstLine="0"/>
        <w:jc w:val="both"/>
        <w:rPr>
          <w:rStyle w:val="Hyperlink.8"/>
        </w:rPr>
      </w:pPr>
      <w:r>
        <w:t># Wason-Raju dated February 10, 2025 and February 11, 2025, respectively, the face value of the equity shares was sub-divided from ₹100 per equity share to ₹5 per Equity Share. Further, Pau, Kulkarni and Gulati approved the issue of bonus shares which were allotted on February 21, 2025</w:t>
      </w:r>
    </w:p>
    <w:p>
      <w:pPr>
        <w:pStyle w:val="Body"/>
        <w:ind w:left="87" w:firstLine="0"/>
        <w:jc w:val="both"/>
        <w:rPr>
          <w:rStyle w:val="Hyperlink.8"/>
        </w:rPr>
      </w:pPr>
      <w:r>
        <w:t>(1) As certified by Kirtane &amp; Pandit LLP, Chartered Accountants, our Statutory Auditors, by way of their certificate dated December 10, 2025.</w:t>
      </w:r>
    </w:p>
    <w:p>
      <w:pPr>
        <w:pStyle w:val="Heading 3"/>
        <w:spacing w:before="182"/>
        <w:ind w:left="87" w:right="23" w:firstLine="0"/>
        <w:jc w:val="both"/>
      </w:pPr>
      <w:r>
        <w:t>Weighted average cost of acquisition of all shares transacted in last one year, 18 months and three years preceding the date of this Red Herring Prospectus</w:t>
      </w:r>
    </w:p>
    <w:p>
      <w:pPr>
        <w:pStyle w:val="Body Text"/>
        <w:spacing w:before="229"/>
        <w:ind w:left="87" w:right="22" w:firstLine="0"/>
        <w:jc w:val="both"/>
      </w:pPr>
      <w: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t>Weighted average cost of acquisition (in ₹)*#</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t>Kabir Brar is ‘x’ times the 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t>Range of acquisition price per Equity Share of face value of ₹5: lowest price – highest price (in ₹)#</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Last one 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t>To be updated upon finalization of 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 – 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Last trailing 18 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0.00 – 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Last three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0.00 – 530.00</w:t>
            </w:r>
          </w:p>
        </w:tc>
      </w:tr>
    </w:tbl>
    <w:p>
      <w:pPr>
        <w:pStyle w:val="Body Text"/>
        <w:spacing w:before="6"/>
        <w:ind w:left="98" w:hanging="98"/>
        <w:rPr>
          <w:rStyle w:val="Hyperlink.4"/>
          <w:sz w:val="17"/>
          <w:szCs w:val="17"/>
        </w:rPr>
      </w:pPr>
      <w:r/>
    </w:p>
    <w:p>
      <w:pPr>
        <w:pStyle w:val="Body"/>
        <w:tabs>
          <w:tab w:val="left" w:pos="448"/>
        </w:tabs>
        <w:spacing w:before="3" w:line="183" w:lineRule="exact"/>
        <w:ind w:left="87" w:firstLine="0"/>
        <w:rPr>
          <w:rStyle w:val="Hyperlink.8"/>
        </w:rPr>
      </w:pPr>
      <w:r>
        <w:t>*</w:t>
        <w:tab/>
        <w:t>As certified by Kirtane &amp; Pandit LLP, Chartered Accountants, our Statutory Auditors, by way of their certificate dated December 10, 2025.</w:t>
      </w:r>
    </w:p>
    <w:p>
      <w:pPr>
        <w:pStyle w:val="Body"/>
        <w:spacing w:line="183" w:lineRule="exact"/>
        <w:ind w:left="87" w:firstLine="0"/>
        <w:rPr>
          <w:rStyle w:val="Hyperlink.8"/>
        </w:rPr>
      </w:pPr>
      <w:r>
        <w:t>**  To be updated in the Prospectus.</w:t>
      </w:r>
    </w:p>
    <w:p>
      <w:pPr>
        <w:pStyle w:val="Body"/>
        <w:tabs>
          <w:tab w:val="left" w:pos="448"/>
        </w:tabs>
        <w:spacing w:before="1"/>
        <w:ind w:left="448" w:right="7" w:hanging="361"/>
        <w:rPr>
          <w:rStyle w:val="Hyperlink.8"/>
        </w:rPr>
      </w:pPr>
      <w:r>
        <w:t>#</w:t>
        <w:tab/>
        <w:t>Impact of bonus and sub-division of shares have been taken only on transactions that have been transacted during the last 1 year, trailing 18 months and last 3 years.</w:t>
      </w:r>
    </w:p>
    <w:p>
      <w:pPr>
        <w:pStyle w:val="Body Text"/>
        <w:spacing w:before="44"/>
        <w:rPr>
          <w:rStyle w:val="None"/>
          <w:i w:val="1"/>
          <w:iCs w:val="1"/>
          <w:sz w:val="16"/>
          <w:szCs w:val="16"/>
        </w:rPr>
      </w:pPr>
      <w:r/>
    </w:p>
    <w:p>
      <w:pPr>
        <w:pStyle w:val="Heading 3"/>
        <w:spacing w:before="0"/>
        <w:ind w:left="87" w:firstLine="0"/>
        <w:jc w:val="both"/>
      </w:pPr>
      <w:r>
        <w:t>Average cost of acquisition of Equity Shares by our Promoters and the Promoter Selling Shareholders</w:t>
      </w:r>
    </w:p>
    <w:p>
      <w:pPr>
        <w:pStyle w:val="Body Text"/>
        <w:spacing w:before="200"/>
        <w:ind w:left="87" w:right="7" w:firstLine="0"/>
        <w:jc w:val="both"/>
      </w:pPr>
      <w:r>
        <w:t>The average cost of acquisition of Equity Shares by our Promoters and the Promoter Selling Shareholders as on the date of this Red Herring Prospectus, is as set forth below:</w:t>
      </w:r>
    </w:p>
    <w:p>
      <w:pPr>
        <w:pStyle w:val="Body Text"/>
        <w:spacing w:before="6"/>
        <w:rPr>
          <w:rStyle w:val="Hyperlink.4"/>
          <w:sz w:val="17"/>
          <w:szCs w:val="17"/>
        </w:rPr>
      </w:pPr>
      <w: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t>Name of 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t>Number of Equity Shares held of face value of ₹5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t>Average cost per Equity Share of face values of ₹5 each** (₹)</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Kushal Subbayya Hegde*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Viraj Din*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Sudiksha Seshadri*</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Maanas Pillai*</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Urvi Sheth 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Dhaulagiri Family 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t>Everest Family 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Makalu Family 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Broad Family 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Annapurna Family 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Kanchenjunga Family 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0.00</w:t>
            </w:r>
          </w:p>
        </w:tc>
      </w:tr>
    </w:tbl>
    <w:p>
      <w:pPr>
        <w:pStyle w:val="Body Text"/>
        <w:spacing w:before="6"/>
        <w:ind w:left="103" w:hanging="103"/>
        <w:rPr>
          <w:rStyle w:val="Hyperlink.4"/>
          <w:sz w:val="17"/>
          <w:szCs w:val="17"/>
        </w:rPr>
      </w:pPr>
      <w:r/>
    </w:p>
    <w:p>
      <w:pPr>
        <w:pStyle w:val="Body"/>
        <w:spacing w:before="7" w:line="183" w:lineRule="exact"/>
        <w:ind w:left="87" w:firstLine="0"/>
        <w:rPr>
          <w:rStyle w:val="Hyperlink.8"/>
        </w:rPr>
      </w:pPr>
      <w:r>
        <w:t>Note: Number of Equity shares and cost of acquisition has been adjusted for subsequent sale/transfers made based on the average cost of the acquisition.</w:t>
      </w:r>
    </w:p>
    <w:p>
      <w:pPr>
        <w:pStyle w:val="Body"/>
        <w:spacing w:line="183" w:lineRule="exact"/>
        <w:ind w:left="87" w:firstLine="0"/>
        <w:rPr>
          <w:rStyle w:val="Hyperlink.8"/>
        </w:rPr>
      </w:pPr>
      <w:r>
        <w:t>**  As certified by Kirtane &amp; Pandit LLP, Chartered Accountants, our Statutory Auditors, by way of their certificate dated December 10, 2025.</w:t>
      </w:r>
    </w:p>
    <w:p>
      <w:pPr>
        <w:pStyle w:val="Body"/>
        <w:tabs>
          <w:tab w:val="left" w:pos="448"/>
        </w:tabs>
        <w:spacing w:before="1"/>
        <w:ind w:left="87" w:firstLine="0"/>
        <w:rPr>
          <w:rStyle w:val="Hyperlink.8"/>
        </w:rPr>
      </w:pPr>
      <w:r>
        <w:t>*</w:t>
        <w:tab/>
        <w:t>Also, Promoter Selling Shareholders.</w:t>
      </w:r>
    </w:p>
    <w:p>
      <w:pPr>
        <w:pStyle w:val="Heading 3"/>
        <w:spacing w:before="182"/>
        <w:ind w:left="87" w:right="10" w:firstLine="0"/>
        <w:jc w:val="both"/>
      </w:pPr>
      <w:r>
        <w:t>Dubey-Saini were acquired by our Promoters, members of the Promoter Group, Promoter Selling Shareholders and Shareholders with the right to nominate Directors or any other special rights in the three years preceding the date of this Red Herring Prospectus</w:t>
      </w:r>
    </w:p>
    <w:p>
      <w:pPr>
        <w:pStyle w:val="Body Text"/>
        <w:spacing w:before="200"/>
        <w:ind w:left="87" w:right="6" w:firstLine="0"/>
        <w:jc w:val="both"/>
      </w:pPr>
      <w: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t>Name of 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t>Date of 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t>Number of equity shares 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t>Face value (₹)</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t>Acquisition price per equity share^ (in ₹)</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Kushal Subbayya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February 21,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Pushpa Kushal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February 21,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Rajesh Kushal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February 21,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Rohit Kushal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February 21,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Rakhi Girija Shetty&amp;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December 17, 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Rakhi Girija Shetty^&amp;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February 21,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Dhaulagiri Family Trust&amp;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May 7,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Everest Family Trust&amp;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May 7,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Makalu Family Trust&amp;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May 7,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Broad Family Trust&amp;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May 8,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Annapurna Family Trust&amp;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May 8,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Kanchenjunga Family Trust &amp;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May 7,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 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Maithili Rajesh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December 17, 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Wriddhish Sibal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February 21,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Katyayani Balasubramanian&amp;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December 17, 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Harita Kapadia</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February 21, 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N.A.</w:t>
            </w:r>
          </w:p>
        </w:tc>
      </w:tr>
    </w:tbl>
    <w:p>
      <w:pPr>
        <w:pStyle w:val="Body Text"/>
        <w:ind w:left="98" w:hanging="98"/>
      </w:pPr>
      <w:r/>
    </w:p>
    <w:p>
      <w:pPr>
        <w:pStyle w:val="Body"/>
        <w:tabs>
          <w:tab w:val="left" w:pos="448"/>
        </w:tabs>
        <w:spacing w:before="29"/>
        <w:ind w:left="87" w:firstLine="0"/>
        <w:rPr>
          <w:rStyle w:val="Hyperlink.8"/>
        </w:rPr>
      </w:pPr>
      <w:r>
        <w:t>#</w:t>
        <w:tab/>
        <w:t>As certified by Kirtane &amp; Pandit LLP, Chartered Accountants, our Statutory Auditors, by way of their certificate dated December 10, 2025.</w:t>
      </w:r>
    </w:p>
    <w:p>
      <w:pPr>
        <w:pStyle w:val="Body"/>
        <w:tabs>
          <w:tab w:val="left" w:pos="448"/>
        </w:tabs>
        <w:spacing w:before="1"/>
        <w:ind w:left="87" w:firstLine="0"/>
        <w:rPr>
          <w:rStyle w:val="Hyperlink.8"/>
        </w:rPr>
      </w:pPr>
      <w:r>
        <w:t>*</w:t>
        <w:tab/>
        <w:t>Also, a Promoter Selling Shareholder.</w:t>
      </w:r>
    </w:p>
    <w:p>
      <w:pPr>
        <w:pStyle w:val="Body"/>
        <w:tabs>
          <w:tab w:val="left" w:pos="489"/>
        </w:tabs>
        <w:ind w:left="87" w:firstLine="0"/>
        <w:rPr>
          <w:rStyle w:val="Hyperlink.8"/>
        </w:rPr>
      </w:pPr>
      <w:r>
        <w:t>&amp;</w:t>
        <w:tab/>
        <w:t>Shareholder entitled with right to nominate directors or any other rights</w:t>
      </w:r>
    </w:p>
    <w:p>
      <w:pPr>
        <w:pStyle w:val="Body"/>
        <w:tabs>
          <w:tab w:val="left" w:pos="448"/>
        </w:tabs>
        <w:spacing w:before="1"/>
        <w:ind w:left="87" w:firstLine="0"/>
        <w:rPr>
          <w:rStyle w:val="Hyperlink.8"/>
        </w:rPr>
      </w:pPr>
      <w:r>
        <w:t>^</w:t>
        <w:tab/>
        <w:t>Bonus shares issued in the ratio of 4:1.</w:t>
      </w:r>
    </w:p>
    <w:p>
      <w:pPr>
        <w:pStyle w:val="Body Text"/>
        <w:spacing w:before="15"/>
        <w:rPr>
          <w:rStyle w:val="None"/>
          <w:i w:val="1"/>
          <w:iCs w:val="1"/>
          <w:sz w:val="16"/>
          <w:szCs w:val="16"/>
        </w:rPr>
      </w:pPr>
      <w:r/>
    </w:p>
    <w:p>
      <w:pPr>
        <w:pStyle w:val="Body"/>
        <w:ind w:left="87" w:firstLine="0"/>
        <w:rPr>
          <w:rStyle w:val="None"/>
          <w:b w:val="1"/>
          <w:bCs w:val="1"/>
          <w:sz w:val="20"/>
          <w:szCs w:val="20"/>
        </w:rPr>
      </w:pPr>
      <w:r>
        <w:t>Secondary Transfer of Equity Shares of face value of ₹5 each in the form of Gifts</w:t>
      </w:r>
    </w:p>
    <w:p>
      <w:pPr>
        <w:pStyle w:val="Body Text"/>
        <w:spacing w:before="9"/>
        <w:rPr>
          <w:rStyle w:val="None"/>
          <w:b w:val="1"/>
          <w:bCs w:val="1"/>
          <w:sz w:val="19"/>
          <w:szCs w:val="19"/>
        </w:rPr>
      </w:pPr>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t>Equity Shares of face value of ₹5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Dhaulagiri Family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Kushal Subbayya 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t>May 7, 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Makalu Family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Kushal Subbayya 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May 7, 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Everest Family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Kushal Subbayya 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May 7, 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Kanchenjunga Family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t>Viraj Din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t>May 7, 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Annapurna Family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Viraj Din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May 8, 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Broad Family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Viraj Din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t>May 8, 2025</w:t>
            </w:r>
          </w:p>
        </w:tc>
      </w:tr>
    </w:tbl>
    <w:p>
      <w:pPr>
        <w:pStyle w:val="Body Text"/>
        <w:spacing w:before="9"/>
        <w:ind w:left="98" w:hanging="98"/>
        <w:rPr>
          <w:rStyle w:val="None"/>
          <w:b w:val="1"/>
          <w:bCs w:val="1"/>
          <w:sz w:val="19"/>
          <w:szCs w:val="19"/>
        </w:rPr>
      </w:pPr>
      <w:r/>
    </w:p>
    <w:p>
      <w:pPr>
        <w:pStyle w:val="Heading 3"/>
        <w:spacing w:before="186"/>
        <w:ind w:left="87" w:firstLine="0"/>
      </w:pPr>
      <w:r>
        <w:t>Details of pre-IPO placement</w:t>
      </w:r>
    </w:p>
    <w:p>
      <w:pPr>
        <w:pStyle w:val="Body Text"/>
        <w:spacing w:before="199"/>
        <w:ind w:left="87" w:firstLine="0"/>
      </w:pPr>
      <w:r>
        <w:t>Saxena PLC has not undertaken any pre-IPO placement between the date of the Draft Red Herring Prospectus and the date of this Red Herring Prospectus.</w:t>
      </w:r>
    </w:p>
    <w:p>
      <w:pPr>
        <w:pStyle w:val="Heading 3"/>
        <w:spacing w:before="203"/>
        <w:ind w:left="87" w:firstLine="0"/>
      </w:pPr>
      <w:r>
        <w:t>Mall and Sons for consideration other than cash in the last one year</w:t>
      </w:r>
    </w:p>
    <w:p>
      <w:pPr>
        <w:pStyle w:val="Body"/>
        <w:spacing w:before="199"/>
        <w:ind w:left="87" w:right="14" w:firstLine="0"/>
        <w:jc w:val="both"/>
        <w:rPr>
          <w:rStyle w:val="None"/>
          <w:sz w:val="20"/>
          <w:szCs w:val="20"/>
        </w:rPr>
      </w:pPr>
      <w:r>
        <w:t>Except as disclosed in “Capital Structure – Notes to Capital Structure – Shares issued for consideration other than cash or by way of a bonus issue” Thakur-Manne has not issued any equity shares for consideration other than cash in the one year preceding the date of this Red Herring Prospectus.</w:t>
      </w:r>
    </w:p>
    <w:p>
      <w:pPr>
        <w:pStyle w:val="Heading 3"/>
        <w:spacing w:before="201"/>
        <w:ind w:left="87" w:firstLine="0"/>
        <w:jc w:val="both"/>
      </w:pPr>
      <w:r>
        <w:t>Split or consolidation of equity shares in the last one year</w:t>
      </w:r>
    </w:p>
    <w:p>
      <w:pPr>
        <w:pStyle w:val="Body Text"/>
        <w:spacing w:before="198"/>
        <w:ind w:left="87" w:right="7" w:firstLine="0"/>
        <w:jc w:val="both"/>
      </w:pPr>
      <w:r>
        <w:t>Pursuant to a resolution passed by our Board dated February 10, 2025 and a resolution passed by our Shareholders dated February 11, 2025, the face value of the equity shares was split from ₹100 per equity share to ₹5 Ahluwalia, Kannan and Purohit, being 4,000,000 equity shares of ₹100 each was split into 80,000,000 Equity Shares of ₹5 Nagi Inc, being 568,182 equity shares of</w:t>
      </w:r>
    </w:p>
    <w:p>
      <w:pPr>
        <w:pStyle w:val="Body"/>
        <w:spacing w:before="1"/>
        <w:ind w:left="87" w:right="6" w:firstLine="0"/>
        <w:jc w:val="both"/>
        <w:rPr>
          <w:rStyle w:val="None"/>
          <w:sz w:val="20"/>
          <w:szCs w:val="20"/>
        </w:rPr>
      </w:pPr>
      <w:r>
        <w:t>₹100 each was split into 1,13,63,640 Equity Shares of ₹5 each. For further details, please see “Capital Structure – Prabhakar and Sons” on page 85.</w:t>
      </w:r>
    </w:p>
    <w:p>
      <w:pPr>
        <w:pStyle w:val="Heading 3"/>
        <w:ind w:left="87" w:firstLine="0"/>
        <w:jc w:val="both"/>
      </w:pPr>
      <w:r>
        <w:t>Exemption from complying with any provisions of securities laws, if any, granted by the SEBI</w:t>
      </w:r>
    </w:p>
    <w:p>
      <w:pPr>
        <w:pStyle w:val="Body Text"/>
        <w:spacing w:before="200"/>
        <w:ind w:left="87" w:right="24" w:firstLine="0"/>
        <w:jc w:val="both"/>
      </w:pPr>
      <w:r>
        <w:t>Saxena PLC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r/>
    </w:p>
    <w:p>
      <w:pPr>
        <w:pStyle w:val="Heading 2"/>
        <w:spacing w:before="63"/>
        <w:ind w:right="2548"/>
      </w:pPr>
      <w:r>
        <w:t>SECTION II: RISK FACTORS</w:t>
      </w:r>
    </w:p>
    <w:p>
      <w:pPr>
        <w:pStyle w:val="Body"/>
        <w:spacing w:before="200"/>
        <w:ind w:left="87" w:right="6" w:firstLine="0"/>
        <w:jc w:val="both"/>
        <w:rPr>
          <w:rStyle w:val="None"/>
          <w:i w:val="1"/>
          <w:iCs w:val="1"/>
          <w:sz w:val="20"/>
          <w:szCs w:val="20"/>
        </w:rPr>
      </w:pPr>
      <w:r>
        <w:t>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t>Bhandari and Sons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pPr>
        <w:pStyle w:val="Body"/>
        <w:spacing w:before="199"/>
        <w:ind w:left="87" w:right="8" w:firstLine="0"/>
        <w:jc w:val="both"/>
        <w:rPr>
          <w:rStyle w:val="None"/>
          <w:i w:val="1"/>
          <w:iCs w:val="1"/>
          <w:sz w:val="20"/>
          <w:szCs w:val="20"/>
        </w:rPr>
      </w:pPr>
      <w:r>
        <w:t>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pPr>
        <w:pStyle w:val="Body"/>
        <w:spacing w:before="201"/>
        <w:ind w:left="87" w:right="6" w:firstLine="0"/>
        <w:jc w:val="both"/>
        <w:rPr>
          <w:rStyle w:val="None"/>
          <w:i w:val="1"/>
          <w:iCs w:val="1"/>
          <w:sz w:val="20"/>
          <w:szCs w:val="20"/>
        </w:rPr>
      </w:pPr>
      <w:r>
        <w:t>Unless otherwise stated, Varkey, Chada and Sodhi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w:t>
      </w:r>
    </w:p>
    <w:p>
      <w:pPr>
        <w:pStyle w:val="Body"/>
        <w:spacing w:before="200"/>
        <w:ind w:left="87" w:right="15" w:firstLine="0"/>
        <w:jc w:val="both"/>
        <w:rPr>
          <w:rStyle w:val="None"/>
          <w:i w:val="1"/>
          <w:iCs w:val="1"/>
          <w:sz w:val="20"/>
          <w:szCs w:val="20"/>
        </w:rPr>
      </w:pPr>
      <w:r>
        <w:t>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w:t>
      </w:r>
    </w:p>
    <w:p>
      <w:pPr>
        <w:pStyle w:val="Body"/>
        <w:spacing w:before="200"/>
        <w:ind w:left="87" w:right="7" w:firstLine="0"/>
        <w:jc w:val="both"/>
        <w:rPr>
          <w:rStyle w:val="None"/>
          <w:i w:val="1"/>
          <w:iCs w:val="1"/>
          <w:sz w:val="20"/>
          <w:szCs w:val="20"/>
        </w:rPr>
      </w:pPr>
      <w:r>
        <w:t>Unless stated otherwise, industry and market data used in this section has been obtained or derived from the report titled “Industry Research Report on Magnet Winding Wires Market in India” dated November 26, 2025 (“CARE Report”), Vyas-Ramanathan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Bedi, Shan and Bakshi from the date of this Red Herring Prospectus until the Bid/Offer Closing Date. For more information, see “Certain Conventions, Use of Financial Information and Market Data and Currency of Presentation” on page 15.</w:t>
      </w:r>
    </w:p>
    <w:p>
      <w:pPr>
        <w:pStyle w:val="Heading 2"/>
        <w:ind w:left="87" w:firstLine="0"/>
        <w:jc w:val="both"/>
      </w:pPr>
      <w:r>
        <w:t>INTERNAL RISKS</w:t>
      </w:r>
    </w:p>
    <w:p>
      <w:pPr>
        <w:pStyle w:val="Heading 4"/>
        <w:numPr>
          <w:ilvl w:val="0"/>
          <w:numId w:val="22"/>
        </w:numPr>
        <w:spacing w:before="199"/>
        <w:ind w:right="12"/>
        <w:rPr>
          <w:lang w:val="en-US"/>
        </w:rPr>
      </w:pPr>
      <w:r>
        <w:t>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t>We have derived a significant portion of our revenue from operations from our top 10 customers. The table below sets forth details of our revenue from operations generated from top 10 customers in each of the period/ Zarna Vasa indicated:</w:t>
      </w:r>
    </w:p>
    <w:p>
      <w:pPr>
        <w:pStyle w:val="Body Text"/>
        <w:spacing w:before="3" w:after="1"/>
        <w:rPr>
          <w:rStyle w:val="Hyperlink.4"/>
          <w:sz w:val="17"/>
          <w:szCs w:val="17"/>
        </w:rPr>
      </w:pPr>
      <w: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t>Three-month period ended June 30, 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Fiscal 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Fiscal 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Fiscal 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Revenue from top 10 customers (₹ in 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t>6,191.05</w:t>
            </w:r>
          </w:p>
        </w:tc>
      </w:tr>
    </w:tbl>
    <w:p>
      <w:pPr>
        <w:pStyle w:val="Body Text"/>
        <w:spacing w:before="3" w:after="1"/>
        <w:ind w:left="801" w:hanging="801"/>
        <w:rPr>
          <w:rStyle w:val="Hyperlink.4"/>
          <w:sz w:val="17"/>
          <w:szCs w:val="17"/>
        </w:rPr>
      </w:pPr>
      <w: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t>Three-month period ended June 30, 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Fiscal 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Fiscal 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Fiscal 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t>Total revenue from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t>10,494.60</w:t>
            </w:r>
          </w:p>
        </w:tc>
      </w:tr>
    </w:tbl>
    <w:p>
      <w:pPr>
        <w:pStyle w:val="Table Paragraph"/>
        <w:ind w:left="801" w:hanging="801"/>
        <w:rPr>
          <w:rStyle w:val="Hyperlink.4"/>
        </w:rPr>
      </w:pPr>
      <w:r/>
    </w:p>
    <w:p>
      <w:pPr>
        <w:pStyle w:val="Body Text"/>
        <w:spacing w:before="22"/>
      </w:pPr>
      <w:r/>
    </w:p>
    <w:p>
      <w:pPr>
        <w:pStyle w:val="Body Text"/>
        <w:ind w:left="796" w:firstLine="0"/>
        <w:jc w:val="both"/>
      </w:pPr>
      <w:r>
        <w:t>The table below sets forth the revenue derived from each of our top 10 customers, for the period/ Zarna Vasa indicated:</w:t>
      </w:r>
    </w:p>
    <w:p>
      <w:pPr>
        <w:pStyle w:val="Body Text"/>
        <w:spacing w:before="6"/>
        <w:rPr>
          <w:rStyle w:val="Hyperlink.4"/>
          <w:sz w:val="17"/>
          <w:szCs w:val="17"/>
        </w:rPr>
      </w:pPr>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t>S. N</w:t>
            </w:r>
          </w:p>
          <w:p>
            <w:pPr>
              <w:pStyle w:val="Table Paragraph"/>
              <w:bidi w:val="0"/>
              <w:spacing w:line="206" w:lineRule="exact"/>
              <w:ind w:left="100" w:right="0" w:firstLine="0"/>
              <w:jc w:val="left"/>
              <w:rPr>
                <w:rtl w:val="0"/>
              </w:rPr>
            </w:pPr>
            <w: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t>Various customer s*</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t>Three-month period ended June 30, 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t>Fiscal 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t>Fiscal 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t>Fiscal 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t>Amount (₹ in 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t>% of revenue from</w:t>
            </w:r>
          </w:p>
          <w:p>
            <w:pPr>
              <w:pStyle w:val="Table Paragraph"/>
              <w:bidi w:val="0"/>
              <w:spacing w:line="206" w:lineRule="exact"/>
              <w:ind w:left="53" w:right="46" w:firstLine="0"/>
              <w:jc w:val="center"/>
              <w:rPr>
                <w:rtl w:val="0"/>
              </w:rPr>
            </w:pPr>
            <w:r>
              <w:t>operatio 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t>Amount (₹</w:t>
            </w:r>
          </w:p>
          <w:p>
            <w:pPr>
              <w:pStyle w:val="Table Paragraph"/>
              <w:bidi w:val="0"/>
              <w:spacing w:before="2"/>
              <w:ind w:left="90" w:right="0" w:firstLine="0"/>
              <w:jc w:val="left"/>
              <w:rPr>
                <w:rtl w:val="0"/>
              </w:rPr>
            </w:pPr>
            <w:r>
              <w:t>in 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t>% of revenue from 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t>Amount (₹ in 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t>% of revenue from 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t>Amount (₹ in 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t>% of revenue from 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58.99%</w:t>
            </w:r>
          </w:p>
        </w:tc>
      </w:tr>
    </w:tbl>
    <w:p>
      <w:pPr>
        <w:pStyle w:val="Body Text"/>
        <w:spacing w:before="6"/>
        <w:ind w:left="801" w:hanging="801"/>
        <w:rPr>
          <w:rStyle w:val="Hyperlink.4"/>
          <w:sz w:val="17"/>
          <w:szCs w:val="17"/>
        </w:rPr>
      </w:pPr>
      <w:r/>
    </w:p>
    <w:p>
      <w:pPr>
        <w:pStyle w:val="Body"/>
        <w:spacing w:before="9"/>
        <w:ind w:left="796" w:right="6" w:firstLine="0"/>
        <w:jc w:val="both"/>
        <w:rPr>
          <w:rStyle w:val="Hyperlink.8"/>
        </w:rPr>
      </w:pPr>
      <w:r>
        <w:t>* These customers represent the top 10 customers for each of the respective periods/ Zarna Vasa and may not necessarily be the same customers across the periods/ Fiscals.</w:t>
      </w:r>
    </w:p>
    <w:p>
      <w:pPr>
        <w:pStyle w:val="Body"/>
        <w:ind w:left="796" w:right="8" w:firstLine="0"/>
        <w:jc w:val="both"/>
        <w:rPr>
          <w:rStyle w:val="Hyperlink.8"/>
        </w:rPr>
      </w:pPr>
      <w:r>
        <w:t>Note: Iyengar Ltd; Magar PLC; Kashyap-Venkatesh; Ben PLC; Prabhakar, Parsa and Deep; Transformers &amp; Rectifiers (India) Limited; Luthra, Dua and Arora. Names of other customers who form part of our top 10 customers during the periods/ Fiscals included above, have not been included in this Red Herring Prospectus due to non-receipt of consent from such customers to be named in the Offer Documents.</w:t>
      </w:r>
    </w:p>
    <w:p>
      <w:pPr>
        <w:pStyle w:val="Body Text"/>
        <w:spacing w:before="15"/>
        <w:rPr>
          <w:rStyle w:val="None"/>
          <w:i w:val="1"/>
          <w:iCs w:val="1"/>
          <w:sz w:val="16"/>
          <w:szCs w:val="16"/>
        </w:rPr>
      </w:pPr>
      <w:r/>
    </w:p>
    <w:p>
      <w:pPr>
        <w:pStyle w:val="Body Text"/>
        <w:ind w:left="796" w:right="6" w:firstLine="0"/>
        <w:jc w:val="both"/>
      </w:pPr>
      <w:r>
        <w:t>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w:t>
      </w:r>
    </w:p>
    <w:p>
      <w:pPr>
        <w:pStyle w:val="Body Text"/>
        <w:spacing w:before="200"/>
        <w:ind w:left="796" w:right="7" w:firstLine="0"/>
        <w:jc w:val="both"/>
      </w:pPr>
      <w:r>
        <w:t>Except as disclosed in the section titled “Outstanding Litigation and Material Developments – Hayer, Keer and Bahri – Ray Group”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t>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r/>
    </w:p>
    <w:p>
      <w:pPr>
        <w:pStyle w:val="Body Text"/>
        <w:spacing w:before="80"/>
        <w:ind w:left="796" w:right="20" w:firstLine="0"/>
        <w:jc w:val="both"/>
      </w:pPr>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t>S.</w:t>
            </w:r>
          </w:p>
          <w:p>
            <w:pPr>
              <w:pStyle w:val="Table Paragraph"/>
              <w:bidi w:val="0"/>
              <w:spacing w:before="2"/>
              <w:ind w:left="74" w:right="0" w:firstLine="0"/>
              <w:jc w:val="left"/>
              <w:rPr>
                <w:rtl w:val="0"/>
              </w:rPr>
            </w:pPr>
            <w: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t>Various suppliers*</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t>Three-month period ended June 30, 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t>Fiscal 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t>Fiscal 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t>Fiscal 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t>Amount (₹ in 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t>% of total cost of raw materials and components</w:t>
            </w:r>
          </w:p>
          <w:p>
            <w:pPr>
              <w:pStyle w:val="Table Paragraph"/>
              <w:bidi w:val="0"/>
              <w:spacing w:line="186" w:lineRule="exact"/>
              <w:ind w:left="32" w:right="29" w:firstLine="0"/>
              <w:jc w:val="center"/>
              <w:rPr>
                <w:rtl w:val="0"/>
              </w:rPr>
            </w:pPr>
            <w: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t>Amount (₹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t>% of total cost of raw materials and 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t>Amount (₹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t>% of total cost of raw materials and 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t>Amount (₹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t>% of total cost of raw materials and 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98.58%</w:t>
            </w:r>
          </w:p>
        </w:tc>
      </w:tr>
    </w:tbl>
    <w:p>
      <w:pPr>
        <w:pStyle w:val="Body Text"/>
        <w:spacing w:before="200"/>
        <w:ind w:left="796" w:right="18" w:firstLine="0"/>
        <w:jc w:val="both"/>
      </w:pPr>
      <w:r>
        <w:t>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pPr>
      <w:r/>
    </w:p>
    <w:p>
      <w:pPr>
        <w:pStyle w:val="Body Text"/>
        <w:spacing w:before="160"/>
      </w:pPr>
      <w:r/>
    </w:p>
    <w:p>
      <w:pPr>
        <w:pStyle w:val="Body"/>
        <w:ind w:left="1180" w:firstLine="0"/>
        <w:rPr>
          <w:rStyle w:val="None"/>
          <w:sz w:val="18"/>
          <w:szCs w:val="18"/>
        </w:rPr>
      </w:pPr>
      <w:r>
        <w:t>.</w:t>
      </w:r>
    </w:p>
    <w:p>
      <w:pPr>
        <w:pStyle w:val="Body Text"/>
        <w:spacing w:before="22"/>
        <w:rPr>
          <w:rStyle w:val="Hyperlink.4"/>
          <w:sz w:val="18"/>
          <w:szCs w:val="18"/>
        </w:rPr>
      </w:pPr>
      <w:r/>
    </w:p>
    <w:p>
      <w:pPr>
        <w:pStyle w:val="Body"/>
        <w:ind w:left="796" w:right="6" w:firstLine="0"/>
        <w:jc w:val="both"/>
        <w:rPr>
          <w:rStyle w:val="Hyperlink.8"/>
        </w:rPr>
      </w:pPr>
      <w:r>
        <w:t>*These suppliers represent the top 10 suppliers for each of the respective period/ Zarna Vasa and may not necessarily be the same suppliers across the period/ Zarna Vasa.</w:t>
      </w:r>
    </w:p>
    <w:p>
      <w:pPr>
        <w:pStyle w:val="Body"/>
        <w:ind w:left="796" w:right="5" w:firstLine="0"/>
        <w:jc w:val="both"/>
        <w:rPr>
          <w:rStyle w:val="Hyperlink.8"/>
        </w:rPr>
      </w:pPr>
      <w:r>
        <w:t>Note: Our top 10 suppliers include Ahlstrom Sweden AB; Date and Sons; Dixit-Pandya; Balay, Ahluwalia and Chakraborty; Polycom Associates; Prabhakar PLC; Union Copper Rod LLC; Issac, Mandal and Sibal Sterlite Copper. Names of other suppliers have not been included in this Red Herring Prospectus due to non-receipt of consent from such suppliers to be named in the Offer Documents.</w:t>
      </w:r>
    </w:p>
    <w:p>
      <w:pPr>
        <w:pStyle w:val="Body Text"/>
        <w:spacing w:before="16"/>
        <w:rPr>
          <w:rStyle w:val="None"/>
          <w:i w:val="1"/>
          <w:iCs w:val="1"/>
          <w:sz w:val="16"/>
          <w:szCs w:val="16"/>
        </w:rPr>
      </w:pPr>
      <w:r/>
    </w:p>
    <w:p>
      <w:pPr>
        <w:pStyle w:val="Body Text"/>
        <w:ind w:left="796" w:right="9" w:firstLine="0"/>
        <w:jc w:val="both"/>
      </w:pPr>
      <w:r>
        <w:t>We purchase our raw materials from third-party suppliers on the basis of purchase orders and do not typically enter into any long-term agreements. We procure our main raw material i.e. copper in back-to-back arrangement with suppliers Modi-Kapadia Mutti-Chandran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Karnik-Malhotra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t>We conduct quality checks before onboarding suppliers Buch LLC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pPr>
        <w:pStyle w:val="Body Text"/>
        <w:jc w:val="both"/>
        <w:sectPr>
          <w:headerReference w:type="default" r:id="rId71"/>
          <w:footerReference w:type="default" r:id="rId72"/>
          <w:pgSz w:w="11920" w:h="16840" w:orient="portrait"/>
          <w:pgMar w:top="1080" w:right="708" w:bottom="1060" w:left="992" w:header="0" w:footer="0"/>
          <w:bidi w:val="0"/>
        </w:sectPr>
      </w:pPr>
      <w:r/>
    </w:p>
    <w:p>
      <w:pPr>
        <w:pStyle w:val="Body Text"/>
        <w:spacing w:before="80"/>
        <w:ind w:left="796" w:right="7" w:firstLine="0"/>
        <w:jc w:val="both"/>
      </w:pPr>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w:t>
      </w:r>
    </w:p>
    <w:p>
      <w:pPr>
        <w:pStyle w:val="Heading 4"/>
        <w:numPr>
          <w:ilvl w:val="0"/>
          <w:numId w:val="24"/>
        </w:numPr>
        <w:spacing w:before="201"/>
        <w:ind w:right="20"/>
        <w:rPr>
          <w:lang w:val="en-US"/>
        </w:rPr>
      </w:pPr>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Zarna Vasa indicated:</w:t>
      </w:r>
    </w:p>
    <w:p>
      <w:pPr>
        <w:pStyle w:val="Body Text"/>
        <w:spacing w:before="4"/>
        <w:rPr>
          <w:rStyle w:val="Hyperlink.4"/>
          <w:sz w:val="17"/>
          <w:szCs w:val="17"/>
        </w:rPr>
      </w:pPr>
      <w: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t>Three-month period ended June 30, 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t>Fiscal 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t>Fiscal 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t>Fiscal 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Cost of raw materials and components consumed (₹ in 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Cost of materials and components consumed as 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t>92.54%</w:t>
            </w:r>
          </w:p>
        </w:tc>
      </w:tr>
    </w:tbl>
    <w:p>
      <w:pPr>
        <w:pStyle w:val="Body Text"/>
        <w:spacing w:before="4"/>
        <w:ind w:left="801" w:hanging="801"/>
        <w:rPr>
          <w:rStyle w:val="Hyperlink.4"/>
          <w:sz w:val="17"/>
          <w:szCs w:val="17"/>
        </w:rPr>
      </w:pPr>
      <w:r/>
    </w:p>
    <w:p>
      <w:pPr>
        <w:pStyle w:val="Body Text"/>
        <w:spacing w:before="1"/>
      </w:pPr>
      <w:r/>
    </w:p>
    <w:p>
      <w:pPr>
        <w:pStyle w:val="Body Text"/>
        <w:spacing w:before="1"/>
        <w:ind w:left="796" w:right="12" w:firstLine="0"/>
        <w:jc w:val="both"/>
      </w:pPr>
      <w:r>
        <w:t>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pPr>
        <w:pStyle w:val="Body Text"/>
        <w:spacing w:before="200"/>
        <w:ind w:left="796" w:right="21" w:firstLine="0"/>
        <w:jc w:val="both"/>
      </w:pPr>
      <w: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Zarna Vasa indicated:</w:t>
      </w:r>
    </w:p>
    <w:p>
      <w:pPr>
        <w:pStyle w:val="Body Text"/>
        <w:spacing w:before="5"/>
        <w:rPr>
          <w:rStyle w:val="Hyperlink.4"/>
          <w:sz w:val="17"/>
          <w:szCs w:val="17"/>
        </w:rPr>
      </w:pPr>
      <w: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r/>
          </w:p>
          <w:p>
            <w:pPr>
              <w:pStyle w:val="Table Paragraph"/>
              <w:bidi w:val="0"/>
              <w:ind w:left="203" w:right="0" w:firstLine="0"/>
              <w:jc w:val="left"/>
              <w:rPr>
                <w:rtl w:val="0"/>
              </w:rPr>
            </w:pPr>
            <w: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t>Three-month</w:t>
              <w:tab/>
              <w:t>period 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Fiscal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Fiscal 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t>Fiscal 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t>
            </w:r>
          </w:p>
          <w:p>
            <w:pPr>
              <w:pStyle w:val="Table Paragraph"/>
              <w:bidi w:val="0"/>
              <w:spacing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t>
            </w:r>
          </w:p>
          <w:p>
            <w:pPr>
              <w:pStyle w:val="Table Paragraph"/>
              <w:bidi w:val="0"/>
              <w:spacing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t>
            </w:r>
          </w:p>
          <w:p>
            <w:pPr>
              <w:pStyle w:val="Table Paragraph"/>
              <w:bidi w:val="0"/>
              <w:spacing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t>
            </w:r>
          </w:p>
          <w:p>
            <w:pPr>
              <w:pStyle w:val="Table Paragraph"/>
              <w:bidi w:val="0"/>
              <w:spacing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t>% of total 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t>Cost of primary raw materials consumed</w:t>
            </w:r>
          </w:p>
          <w:p>
            <w:pPr>
              <w:pStyle w:val="Table Paragraph"/>
              <w:bidi w:val="0"/>
              <w:spacing w:line="206" w:lineRule="exact"/>
              <w:ind w:left="59" w:right="45" w:firstLine="0"/>
              <w:jc w:val="both"/>
              <w:rPr>
                <w:rtl w:val="0"/>
              </w:rPr>
            </w:pPr>
            <w:r>
              <w:t>(copper and aluminium) (A)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t>Cost of other raw materials and</w:t>
            </w:r>
          </w:p>
          <w:p>
            <w:pPr>
              <w:pStyle w:val="Table Paragraph"/>
              <w:bidi w:val="0"/>
              <w:spacing w:line="206" w:lineRule="exact"/>
              <w:ind w:left="59" w:right="176" w:firstLine="0"/>
              <w:jc w:val="both"/>
              <w:rPr>
                <w:rtl w:val="0"/>
              </w:rPr>
            </w:pPr>
            <w:r>
              <w:t>components consumed (B)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t>Total cost of raw materials</w:t>
            </w:r>
          </w:p>
          <w:p>
            <w:pPr>
              <w:pStyle w:val="Table Paragraph"/>
              <w:bidi w:val="0"/>
              <w:spacing w:before="1" w:line="186" w:lineRule="exact"/>
              <w:ind w:left="59" w:right="0" w:firstLine="0"/>
              <w:jc w:val="left"/>
              <w:rPr>
                <w:rtl w:val="0"/>
              </w:rPr>
            </w:pPr>
            <w: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r>
    </w:tbl>
    <w:p>
      <w:pPr>
        <w:pStyle w:val="Body Text"/>
        <w:spacing w:before="5"/>
        <w:ind w:left="801" w:hanging="801"/>
        <w:rPr>
          <w:rStyle w:val="Hyperlink.4"/>
          <w:sz w:val="17"/>
          <w:szCs w:val="17"/>
        </w:rPr>
      </w:pPr>
      <w:r/>
    </w:p>
    <w:p>
      <w:pPr>
        <w:pStyle w:val="Table Paragraph"/>
        <w:jc w:val="right"/>
        <w:sectPr>
          <w:headerReference w:type="default" r:id="rId73"/>
          <w:footerReference w:type="default" r:id="rId74"/>
          <w:pgSz w:w="11920" w:h="16840" w:orient="portrait"/>
          <w:pgMar w:top="1080" w:right="708" w:bottom="1120" w:left="992" w:header="0" w:footer="0"/>
          <w:bidi w:val="0"/>
        </w:sectPr>
      </w:pPr>
      <w: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r/>
          </w:p>
          <w:p>
            <w:pPr>
              <w:pStyle w:val="Table Paragraph"/>
              <w:bidi w:val="0"/>
              <w:ind w:left="203" w:right="0" w:firstLine="0"/>
              <w:jc w:val="left"/>
              <w:rPr>
                <w:rtl w:val="0"/>
              </w:rPr>
            </w:pPr>
            <w: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t>Three-month</w:t>
              <w:tab/>
              <w:t>period 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Fiscal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Fiscal 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t>Fiscal 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t>
            </w:r>
          </w:p>
          <w:p>
            <w:pPr>
              <w:pStyle w:val="Table Paragraph"/>
              <w:bidi w:val="0"/>
              <w:spacing w:before="2"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t>
            </w:r>
          </w:p>
          <w:p>
            <w:pPr>
              <w:pStyle w:val="Table Paragraph"/>
              <w:bidi w:val="0"/>
              <w:spacing w:before="2"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t>
            </w:r>
          </w:p>
          <w:p>
            <w:pPr>
              <w:pStyle w:val="Table Paragraph"/>
              <w:bidi w:val="0"/>
              <w:spacing w:before="2"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t>
            </w:r>
          </w:p>
          <w:p>
            <w:pPr>
              <w:pStyle w:val="Table Paragraph"/>
              <w:bidi w:val="0"/>
              <w:spacing w:before="2"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t>% of total 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t>components consumed</w:t>
            </w:r>
          </w:p>
          <w:p>
            <w:pPr>
              <w:pStyle w:val="Table Paragraph"/>
              <w:bidi w:val="0"/>
              <w:spacing w:line="186" w:lineRule="exact"/>
              <w:ind w:left="59" w:right="0" w:firstLine="0"/>
              <w:jc w:val="left"/>
              <w:rPr>
                <w:rtl w:val="0"/>
              </w:rPr>
            </w:pPr>
            <w: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bl>
    <w:p>
      <w:pPr>
        <w:pStyle w:val="Table Paragraph"/>
        <w:ind w:left="801" w:hanging="801"/>
        <w:rPr>
          <w:rStyle w:val="Hyperlink.4"/>
        </w:rPr>
      </w:pPr>
      <w:r/>
    </w:p>
    <w:p>
      <w:pPr>
        <w:pStyle w:val="Body Text"/>
        <w:spacing w:before="24"/>
      </w:pPr>
      <w:r/>
    </w:p>
    <w:p>
      <w:pPr>
        <w:pStyle w:val="Body Text"/>
        <w:ind w:left="796" w:right="20" w:firstLine="0"/>
        <w:jc w:val="both"/>
      </w:pPr>
      <w: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Zarna Vasa indicated:</w:t>
      </w:r>
    </w:p>
    <w:p>
      <w:pPr>
        <w:pStyle w:val="Body Text"/>
        <w:spacing w:before="3"/>
        <w:rPr>
          <w:rStyle w:val="Hyperlink.4"/>
          <w:sz w:val="17"/>
          <w:szCs w:val="17"/>
        </w:rPr>
      </w:pPr>
      <w: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t>Three-month period 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t>Fiscal 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t>Fiscal 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t>Fiscal 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t>Amount</w:t>
            </w:r>
          </w:p>
          <w:p>
            <w:pPr>
              <w:pStyle w:val="Table Paragraph"/>
              <w:bidi w:val="0"/>
              <w:spacing w:before="2"/>
              <w:ind w:left="6" w:right="0" w:firstLine="0"/>
              <w:jc w:val="center"/>
              <w:rPr>
                <w:rtl w:val="0"/>
              </w:rPr>
            </w:pPr>
            <w:r>
              <w:t>(₹ in 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t>% of 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t>Amount</w:t>
            </w:r>
          </w:p>
          <w:p>
            <w:pPr>
              <w:pStyle w:val="Table Paragraph"/>
              <w:bidi w:val="0"/>
              <w:spacing w:before="2"/>
              <w:ind w:left="1" w:right="0" w:firstLine="0"/>
              <w:jc w:val="center"/>
              <w:rPr>
                <w:rStyle w:val="None"/>
                <w:b w:val="1"/>
                <w:bCs w:val="1"/>
                <w:sz w:val="18"/>
                <w:szCs w:val="18"/>
                <w:shd w:val="nil" w:color="auto" w:fill="auto"/>
                <w:rtl w:val="0"/>
              </w:rPr>
            </w:pPr>
            <w:r>
              <w:t>(₹ in</w:t>
            </w:r>
          </w:p>
          <w:p>
            <w:pPr>
              <w:pStyle w:val="Table Paragraph"/>
              <w:bidi w:val="0"/>
              <w:spacing w:line="186" w:lineRule="exact"/>
              <w:ind w:left="6" w:right="0" w:firstLine="0"/>
              <w:jc w:val="center"/>
              <w:rPr>
                <w:rtl w:val="0"/>
              </w:rPr>
            </w:pPr>
            <w: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t>% of 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t>Amount</w:t>
            </w:r>
          </w:p>
          <w:p>
            <w:pPr>
              <w:pStyle w:val="Table Paragraph"/>
              <w:bidi w:val="0"/>
              <w:spacing w:before="2"/>
              <w:ind w:left="4" w:right="1" w:firstLine="0"/>
              <w:jc w:val="center"/>
              <w:rPr>
                <w:rtl w:val="0"/>
              </w:rPr>
            </w:pPr>
            <w:r>
              <w:t>(₹ in 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t>% of 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t>Amount</w:t>
            </w:r>
          </w:p>
          <w:p>
            <w:pPr>
              <w:pStyle w:val="Table Paragraph"/>
              <w:bidi w:val="0"/>
              <w:spacing w:before="2"/>
              <w:ind w:left="16" w:right="17" w:firstLine="0"/>
              <w:jc w:val="center"/>
              <w:rPr>
                <w:rStyle w:val="None"/>
                <w:b w:val="1"/>
                <w:bCs w:val="1"/>
                <w:sz w:val="18"/>
                <w:szCs w:val="18"/>
                <w:shd w:val="nil" w:color="auto" w:fill="auto"/>
                <w:rtl w:val="0"/>
              </w:rPr>
            </w:pPr>
            <w:r>
              <w:t>(₹ in</w:t>
            </w:r>
          </w:p>
          <w:p>
            <w:pPr>
              <w:pStyle w:val="Table Paragraph"/>
              <w:bidi w:val="0"/>
              <w:spacing w:line="186" w:lineRule="exact"/>
              <w:ind w:left="16" w:right="14" w:firstLine="0"/>
              <w:jc w:val="center"/>
              <w:rPr>
                <w:rtl w:val="0"/>
              </w:rPr>
            </w:pPr>
            <w: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t>% of 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t>Suppliers from outside</w:t>
            </w:r>
          </w:p>
          <w:p>
            <w:pPr>
              <w:pStyle w:val="Table Paragraph"/>
              <w:bidi w:val="0"/>
              <w:spacing w:line="186" w:lineRule="exact"/>
              <w:ind w:left="59" w:right="0" w:firstLine="0"/>
              <w:jc w:val="left"/>
              <w:rPr>
                <w:rtl w:val="0"/>
              </w:rPr>
            </w:pPr>
            <w: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100.00%</w:t>
            </w:r>
          </w:p>
        </w:tc>
      </w:tr>
    </w:tbl>
    <w:p>
      <w:pPr>
        <w:pStyle w:val="Body Text"/>
        <w:spacing w:before="3"/>
        <w:ind w:left="801" w:hanging="801"/>
        <w:rPr>
          <w:rStyle w:val="Hyperlink.4"/>
          <w:sz w:val="17"/>
          <w:szCs w:val="17"/>
        </w:rPr>
      </w:pPr>
      <w:r/>
    </w:p>
    <w:p>
      <w:pPr>
        <w:pStyle w:val="Body Text"/>
        <w:spacing w:before="3"/>
      </w:pPr>
      <w:r/>
    </w:p>
    <w:p>
      <w:pPr>
        <w:pStyle w:val="Body Text"/>
        <w:ind w:left="796" w:right="8" w:firstLine="0"/>
        <w:jc w:val="both"/>
      </w:pPr>
      <w:r>
        <w:t>Set out below is the contribution of our suppliers from Gujarat and in UAE for the three-month period ended June 30, 2025, and Fiscals 2025, 2024, and 2023:</w:t>
      </w:r>
    </w:p>
    <w:p>
      <w:pPr>
        <w:pStyle w:val="Body Text"/>
        <w:spacing w:before="4"/>
        <w:rPr>
          <w:rStyle w:val="Hyperlink.4"/>
          <w:sz w:val="17"/>
          <w:szCs w:val="17"/>
        </w:rPr>
      </w:pPr>
      <w: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t>Three-month period 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t>Fiscal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t>Fiscal 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t>Fiscal 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t>Amount (₹ in 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t>% of total cost of raw materials and 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t>Amount (₹ in 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t>% of total cost of raw materials and 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t>Amount (₹ in 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t>% of total cost of raw materials and 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t>Amount (₹ in 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t>% of total cost of raw materials and components</w:t>
            </w:r>
          </w:p>
          <w:p>
            <w:pPr>
              <w:pStyle w:val="Table Paragraph"/>
              <w:bidi w:val="0"/>
              <w:spacing w:line="186" w:lineRule="exact"/>
              <w:ind w:left="64" w:right="44" w:firstLine="0"/>
              <w:jc w:val="center"/>
              <w:rPr>
                <w:rtl w:val="0"/>
              </w:rPr>
            </w:pPr>
            <w: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62.95%</w:t>
            </w:r>
          </w:p>
        </w:tc>
      </w:tr>
    </w:tbl>
    <w:p>
      <w:pPr>
        <w:pStyle w:val="Body Text"/>
        <w:spacing w:before="4"/>
        <w:ind w:left="804" w:hanging="804"/>
        <w:rPr>
          <w:rStyle w:val="Hyperlink.4"/>
          <w:sz w:val="17"/>
          <w:szCs w:val="17"/>
        </w:rPr>
      </w:pPr>
      <w:r/>
    </w:p>
    <w:p>
      <w:pPr>
        <w:pStyle w:val="Body Text"/>
        <w:spacing w:before="3"/>
      </w:pPr>
      <w:r/>
    </w:p>
    <w:p>
      <w:pPr>
        <w:pStyle w:val="Body Text"/>
        <w:spacing w:before="1"/>
        <w:ind w:left="796" w:right="7" w:firstLine="0"/>
        <w:jc w:val="both"/>
      </w:pPr>
      <w:r>
        <w:t>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 4"/>
        <w:numPr>
          <w:ilvl w:val="0"/>
          <w:numId w:val="25"/>
        </w:numPr>
        <w:ind w:right="12"/>
        <w:rPr>
          <w:lang w:val="en-US"/>
        </w:rPr>
      </w:pPr>
      <w:r>
        <w:t>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Mutti, Halder and Suri that we operate in, could adversely affect our business, results of operations and financial condition.</w:t>
      </w:r>
    </w:p>
    <w:p>
      <w:pPr>
        <w:pStyle w:val="Body Text"/>
        <w:spacing w:before="198"/>
        <w:ind w:left="808" w:right="20" w:firstLine="0"/>
        <w:jc w:val="both"/>
      </w:pPr>
      <w:r>
        <w:t>We are dependent on our customers from the Power Sector for a significant portion of our operating revenue. Jayaraman-Sabharwal that we cater to, for the period/ Zarna Vasa indicated:</w:t>
      </w:r>
    </w:p>
    <w:p>
      <w:pPr>
        <w:pStyle w:val="Body Text"/>
        <w:spacing w:before="5"/>
        <w:rPr>
          <w:rStyle w:val="Hyperlink.4"/>
          <w:sz w:val="17"/>
          <w:szCs w:val="17"/>
        </w:rPr>
      </w:pPr>
      <w: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t>Three-month period 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t>Fiscal 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t>Fiscal 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t>Fiscal 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t>Amount (₹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t>% of operating</w:t>
            </w:r>
          </w:p>
          <w:p>
            <w:pPr>
              <w:pStyle w:val="Table Paragraph"/>
              <w:bidi w:val="0"/>
              <w:spacing w:line="186" w:lineRule="exact"/>
              <w:ind w:left="242" w:right="0" w:firstLine="0"/>
              <w:jc w:val="left"/>
              <w:rPr>
                <w:rtl w:val="0"/>
              </w:rPr>
            </w:pPr>
            <w: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t>Amount (₹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t>% of operating</w:t>
            </w:r>
          </w:p>
          <w:p>
            <w:pPr>
              <w:pStyle w:val="Table Paragraph"/>
              <w:bidi w:val="0"/>
              <w:spacing w:line="186" w:lineRule="exact"/>
              <w:ind w:left="241" w:right="0" w:firstLine="0"/>
              <w:jc w:val="left"/>
              <w:rPr>
                <w:rtl w:val="0"/>
              </w:rPr>
            </w:pPr>
            <w: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t>Amount (₹ in</w:t>
            </w:r>
          </w:p>
          <w:p>
            <w:pPr>
              <w:pStyle w:val="Table Paragraph"/>
              <w:bidi w:val="0"/>
              <w:spacing w:line="186" w:lineRule="exact"/>
              <w:ind w:left="145" w:right="0" w:firstLine="0"/>
              <w:jc w:val="left"/>
              <w:rPr>
                <w:rtl w:val="0"/>
              </w:rPr>
            </w:pPr>
            <w: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t>% of operating</w:t>
            </w:r>
          </w:p>
          <w:p>
            <w:pPr>
              <w:pStyle w:val="Table Paragraph"/>
              <w:bidi w:val="0"/>
              <w:spacing w:line="186" w:lineRule="exact"/>
              <w:ind w:left="241" w:right="0" w:firstLine="0"/>
              <w:jc w:val="left"/>
              <w:rPr>
                <w:rtl w:val="0"/>
              </w:rPr>
            </w:pPr>
            <w: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t>Amount (₹ in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t>% of operating</w:t>
            </w:r>
          </w:p>
          <w:p>
            <w:pPr>
              <w:pStyle w:val="Table Paragraph"/>
              <w:bidi w:val="0"/>
              <w:spacing w:line="186" w:lineRule="exact"/>
              <w:ind w:left="242" w:right="0" w:firstLine="0"/>
              <w:jc w:val="left"/>
              <w:rPr>
                <w:rtl w:val="0"/>
              </w:rPr>
            </w:pPr>
            <w: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Others*</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20.92%</w:t>
            </w:r>
          </w:p>
        </w:tc>
      </w:tr>
    </w:tbl>
    <w:p>
      <w:pPr>
        <w:pStyle w:val="Body Text"/>
        <w:spacing w:before="5"/>
        <w:ind w:left="801" w:hanging="801"/>
        <w:rPr>
          <w:rStyle w:val="Hyperlink.4"/>
          <w:sz w:val="17"/>
          <w:szCs w:val="17"/>
        </w:rPr>
      </w:pPr>
      <w: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t>Three-month period 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t>Fiscal 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t>Fiscal 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t>Fiscal 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t>Amount (₹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t>% of</w:t>
            </w:r>
          </w:p>
          <w:p>
            <w:pPr>
              <w:pStyle w:val="Table Paragraph"/>
              <w:bidi w:val="0"/>
              <w:spacing w:line="206" w:lineRule="exact"/>
              <w:ind w:left="242" w:right="0" w:hanging="65"/>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t>Amount (₹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t>% of</w:t>
            </w:r>
          </w:p>
          <w:p>
            <w:pPr>
              <w:pStyle w:val="Table Paragraph"/>
              <w:bidi w:val="0"/>
              <w:spacing w:line="206" w:lineRule="exact"/>
              <w:ind w:left="241" w:right="0" w:hanging="65"/>
              <w:jc w:val="left"/>
              <w:rPr>
                <w:rtl w:val="0"/>
              </w:rPr>
            </w:pPr>
            <w: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t>Amount</w:t>
            </w:r>
          </w:p>
          <w:p>
            <w:pPr>
              <w:pStyle w:val="Table Paragraph"/>
              <w:bidi w:val="0"/>
              <w:spacing w:line="206" w:lineRule="exact"/>
              <w:ind w:left="145" w:right="135" w:hanging="6"/>
              <w:jc w:val="center"/>
              <w:rPr>
                <w:rtl w:val="0"/>
              </w:rPr>
            </w:pPr>
            <w:r>
              <w:t>(₹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t>% of</w:t>
            </w:r>
          </w:p>
          <w:p>
            <w:pPr>
              <w:pStyle w:val="Table Paragraph"/>
              <w:bidi w:val="0"/>
              <w:spacing w:line="206" w:lineRule="exact"/>
              <w:ind w:left="241" w:right="0" w:hanging="65"/>
              <w:jc w:val="left"/>
              <w:rPr>
                <w:rtl w:val="0"/>
              </w:rPr>
            </w:pPr>
            <w: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t>Amount (₹ in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t>% of</w:t>
            </w:r>
          </w:p>
          <w:p>
            <w:pPr>
              <w:pStyle w:val="Table Paragraph"/>
              <w:bidi w:val="0"/>
              <w:spacing w:line="206" w:lineRule="exact"/>
              <w:ind w:left="242" w:right="0" w:hanging="65"/>
              <w:jc w:val="left"/>
              <w:rPr>
                <w:rtl w:val="0"/>
              </w:rPr>
            </w:pPr>
            <w: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Total#</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t>100.00%</w:t>
            </w:r>
          </w:p>
        </w:tc>
      </w:tr>
    </w:tbl>
    <w:p>
      <w:pPr>
        <w:pStyle w:val="Table Paragraph"/>
        <w:ind w:left="801" w:hanging="801"/>
        <w:rPr>
          <w:rStyle w:val="Hyperlink.4"/>
        </w:rPr>
      </w:pPr>
      <w:r/>
    </w:p>
    <w:p>
      <w:pPr>
        <w:pStyle w:val="Body"/>
        <w:spacing w:before="23"/>
        <w:ind w:left="808" w:firstLine="0"/>
        <w:rPr>
          <w:rStyle w:val="Hyperlink.8"/>
        </w:rPr>
      </w:pPr>
      <w:r>
        <w:t>* Others include industrials, automotives (EV and ICE), home appliances, refrigeration and air conditioning.</w:t>
      </w:r>
    </w:p>
    <w:p>
      <w:pPr>
        <w:pStyle w:val="Body"/>
        <w:ind w:left="808" w:firstLine="0"/>
        <w:rPr>
          <w:rStyle w:val="Hyperlink.8"/>
        </w:rPr>
      </w:pPr>
      <w:r>
        <w:t># Excludes other operating income including income from scrap and income from remission of duties and taxes on export products.</w:t>
      </w:r>
    </w:p>
    <w:p>
      <w:pPr>
        <w:pStyle w:val="Body Text"/>
        <w:spacing w:before="15"/>
        <w:rPr>
          <w:rStyle w:val="None"/>
          <w:i w:val="1"/>
          <w:iCs w:val="1"/>
          <w:sz w:val="16"/>
          <w:szCs w:val="16"/>
        </w:rPr>
      </w:pPr>
      <w:r/>
    </w:p>
    <w:p>
      <w:pPr>
        <w:pStyle w:val="Body Text"/>
        <w:ind w:left="796" w:right="6" w:firstLine="0"/>
        <w:jc w:val="both"/>
      </w:pPr>
      <w:r>
        <w:t>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Pingle LLC.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pPr>
        <w:pStyle w:val="Heading 4"/>
        <w:numPr>
          <w:ilvl w:val="0"/>
          <w:numId w:val="26"/>
        </w:numPr>
        <w:spacing w:before="201"/>
        <w:ind w:right="12"/>
        <w:rPr>
          <w:lang w:val="en-US"/>
        </w:rPr>
      </w:pPr>
      <w:r>
        <w:t>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p>
      <w:pPr>
        <w:pStyle w:val="Body Text"/>
        <w:spacing w:before="201"/>
        <w:ind w:left="796" w:right="13" w:firstLine="0"/>
        <w:jc w:val="both"/>
      </w:pPr>
      <w:r>
        <w:t>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p>
      <w:pPr>
        <w:pStyle w:val="Body Text"/>
        <w:spacing w:before="2" w:after="1"/>
        <w:rPr>
          <w:rStyle w:val="Hyperlink.4"/>
          <w:sz w:val="17"/>
          <w:szCs w:val="17"/>
        </w:rPr>
      </w:pPr>
      <w: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t>Three-month period ended June 30, 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t>Fiscal 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t>Fiscal 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t>Fiscal 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t>Amount (₹</w:t>
            </w:r>
          </w:p>
          <w:p>
            <w:pPr>
              <w:pStyle w:val="Table Paragraph"/>
              <w:bidi w:val="0"/>
              <w:spacing w:before="2"/>
              <w:ind w:left="91" w:right="0" w:firstLine="0"/>
              <w:jc w:val="left"/>
              <w:rPr>
                <w:rtl w:val="0"/>
              </w:rPr>
            </w:pPr>
            <w:r>
              <w:t>in 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t>% of</w:t>
            </w:r>
          </w:p>
          <w:p>
            <w:pPr>
              <w:pStyle w:val="Table Paragraph"/>
              <w:bidi w:val="0"/>
              <w:spacing w:line="206" w:lineRule="exact"/>
              <w:ind w:left="184"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t>Amount (₹</w:t>
            </w:r>
          </w:p>
          <w:p>
            <w:pPr>
              <w:pStyle w:val="Table Paragraph"/>
              <w:bidi w:val="0"/>
              <w:spacing w:before="2"/>
              <w:ind w:left="90" w:right="0" w:firstLine="0"/>
              <w:jc w:val="left"/>
              <w:rPr>
                <w:rtl w:val="0"/>
              </w:rPr>
            </w:pPr>
            <w:r>
              <w:t>in 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t>% of</w:t>
            </w:r>
          </w:p>
          <w:p>
            <w:pPr>
              <w:pStyle w:val="Table Paragraph"/>
              <w:bidi w:val="0"/>
              <w:spacing w:line="206" w:lineRule="exact"/>
              <w:ind w:left="183"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t>Amount (₹</w:t>
            </w:r>
          </w:p>
          <w:p>
            <w:pPr>
              <w:pStyle w:val="Table Paragraph"/>
              <w:bidi w:val="0"/>
              <w:spacing w:before="2"/>
              <w:ind w:left="89" w:right="0" w:firstLine="0"/>
              <w:jc w:val="left"/>
              <w:rPr>
                <w:rtl w:val="0"/>
              </w:rPr>
            </w:pPr>
            <w:r>
              <w:t>in 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t>% of</w:t>
            </w:r>
          </w:p>
          <w:p>
            <w:pPr>
              <w:pStyle w:val="Table Paragraph"/>
              <w:bidi w:val="0"/>
              <w:spacing w:line="206" w:lineRule="exact"/>
              <w:ind w:left="183"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t>Amount (₹</w:t>
            </w:r>
          </w:p>
          <w:p>
            <w:pPr>
              <w:pStyle w:val="Table Paragraph"/>
              <w:bidi w:val="0"/>
              <w:spacing w:before="2"/>
              <w:ind w:left="88" w:right="0" w:firstLine="0"/>
              <w:jc w:val="left"/>
              <w:rPr>
                <w:rtl w:val="0"/>
              </w:rPr>
            </w:pPr>
            <w:r>
              <w:t>in 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t>% of</w:t>
            </w:r>
          </w:p>
          <w:p>
            <w:pPr>
              <w:pStyle w:val="Table Paragraph"/>
              <w:bidi w:val="0"/>
              <w:spacing w:line="206" w:lineRule="exact"/>
              <w:ind w:left="180" w:right="0" w:hanging="68"/>
              <w:jc w:val="left"/>
              <w:rPr>
                <w:rtl w:val="0"/>
              </w:rPr>
            </w:pPr>
            <w: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Specialized 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t>Standard</w:t>
              <w:tab/>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100.00%</w:t>
            </w:r>
          </w:p>
        </w:tc>
      </w:tr>
    </w:tbl>
    <w:p>
      <w:pPr>
        <w:pStyle w:val="Body Text"/>
        <w:spacing w:before="2" w:after="1"/>
        <w:ind w:left="801" w:hanging="801"/>
        <w:rPr>
          <w:rStyle w:val="Hyperlink.4"/>
          <w:sz w:val="17"/>
          <w:szCs w:val="17"/>
        </w:rPr>
      </w:pPr>
      <w:r/>
    </w:p>
    <w:p>
      <w:pPr>
        <w:pStyle w:val="Body Text"/>
        <w:spacing w:before="3"/>
      </w:pPr>
      <w:r/>
    </w:p>
    <w:p>
      <w:pPr>
        <w:pStyle w:val="Body Text"/>
        <w:ind w:left="796" w:right="7" w:firstLine="0"/>
        <w:jc w:val="both"/>
      </w:pPr>
      <w:r>
        <w:t>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Deshmukh PLC, Sane, Bhattacharyya and Gour, or otherwise could adversely affect our business, financial condition, cash flows and results of operations.</w:t>
      </w:r>
    </w:p>
    <w:p>
      <w:pPr>
        <w:pStyle w:val="Heading 4"/>
        <w:numPr>
          <w:ilvl w:val="0"/>
          <w:numId w:val="27"/>
        </w:numPr>
        <w:spacing w:before="199"/>
        <w:ind w:right="17"/>
        <w:rPr>
          <w:lang w:val="en-US"/>
        </w:rPr>
      </w:pPr>
      <w: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t>We intend to utilize portions of the Net Proceeds for funding capital expenditure requirements for (i) Sampath PLC towards purchasing and setting up of new machinery for expansion at our Supa Facility; (ii) Sampath PLC towards purchasing and setting up of a rooftop solar power plant for power generation at our Harsh Dass; and (iii) Sampath PLC towards purchasing and setting up of new machinery at Unit 2 in Chakan,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pPr>
        <w:pStyle w:val="Body Text"/>
        <w:jc w:val="both"/>
        <w:sectPr>
          <w:headerReference w:type="default" r:id="rId77"/>
          <w:footerReference w:type="default" r:id="rId78"/>
          <w:pgSz w:w="11920" w:h="16840" w:orient="portrait"/>
          <w:pgMar w:top="1140" w:right="708" w:bottom="1120" w:left="992" w:header="0" w:footer="0"/>
          <w:bidi w:val="0"/>
        </w:sectPr>
      </w:pPr>
      <w:r/>
    </w:p>
    <w:p>
      <w:pPr>
        <w:pStyle w:val="Body Text"/>
        <w:spacing w:before="80"/>
        <w:ind w:left="796" w:right="24" w:firstLine="0"/>
        <w:jc w:val="both"/>
      </w:pPr>
      <w:r>
        <w:t>Biswas-Ganesh has already placed purchase orders, may not be delivered within the expected time, or at all, and may impact the time and cost estimates of our Proposed Capital Expenditure.</w:t>
      </w:r>
    </w:p>
    <w:p>
      <w:pPr>
        <w:pStyle w:val="Body Text"/>
        <w:spacing w:before="201"/>
        <w:ind w:left="796" w:right="10" w:firstLine="0"/>
        <w:jc w:val="both"/>
      </w:pPr>
      <w: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p>
    <w:p>
      <w:pPr>
        <w:pStyle w:val="Heading 4"/>
        <w:numPr>
          <w:ilvl w:val="0"/>
          <w:numId w:val="28"/>
        </w:numPr>
        <w:spacing w:before="201"/>
        <w:ind w:right="18"/>
        <w:rPr>
          <w:lang w:val="en-US"/>
        </w:rPr>
      </w:pPr>
      <w: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t>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Mahajan-Narayan during the three-month period ended June 30, 2025, or Fiscals 2025, 2024, and 2023, we cannot assure that there will not be any breakdowns in future.</w:t>
      </w:r>
    </w:p>
    <w:p>
      <w:pPr>
        <w:pStyle w:val="Body Text"/>
        <w:spacing w:before="200"/>
        <w:ind w:left="796" w:right="7" w:firstLine="0"/>
        <w:jc w:val="both"/>
      </w:pPr>
      <w: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r/>
    </w:p>
    <w:p>
      <w:pPr>
        <w:pStyle w:val="Heading 4"/>
        <w:numPr>
          <w:ilvl w:val="0"/>
          <w:numId w:val="29"/>
        </w:numPr>
        <w:spacing w:before="80"/>
        <w:ind w:right="21"/>
        <w:rPr>
          <w:lang w:val="en-US"/>
        </w:rPr>
      </w:pPr>
      <w:r>
        <w:t>We have encountered delays in the past and may encounter delays or time cost overruns in the completion of the construction of our manufacturing facility at Christopher Balakrishnan, Aadi Ahluwalia (formerly Eesha Bava) in Maharashtra, which may adversely affect our business, result of operations, financial condition and cash flows.</w:t>
      </w:r>
    </w:p>
    <w:p>
      <w:pPr>
        <w:pStyle w:val="Body Text"/>
        <w:spacing w:before="201"/>
        <w:ind w:left="796" w:right="8" w:firstLine="0"/>
        <w:jc w:val="both"/>
      </w:pPr>
      <w:r>
        <w:t>Our manufacturing unit at Supa, Aadi Ahluwalia (formerly Eesha Bava) in Maharashtra was originally anticipated to commence operations by March 31, 2025, however, we have experienced delays in setting up our Harsh Dass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p>
    <w:p>
      <w:pPr>
        <w:pStyle w:val="Body"/>
        <w:spacing w:before="201"/>
        <w:ind w:left="796" w:right="9" w:firstLine="0"/>
        <w:jc w:val="both"/>
        <w:rPr>
          <w:rStyle w:val="None"/>
          <w:sz w:val="20"/>
          <w:szCs w:val="20"/>
        </w:rPr>
      </w:pPr>
      <w:r>
        <w:t>Additionally, an amount of ₹ 783.77 million from the Net Proceeds is intended to be utilised towards the Phase II Expansion at our Supa Facility. For further details, see “Objects of the Offer – Borah Ltd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p>
    <w:p>
      <w:pPr>
        <w:pStyle w:val="Heading 4"/>
        <w:numPr>
          <w:ilvl w:val="0"/>
          <w:numId w:val="22"/>
        </w:numPr>
        <w:ind w:right="18"/>
        <w:rPr>
          <w:lang w:val="en-US"/>
        </w:rPr>
      </w:pPr>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t>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pPr>
        <w:pStyle w:val="Body Text"/>
        <w:spacing w:before="199"/>
        <w:ind w:left="796" w:right="6" w:firstLine="0"/>
        <w:jc w:val="both"/>
      </w:pPr>
      <w:r>
        <w:t>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t>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pPr>
        <w:pStyle w:val="Body Text"/>
        <w:ind w:left="796" w:right="9" w:firstLine="0"/>
        <w:jc w:val="both"/>
      </w:pPr>
      <w:r>
        <w:t>211. While there has not been any non-compliance with the quality standards of our customers during the three-month period ended June 30, 2025, or Fiscals 2025, 2024 and 2023, we cannot assure you that any future non-compliance</w:t>
      </w:r>
    </w:p>
    <w:p>
      <w:pPr>
        <w:pStyle w:val="Body Text"/>
        <w:jc w:val="both"/>
        <w:sectPr>
          <w:headerReference w:type="default" r:id="rId81"/>
          <w:footerReference w:type="default" r:id="rId82"/>
          <w:pgSz w:w="11920" w:h="16840" w:orient="portrait"/>
          <w:pgMar w:top="1080" w:right="708" w:bottom="1120" w:left="992" w:header="0" w:footer="0"/>
          <w:bidi w:val="0"/>
        </w:sectPr>
      </w:pPr>
      <w:r/>
    </w:p>
    <w:p>
      <w:pPr>
        <w:pStyle w:val="Body Text"/>
        <w:spacing w:before="80"/>
        <w:ind w:left="796" w:right="18" w:firstLine="0"/>
        <w:jc w:val="both"/>
      </w:pPr>
      <w:r>
        <w:t>with quality standards will not result in a material adverse effect on our business, financial condition, results of operations, cash flows and prospects.</w:t>
      </w:r>
    </w:p>
    <w:p>
      <w:pPr>
        <w:pStyle w:val="Body Text"/>
        <w:spacing w:before="201"/>
        <w:ind w:left="796" w:right="8" w:firstLine="0"/>
        <w:jc w:val="both"/>
      </w:pPr>
      <w:r>
        <w:t>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pPr>
        <w:pStyle w:val="Heading 4"/>
        <w:numPr>
          <w:ilvl w:val="0"/>
          <w:numId w:val="30"/>
        </w:numPr>
        <w:spacing w:before="201"/>
        <w:ind w:right="10"/>
        <w:rPr>
          <w:lang w:val="en-US"/>
        </w:rPr>
      </w:pPr>
      <w:r>
        <w:t>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t>We have supplied our products to customers across 24 countries outside India, as of June 30, 2025. The table below sets forth details of the customers served outside India and revenue generated from such customers in the years/ periods indicated:</w:t>
      </w:r>
    </w:p>
    <w:p>
      <w:pPr>
        <w:pStyle w:val="Body Text"/>
        <w:spacing w:before="4" w:after="1"/>
        <w:rPr>
          <w:rStyle w:val="Hyperlink.4"/>
          <w:sz w:val="17"/>
          <w:szCs w:val="17"/>
        </w:rPr>
      </w:pPr>
      <w: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t>Three-month period ended June 30, 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t>Fiscal 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t>Fiscal 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t>Fiscal 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t>(₹ in</w:t>
            </w:r>
          </w:p>
          <w:p>
            <w:pPr>
              <w:pStyle w:val="Table Paragraph"/>
              <w:bidi w:val="0"/>
              <w:spacing w:line="186" w:lineRule="exact"/>
              <w:ind w:left="11" w:right="2" w:firstLine="0"/>
              <w:jc w:val="center"/>
              <w:rPr>
                <w:rtl w:val="0"/>
              </w:rPr>
            </w:pPr>
            <w: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t>% of sale of 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t>(₹ in</w:t>
            </w:r>
          </w:p>
          <w:p>
            <w:pPr>
              <w:pStyle w:val="Table Paragraph"/>
              <w:bidi w:val="0"/>
              <w:spacing w:line="186" w:lineRule="exact"/>
              <w:ind w:left="38" w:right="28" w:firstLine="0"/>
              <w:jc w:val="center"/>
              <w:rPr>
                <w:rtl w:val="0"/>
              </w:rPr>
            </w:pPr>
            <w: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t>% of sale of 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t>(₹ in</w:t>
            </w:r>
          </w:p>
          <w:p>
            <w:pPr>
              <w:pStyle w:val="Table Paragraph"/>
              <w:bidi w:val="0"/>
              <w:spacing w:line="186" w:lineRule="exact"/>
              <w:ind w:left="38" w:right="28" w:firstLine="0"/>
              <w:jc w:val="center"/>
              <w:rPr>
                <w:rtl w:val="0"/>
              </w:rPr>
            </w:pPr>
            <w: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t>% of sale of 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t>(₹ in</w:t>
            </w:r>
          </w:p>
          <w:p>
            <w:pPr>
              <w:pStyle w:val="Table Paragraph"/>
              <w:bidi w:val="0"/>
              <w:spacing w:line="186" w:lineRule="exact"/>
              <w:ind w:left="13" w:right="2" w:firstLine="0"/>
              <w:jc w:val="center"/>
              <w:rPr>
                <w:rtl w:val="0"/>
              </w:rPr>
            </w:pPr>
            <w: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t>% of sale of 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t>Customers outside 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100.00%</w:t>
            </w:r>
          </w:p>
        </w:tc>
      </w:tr>
    </w:tbl>
    <w:p>
      <w:pPr>
        <w:pStyle w:val="Body Text"/>
        <w:spacing w:before="4" w:after="1"/>
        <w:ind w:left="808" w:hanging="808"/>
        <w:rPr>
          <w:rStyle w:val="Hyperlink.4"/>
          <w:sz w:val="17"/>
          <w:szCs w:val="17"/>
        </w:rPr>
      </w:pPr>
      <w:r/>
    </w:p>
    <w:p>
      <w:pPr>
        <w:pStyle w:val="Body"/>
        <w:spacing w:before="4"/>
        <w:ind w:left="796" w:firstLine="0"/>
        <w:jc w:val="both"/>
        <w:rPr>
          <w:rStyle w:val="Hyperlink.8"/>
        </w:rPr>
      </w:pPr>
      <w:r>
        <w:t>* This does not include processing charges and other operating revenue.</w:t>
      </w:r>
    </w:p>
    <w:p>
      <w:pPr>
        <w:pStyle w:val="Body Text"/>
        <w:spacing w:before="43"/>
        <w:rPr>
          <w:rStyle w:val="None"/>
          <w:i w:val="1"/>
          <w:iCs w:val="1"/>
          <w:sz w:val="16"/>
          <w:szCs w:val="16"/>
        </w:rPr>
      </w:pPr>
      <w:r/>
    </w:p>
    <w:p>
      <w:pPr>
        <w:pStyle w:val="Body Text"/>
        <w:ind w:left="796" w:right="8" w:firstLine="0"/>
        <w:jc w:val="both"/>
      </w:pPr>
      <w: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t>Further, the United States have recently introduced tariff hikes on its imports from India. Electrical components, classified under the Indian customs heading (“CTS”)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Patla, Sheth and Shah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r/>
    </w:p>
    <w:p>
      <w:pPr>
        <w:pStyle w:val="Heading 4"/>
        <w:numPr>
          <w:ilvl w:val="0"/>
          <w:numId w:val="31"/>
        </w:numPr>
        <w:spacing w:before="80"/>
        <w:ind w:right="18"/>
        <w:rPr>
          <w:lang w:val="en-US"/>
        </w:rPr>
      </w:pPr>
      <w:r>
        <w:t>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pPr>
        <w:pStyle w:val="Body Text"/>
        <w:spacing w:before="201"/>
        <w:ind w:left="796" w:right="22" w:firstLine="0"/>
        <w:jc w:val="both"/>
      </w:pPr>
      <w:r>
        <w:t>The table below sets forth certain information relating to our cash flows from operating activities for the periods/ years indicated:</w:t>
      </w:r>
    </w:p>
    <w:p>
      <w:pPr>
        <w:pStyle w:val="Body Text"/>
        <w:spacing w:before="4"/>
        <w:rPr>
          <w:rStyle w:val="Hyperlink.4"/>
          <w:sz w:val="17"/>
          <w:szCs w:val="17"/>
        </w:rPr>
      </w:pPr>
      <w: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t>Three-month period ended June 30, 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Fiscal 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Fiscal 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Fiscal 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t>Net cash flows from / (used in) operating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t>620.89</w:t>
            </w:r>
          </w:p>
        </w:tc>
      </w:tr>
    </w:tbl>
    <w:p>
      <w:pPr>
        <w:pStyle w:val="Body Text"/>
        <w:spacing w:before="4"/>
        <w:ind w:left="801" w:hanging="801"/>
        <w:rPr>
          <w:rStyle w:val="Hyperlink.4"/>
          <w:sz w:val="17"/>
          <w:szCs w:val="17"/>
        </w:rPr>
      </w:pPr>
      <w:r/>
    </w:p>
    <w:p>
      <w:pPr>
        <w:pStyle w:val="Body Text"/>
        <w:spacing w:before="1"/>
      </w:pPr>
      <w:r/>
    </w:p>
    <w:p>
      <w:pPr>
        <w:pStyle w:val="Body Text"/>
        <w:ind w:left="796" w:right="10" w:firstLine="0"/>
        <w:jc w:val="both"/>
      </w:pPr>
      <w:r>
        <w:t>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pPr>
        <w:pStyle w:val="Heading 4"/>
        <w:numPr>
          <w:ilvl w:val="0"/>
          <w:numId w:val="32"/>
        </w:numPr>
        <w:ind w:right="17"/>
        <w:rPr>
          <w:lang w:val="en-US"/>
        </w:rPr>
      </w:pPr>
      <w:r>
        <w:t>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t>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pPr>
        <w:pStyle w:val="Body Text"/>
        <w:ind w:left="796" w:right="6" w:firstLine="0"/>
        <w:jc w:val="both"/>
      </w:pPr>
      <w:r>
        <w:t>(i) certificate of enrolment issued by Maharashtra Sales Tax Department under the Maharashtra State Tax on Professions, Trades, Callings and Employment Act, 1975 and (ii) Kant and Sons in certain regulatory approvals and licenses issued under our old name “Modi PLC”. Additionally, we are yet to make an application for obtaining the building completion certificate issued in relation to Unit 2 by the Pune Metropolitan Region Development Authority. For details, see “Government and Other Approvals – Wason-Barad – IV. Material Approvals or renewal applied for but not received” on page 394 and “Government and Other Approvals – Wason-Barad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pPr>
        <w:pStyle w:val="Body Text"/>
        <w:spacing w:before="200"/>
        <w:ind w:left="796" w:right="17" w:firstLine="0"/>
        <w:jc w:val="both"/>
      </w:pPr>
      <w:r>
        <w:t>Further, our government approvals and licenses are subject to certain conditions, some of which are onerous and require us to make substantial compliance-related expenditure. If we fail to comply or a regulator claim that we have</w:t>
      </w:r>
    </w:p>
    <w:p>
      <w:pPr>
        <w:pStyle w:val="Body Text"/>
        <w:jc w:val="both"/>
        <w:sectPr>
          <w:headerReference w:type="default" r:id="rId85"/>
          <w:footerReference w:type="default" r:id="rId86"/>
          <w:pgSz w:w="11920" w:h="16840" w:orient="portrait"/>
          <w:pgMar w:top="1080" w:right="708" w:bottom="1120" w:left="992" w:header="0" w:footer="0"/>
          <w:bidi w:val="0"/>
        </w:sectPr>
      </w:pPr>
      <w:r/>
    </w:p>
    <w:p>
      <w:pPr>
        <w:pStyle w:val="Body Text"/>
        <w:spacing w:before="80"/>
        <w:ind w:left="796" w:right="21" w:firstLine="0"/>
        <w:jc w:val="both"/>
      </w:pPr>
      <w: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t>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pPr>
        <w:pStyle w:val="Body"/>
        <w:spacing w:before="200"/>
        <w:ind w:left="796" w:right="8" w:firstLine="0"/>
        <w:jc w:val="both"/>
        <w:rPr>
          <w:rStyle w:val="None"/>
          <w:sz w:val="20"/>
          <w:szCs w:val="20"/>
        </w:rPr>
      </w:pPr>
      <w:r>
        <w:t>Further, we propose to utilise a portion Loyal Inc towards purchasing and setting up of new machinery for expansion at our Supa Facility which will require us to obtain necessary licenses and approvals. For details, see “Objects of the Offer –Borah Ltd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t>Our inability to control the costs involved in complying with these and other relevant laws and regulations could have an adverse effect on our business, financial condition, results of operations and cash flows.</w:t>
      </w:r>
    </w:p>
    <w:p>
      <w:pPr>
        <w:pStyle w:val="Heading 4"/>
        <w:numPr>
          <w:ilvl w:val="0"/>
          <w:numId w:val="33"/>
        </w:numPr>
        <w:ind w:right="14"/>
        <w:rPr>
          <w:lang w:val="en-US"/>
        </w:rPr>
      </w:pPr>
      <w:r>
        <w:t>We are unable to trace some of our historical Prakash-Aurora. Further, certain corporate records have errors, and certain corporate filings have been made with delays. We cannot assure you Sodhi LLC in the future in relation to these matters, which may impact our financial condition and reputation.</w:t>
      </w:r>
    </w:p>
    <w:p>
      <w:pPr>
        <w:pStyle w:val="Body Text"/>
        <w:spacing w:before="200"/>
        <w:ind w:left="796" w:right="6" w:firstLine="0"/>
        <w:jc w:val="both"/>
      </w:pPr>
      <w:r>
        <w:t>Sharaf-Nagi’s corporate records are not traceable Bajaj-Roy or on the online portal of the Ministry of Corporate Affairs (“MCA Portal”)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t>Bedi, Sarna and Bhargava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t>Financial statements, (a) between the Fiscal 1980 until March 31, 1985, (b) between the Fiscal 1986 until March 31, 2005, and (c) between the Fiscals 2011 and 2014;</w:t>
      </w:r>
    </w:p>
    <w:p>
      <w:pPr>
        <w:pStyle w:val="List Paragraph"/>
        <w:numPr>
          <w:ilvl w:val="1"/>
          <w:numId w:val="22"/>
        </w:numPr>
        <w:bidi w:val="0"/>
        <w:ind w:right="21"/>
        <w:jc w:val="left"/>
        <w:rPr>
          <w:sz w:val="20"/>
          <w:szCs w:val="20"/>
          <w:rtl w:val="0"/>
          <w:lang w:val="en-US"/>
        </w:rPr>
      </w:pPr>
      <w:r>
        <w:t>Suri-Mohan Dave, Chand and Barman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t>Form 23, Nagi-Chauhan from “Mallick, Kara and Luthra” to “Modi PLC” dated July 4, 1996;</w:t>
      </w:r>
    </w:p>
    <w:p>
      <w:pPr>
        <w:pStyle w:val="List Paragraph"/>
        <w:numPr>
          <w:ilvl w:val="1"/>
          <w:numId w:val="22"/>
        </w:numPr>
        <w:bidi w:val="0"/>
        <w:ind w:right="22"/>
        <w:jc w:val="left"/>
        <w:rPr>
          <w:sz w:val="20"/>
          <w:szCs w:val="20"/>
          <w:rtl w:val="0"/>
          <w:lang w:val="en-US"/>
        </w:rPr>
      </w:pPr>
      <w:r>
        <w:t>Form 32 along with corresponding challan for regularization as director in relation to Sudiksha Seshadri dated September 26, 1996;</w:t>
      </w:r>
    </w:p>
    <w:p>
      <w:pPr>
        <w:pStyle w:val="List Paragraph"/>
        <w:numPr>
          <w:ilvl w:val="1"/>
          <w:numId w:val="22"/>
        </w:numPr>
        <w:bidi w:val="0"/>
        <w:spacing w:before="201"/>
        <w:ind w:right="19"/>
        <w:jc w:val="left"/>
        <w:rPr>
          <w:sz w:val="20"/>
          <w:szCs w:val="20"/>
          <w:rtl w:val="0"/>
          <w:lang w:val="en-US"/>
        </w:rPr>
      </w:pPr>
      <w:r>
        <w:t>Form 32 along with corresponding RoC challan for appointment as additional director in relation to Maanas Pillai dated November 1, 2000;</w:t>
      </w:r>
    </w:p>
    <w:p>
      <w:pPr>
        <w:pStyle w:val="List Paragraph"/>
        <w:numPr>
          <w:ilvl w:val="1"/>
          <w:numId w:val="22"/>
        </w:numPr>
        <w:bidi w:val="0"/>
        <w:ind w:right="25"/>
        <w:jc w:val="left"/>
        <w:rPr>
          <w:sz w:val="20"/>
          <w:szCs w:val="20"/>
          <w:rtl w:val="0"/>
          <w:lang w:val="en-US"/>
        </w:rPr>
      </w:pPr>
      <w:r>
        <w:t>Form 32 along with the corresponding RoC challan for regularisation as director in relation to Maanas Pillai dated September 21, 2000;</w:t>
      </w:r>
    </w:p>
    <w:p>
      <w:pPr>
        <w:pStyle w:val="List Paragraph"/>
        <w:numPr>
          <w:ilvl w:val="1"/>
          <w:numId w:val="22"/>
        </w:numPr>
        <w:bidi w:val="0"/>
        <w:ind w:right="0"/>
        <w:jc w:val="left"/>
        <w:rPr>
          <w:sz w:val="20"/>
          <w:szCs w:val="20"/>
          <w:rtl w:val="0"/>
          <w:lang w:val="en-US"/>
        </w:rPr>
      </w:pPr>
      <w:r>
        <w:t>Copies or counter folios of share certificates issued to the shareholders; and</w:t>
      </w:r>
    </w:p>
    <w:p>
      <w:pPr>
        <w:pStyle w:val="List Paragraph"/>
        <w:numPr>
          <w:ilvl w:val="1"/>
          <w:numId w:val="22"/>
        </w:numPr>
        <w:bidi w:val="0"/>
        <w:ind w:right="17"/>
        <w:jc w:val="left"/>
        <w:rPr>
          <w:sz w:val="20"/>
          <w:szCs w:val="20"/>
          <w:rtl w:val="0"/>
          <w:lang w:val="en-US"/>
        </w:rPr>
      </w:pPr>
      <w:r>
        <w:t>Share transfer forms for all secondary transactions of equity shares, including the following transfers involving the Promoter Selling Shareholders:</w:t>
      </w:r>
    </w:p>
    <w:p>
      <w:pPr>
        <w:pStyle w:val="Body Text"/>
      </w:pPr>
      <w:r/>
    </w:p>
    <w:p>
      <w:pPr>
        <w:pStyle w:val="Body Text"/>
      </w:pPr>
      <w:r/>
    </w:p>
    <w:p>
      <w:pPr>
        <w:pStyle w:val="Body Text"/>
      </w:pPr>
      <w:r/>
    </w:p>
    <w:p>
      <w:pPr>
        <w:pStyle w:val="Body Text"/>
        <w:spacing w:before="139"/>
      </w:pPr>
      <w: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t>S.</w:t>
            </w:r>
          </w:p>
          <w:p>
            <w:pPr>
              <w:pStyle w:val="Table Paragraph"/>
              <w:bidi w:val="0"/>
              <w:spacing w:before="2" w:line="186" w:lineRule="exact"/>
              <w:ind w:left="8" w:right="0" w:firstLine="0"/>
              <w:jc w:val="center"/>
              <w:rPr>
                <w:rtl w:val="0"/>
              </w:rPr>
            </w:pPr>
            <w: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t>Nature of document</w:t>
            </w:r>
          </w:p>
        </w:tc>
      </w:tr>
    </w:tbl>
    <w:p>
      <w:pPr>
        <w:pStyle w:val="Body Text"/>
        <w:spacing w:before="139"/>
        <w:ind w:left="801" w:hanging="801"/>
      </w:pPr>
      <w:r/>
    </w:p>
    <w:p>
      <w:pPr>
        <w:pStyle w:val="Table Paragraph"/>
        <w:jc w:val="center"/>
        <w:sectPr>
          <w:headerReference w:type="default" r:id="rId87"/>
          <w:footerReference w:type="default" r:id="rId88"/>
          <w:pgSz w:w="11920" w:h="16840" w:orient="portrait"/>
          <w:pgMar w:top="1080" w:right="708" w:bottom="1120" w:left="992" w:header="0" w:footer="0"/>
          <w:bidi w:val="0"/>
        </w:sectPr>
      </w:pPr>
      <w: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1979-1980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The financial statements of FY 1980 and FY 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t>September</w:t>
              <w:tab/>
              <w:t>30,</w:t>
            </w:r>
          </w:p>
          <w:p>
            <w:pPr>
              <w:pStyle w:val="Table Paragraph"/>
              <w:bidi w:val="0"/>
              <w:spacing w:before="2" w:line="186" w:lineRule="exact"/>
              <w:ind w:left="107" w:right="0" w:firstLine="0"/>
              <w:jc w:val="left"/>
              <w:rPr>
                <w:rtl w:val="0"/>
              </w:rPr>
            </w:pPr>
            <w: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Kushal Hegde from DM Shetty and Damini Thaker.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August 6, 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t>Form 7B for transfer of shares to Kushal Hegde from Ojasvi Lad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December 9, 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Kushal Hegde from Jayaram 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March 28, 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by Kushal Hegde to Pallavi Garde.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t>February 25, 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t>Further issue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t>Vidhi Sami for the Form 2 in relation to the said 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September 7, 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Karunakar Hegde HUF from Pallavi Garde.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September 7, 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Sudiksha Seshadri from Mugdha Tailor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t>December</w:t>
              <w:tab/>
              <w:t>28,</w:t>
            </w:r>
          </w:p>
          <w:p>
            <w:pPr>
              <w:pStyle w:val="Table Paragraph"/>
              <w:bidi w:val="0"/>
              <w:spacing w:line="186"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Panchal-Prabhakar</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t>December</w:t>
              <w:tab/>
              <w:t>28,</w:t>
            </w:r>
          </w:p>
          <w:p>
            <w:pPr>
              <w:pStyle w:val="Table Paragraph"/>
              <w:bidi w:val="0"/>
              <w:spacing w:before="2" w:line="186"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Ayushman Savant from 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t>December</w:t>
              <w:tab/>
              <w:t>28,</w:t>
            </w:r>
          </w:p>
          <w:p>
            <w:pPr>
              <w:pStyle w:val="Table Paragraph"/>
              <w:bidi w:val="0"/>
              <w:spacing w:line="188"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Butala-Mangal</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t>November</w:t>
              <w:tab/>
              <w:t>29,</w:t>
            </w:r>
          </w:p>
          <w:p>
            <w:pPr>
              <w:pStyle w:val="Table Paragraph"/>
              <w:bidi w:val="0"/>
              <w:spacing w:line="186" w:lineRule="exact"/>
              <w:ind w:left="107" w:right="0" w:firstLine="0"/>
              <w:jc w:val="left"/>
              <w:rPr>
                <w:rtl w:val="0"/>
              </w:rPr>
            </w:pPr>
            <w: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Kamya Rajan by Arin Korpal.</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t>November</w:t>
              <w:tab/>
              <w:t>29,</w:t>
            </w:r>
          </w:p>
          <w:p>
            <w:pPr>
              <w:pStyle w:val="Table Paragraph"/>
              <w:bidi w:val="0"/>
              <w:spacing w:before="2" w:line="186" w:lineRule="exact"/>
              <w:ind w:left="107" w:right="0" w:firstLine="0"/>
              <w:jc w:val="left"/>
              <w:rPr>
                <w:rtl w:val="0"/>
              </w:rPr>
            </w:pPr>
            <w: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Ayushman Savant by Arin Korpal.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April 20, 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by Kushal Hegde to Kamya Rajan and Ayushman Savant.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1979-1980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The financial statements of FY 1980 and FY 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February 20, 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t>Conversion of unsecured 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Valuation report of an independent chartered accountant 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March 29, 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SH- 4 for transfer of shares by Kushal Hegde, Kamya Rajan and Ayushman Savant to Madhavi Kaul.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t>1979 – 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Copy or counter folios of share certificates issued to the shareholders.</w:t>
            </w:r>
          </w:p>
        </w:tc>
      </w:tr>
    </w:tbl>
    <w:p>
      <w:pPr>
        <w:pStyle w:val="Table Paragraph"/>
        <w:ind w:left="801" w:hanging="801"/>
      </w:pPr>
      <w:r/>
    </w:p>
    <w:p>
      <w:pPr>
        <w:pStyle w:val="Body Text"/>
        <w:spacing w:before="34"/>
      </w:pPr>
      <w:r/>
    </w:p>
    <w:p>
      <w:pPr>
        <w:pStyle w:val="Body"/>
        <w:ind w:left="796" w:right="7" w:firstLine="0"/>
        <w:jc w:val="both"/>
        <w:rPr>
          <w:rStyle w:val="None"/>
          <w:sz w:val="20"/>
          <w:szCs w:val="20"/>
        </w:rPr>
      </w:pPr>
      <w:r>
        <w:t>For further details, see “Capital Structure – Details of history of shareholding Viswanathan Ltd” and “Capital Structure – Prabhakar and Sons” on pages 91 and 85, respectively.</w:t>
      </w:r>
    </w:p>
    <w:p>
      <w:pPr>
        <w:pStyle w:val="Body Text"/>
        <w:spacing w:before="201"/>
        <w:ind w:left="796" w:right="7" w:firstLine="0"/>
        <w:jc w:val="both"/>
      </w:pPr>
      <w:r>
        <w:t>We have been unable to trace these documents despite commissioning a Khurana LLC secretary, Kanj and Co LLP (“Dugal, Dey and Sankar Secretary”), to trace records and filings available with Registrar of Companies and reliance Comar-Mani Secretary. We have also intimated the Registrar of Companies by way of our letter dated May 21, 2025, regarding the missing corporate records.</w:t>
      </w:r>
    </w:p>
    <w:p>
      <w:pPr>
        <w:pStyle w:val="Body Text"/>
        <w:spacing w:before="199"/>
        <w:ind w:left="796" w:right="10" w:firstLine="0"/>
        <w:jc w:val="both"/>
      </w:pPr>
      <w:r>
        <w:t>In addition, 1,000, equity shares of face value of ₹100 each allotted to Devika Suri, 500 equity shares of face value of ₹100 each allotted to Kushal Subbayya Hegde, Dalaja Jhaveri and Rishi Balay, respectively, pursuant to the initial subscription to the MoA dated June 29, 1979, were subsequently taken on record by the Board by way of a resolution dated August 25, 1979. For further details, see “Capital Structure – Notes to Capital Structure – Prabhakar and Sons”.</w:t>
      </w:r>
    </w:p>
    <w:p>
      <w:pPr>
        <w:pStyle w:val="Body Text"/>
        <w:spacing w:before="201"/>
        <w:ind w:left="796" w:right="12" w:firstLine="0"/>
        <w:jc w:val="both"/>
      </w:pPr>
      <w:r>
        <w:t>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Patla, Bava and Dubey in the future.</w:t>
      </w:r>
    </w:p>
    <w:p>
      <w:pPr>
        <w:pStyle w:val="Body Text"/>
        <w:spacing w:before="199"/>
        <w:ind w:left="796" w:right="19" w:firstLine="0"/>
        <w:jc w:val="both"/>
      </w:pPr>
      <w:r>
        <w:t>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Body Text"/>
      </w:pPr>
      <w:r/>
    </w:p>
    <w:p>
      <w:pPr>
        <w:pStyle w:val="Body Text"/>
        <w:spacing w:before="170"/>
      </w:pPr>
      <w:r/>
    </w:p>
    <w:p>
      <w:pPr>
        <w:pStyle w:val="Heading 4"/>
        <w:numPr>
          <w:ilvl w:val="0"/>
          <w:numId w:val="34"/>
        </w:numPr>
        <w:spacing w:before="0"/>
        <w:ind w:right="17"/>
        <w:rPr>
          <w:lang w:val="en-US"/>
        </w:rPr>
      </w:pPr>
      <w:r>
        <w:t>Certain sections of this Red Herring Prospectus contain information from the CARE Report which has been commissioned by us and any reliance on such information for making an investment decision in this Offer is subject to inherent risks.</w:t>
      </w:r>
    </w:p>
    <w:p>
      <w:pPr>
        <w:pStyle w:val="Heading 4"/>
        <w:sectPr>
          <w:headerReference w:type="default" r:id="rId89"/>
          <w:footerReference w:type="default" r:id="rId90"/>
          <w:pgSz w:w="11920" w:h="16840" w:orient="portrait"/>
          <w:pgMar w:top="1140" w:right="708" w:bottom="1120" w:left="992" w:header="0" w:footer="0"/>
          <w:bidi w:val="0"/>
        </w:sectPr>
      </w:pPr>
      <w:r/>
    </w:p>
    <w:p>
      <w:pPr>
        <w:pStyle w:val="Body Text"/>
        <w:spacing w:before="80"/>
        <w:ind w:left="796" w:right="8" w:firstLine="0"/>
        <w:jc w:val="both"/>
      </w:pPr>
      <w:r>
        <w:t>Certain sections of this Red Herring Prospectus include information based on, or derived from, the CARE Bassi-Dayal (“CareEdge Research”). All such information in this Red Herring Prospectus indicates the Sunder-Bail at https://kshinternational.com/investor-relations/industry-report/.</w:t>
      </w:r>
    </w:p>
    <w:p>
      <w:pPr>
        <w:pStyle w:val="Body Text"/>
        <w:spacing w:before="201"/>
        <w:ind w:left="796" w:right="17" w:firstLine="0"/>
        <w:jc w:val="both"/>
      </w:pPr>
      <w:r>
        <w:t>Pandey LLC pursuant to an engagement letter dated December 2, 2024, for the purpose of confirming our understanding of the industry Keer Ltd, Ravel Group has subscribed to and paid for certain research and reports from CareEdge Research business process services division.</w:t>
      </w:r>
    </w:p>
    <w:p>
      <w:pPr>
        <w:pStyle w:val="Body Text"/>
        <w:spacing w:before="201"/>
        <w:ind w:left="796" w:right="17" w:firstLine="0"/>
        <w:jc w:val="both"/>
      </w:pPr>
      <w: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w:t>
      </w:r>
    </w:p>
    <w:p>
      <w:pPr>
        <w:pStyle w:val="Body Text"/>
        <w:ind w:left="796" w:right="19" w:firstLine="0"/>
        <w:jc w:val="both"/>
      </w:pPr>
      <w:r>
        <w:t>/ Rajagopal-Rana covered in the CARE Report. Accordingly, prospective investors should not place undue reliance on or base their investment decision solely on this information.</w:t>
      </w:r>
    </w:p>
    <w:p>
      <w:pPr>
        <w:pStyle w:val="Body Text"/>
        <w:spacing w:before="200"/>
        <w:ind w:left="796" w:right="6" w:firstLine="0"/>
        <w:jc w:val="both"/>
      </w:pPr>
      <w: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p>
    <w:p>
      <w:pPr>
        <w:pStyle w:val="Heading 4"/>
        <w:numPr>
          <w:ilvl w:val="0"/>
          <w:numId w:val="35"/>
        </w:numPr>
        <w:ind w:right="19"/>
        <w:jc w:val="left"/>
        <w:rPr>
          <w:lang w:val="en-US"/>
        </w:rPr>
      </w:pPr>
      <w:r>
        <w:t>We operate in a competitive business environment. Failure to compete effectively against our competitors and new entrants to the industry may adversely affect our business, financial condition and results of operations.</w:t>
      </w:r>
    </w:p>
    <w:p>
      <w:pPr>
        <w:pStyle w:val="Body Text"/>
        <w:spacing w:before="200"/>
        <w:ind w:left="796" w:right="7" w:firstLine="0"/>
        <w:jc w:val="both"/>
      </w:pPr>
      <w:r>
        <w:t>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pPr>
        <w:pStyle w:val="Body Text"/>
        <w:spacing w:before="200"/>
        <w:ind w:left="796" w:right="16" w:firstLine="0"/>
        <w:jc w:val="both"/>
      </w:pPr>
      <w:r>
        <w:t>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t>Any failure in Contractor-Guha guarantees may adversely affect our business, results of operations, cash flows and financial condition.</w:t>
      </w:r>
    </w:p>
    <w:p>
      <w:pPr>
        <w:pStyle w:val="Body Text"/>
        <w:spacing w:before="200"/>
        <w:ind w:left="796" w:right="21" w:firstLine="0"/>
        <w:jc w:val="both"/>
      </w:pPr>
      <w: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t>Set out below are our working capital days for the three-month period ended June 30, 2025, and the Fiscals 2025, 2024 and 2023:</w:t>
      </w:r>
    </w:p>
    <w:p>
      <w:pPr>
        <w:pStyle w:val="Body Text"/>
        <w:spacing w:before="7"/>
        <w:rPr>
          <w:rStyle w:val="Hyperlink.4"/>
          <w:sz w:val="17"/>
          <w:szCs w:val="17"/>
        </w:rPr>
      </w:pPr>
      <w: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t>Three-month period 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t>Fiscal 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t>Fiscal 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t>Fiscal 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t>Net</w:t>
              <w:tab/>
              <w:t>Working Capital Days(1)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Number of 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73</w:t>
            </w:r>
          </w:p>
        </w:tc>
      </w:tr>
    </w:tbl>
    <w:p>
      <w:pPr>
        <w:pStyle w:val="Body Text"/>
        <w:spacing w:before="7"/>
        <w:ind w:left="801" w:hanging="801"/>
        <w:rPr>
          <w:rStyle w:val="Hyperlink.4"/>
          <w:sz w:val="17"/>
          <w:szCs w:val="17"/>
        </w:rPr>
      </w:pPr>
      <w:r/>
    </w:p>
    <w:p>
      <w:pPr>
        <w:pStyle w:val="Body"/>
        <w:spacing w:before="2"/>
        <w:ind w:left="1082" w:hanging="360"/>
        <w:rPr>
          <w:rStyle w:val="Hyperlink.8"/>
        </w:rPr>
      </w:pPr>
      <w:r>
        <w:t>(1)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pPr>
        <w:pStyle w:val="Body"/>
        <w:sectPr>
          <w:headerReference w:type="default" r:id="rId91"/>
          <w:footerReference w:type="default" r:id="rId92"/>
          <w:pgSz w:w="11920" w:h="16840" w:orient="portrait"/>
          <w:pgMar w:top="1080" w:right="708" w:bottom="1120" w:left="992" w:header="0" w:footer="0"/>
          <w:bidi w:val="0"/>
        </w:sectPr>
      </w:pPr>
      <w:r/>
    </w:p>
    <w:p>
      <w:pPr>
        <w:pStyle w:val="Body"/>
        <w:spacing w:before="82"/>
        <w:ind w:left="1082" w:firstLine="0"/>
        <w:rPr>
          <w:rStyle w:val="Hyperlink.8"/>
        </w:rPr>
      </w:pPr>
      <w:r>
        <w:t>receivables divided by revenue from operations multiplied by 365 or 91 days. Trade payable days is calculated as Trade payable divided by COGS multiplied by 365 or 91 days.</w:t>
      </w:r>
    </w:p>
    <w:p>
      <w:pPr>
        <w:pStyle w:val="Body Text"/>
        <w:spacing w:before="15"/>
        <w:rPr>
          <w:rStyle w:val="None"/>
          <w:i w:val="1"/>
          <w:iCs w:val="1"/>
          <w:sz w:val="16"/>
          <w:szCs w:val="16"/>
        </w:rPr>
      </w:pPr>
      <w:r/>
    </w:p>
    <w:p>
      <w:pPr>
        <w:pStyle w:val="Body Text"/>
        <w:ind w:left="796" w:right="10" w:firstLine="0"/>
        <w:jc w:val="both"/>
      </w:pPr>
      <w:r>
        <w:t>Any delays in our billing and settlement process, or delays or defaults in our trade receivables or an increase in inventory and work in progress and/Parmer-Agrawal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Hora-Devi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Nagarajan Inc had failed to arrange Mukherjee Inc guarantees which had adversely affected Sathe Ltd, there can be no assurance that such instances will not occur in future.</w:t>
      </w:r>
    </w:p>
    <w:p>
      <w:pPr>
        <w:pStyle w:val="Heading 4"/>
        <w:numPr>
          <w:ilvl w:val="0"/>
          <w:numId w:val="36"/>
        </w:numPr>
        <w:spacing w:before="202"/>
        <w:ind w:right="21"/>
        <w:jc w:val="left"/>
        <w:rPr>
          <w:lang w:val="en-US"/>
        </w:rPr>
      </w:pPr>
      <w:r>
        <w:t>Saxena PLC is involved in certain outstanding legal and regulatory proceedings. Any adverse decision in such proceedings may have an adverse effect on our business, financial condition, cash flows and results of operations.</w:t>
      </w:r>
    </w:p>
    <w:p>
      <w:pPr>
        <w:pStyle w:val="Body Text"/>
        <w:spacing w:before="200"/>
        <w:ind w:left="796" w:right="11" w:firstLine="0"/>
        <w:jc w:val="both"/>
      </w:pPr>
      <w:r>
        <w:t>Vyas, Chahal and Shenoy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t>Name of 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t>Tax 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t>Statutory or 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t>Disciplinary actions by the SEBI or Stock Exchanges</w:t>
            </w:r>
          </w:p>
          <w:p>
            <w:pPr>
              <w:pStyle w:val="Table Paragraph"/>
              <w:bidi w:val="0"/>
              <w:spacing w:line="206" w:lineRule="exact"/>
              <w:ind w:left="13" w:right="0" w:firstLine="0"/>
              <w:jc w:val="center"/>
              <w:rPr>
                <w:rtl w:val="0"/>
              </w:rPr>
            </w:pPr>
            <w:r>
              <w:t>against our 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t>Material civil litigations#</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t>Aggregate amount involved* (₹ in 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Hari-Puri</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Kulkarni-Murty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Directors (excluding our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By our 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Promoters (including the Executive Directors who are also our 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By our 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Key Managerial Personnel (“KMPs”) (excluding our Executive Directors) (1)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t>Senior Management (“SM”) (excluding our KMPs)(2)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0.00</w:t>
            </w:r>
          </w:p>
        </w:tc>
      </w:tr>
    </w:tbl>
    <w:p>
      <w:pPr>
        <w:pStyle w:val="Body Text"/>
        <w:spacing w:before="4"/>
        <w:ind w:left="801" w:hanging="801"/>
        <w:rPr>
          <w:rStyle w:val="Hyperlink.4"/>
          <w:sz w:val="17"/>
          <w:szCs w:val="17"/>
        </w:rPr>
      </w:pPr>
      <w:r/>
    </w:p>
    <w:p>
      <w:pPr>
        <w:pStyle w:val="Body"/>
        <w:spacing w:before="9" w:line="183" w:lineRule="exact"/>
        <w:ind w:left="796" w:firstLine="0"/>
        <w:jc w:val="both"/>
        <w:rPr>
          <w:rStyle w:val="Hyperlink.8"/>
        </w:rPr>
      </w:pPr>
      <w:r>
        <w:t>*   To the extent quantifiable.</w:t>
      </w:r>
    </w:p>
    <w:p>
      <w:pPr>
        <w:pStyle w:val="Body"/>
        <w:ind w:left="796" w:right="5478" w:firstLine="0"/>
        <w:jc w:val="both"/>
        <w:rPr>
          <w:rStyle w:val="Hyperlink.8"/>
        </w:rPr>
      </w:pPr>
      <w:r>
        <w:t># Determined in accordance with the Materiality Policy. Notes:</w:t>
      </w:r>
    </w:p>
    <w:p>
      <w:pPr>
        <w:pStyle w:val="List Paragraph"/>
        <w:numPr>
          <w:ilvl w:val="0"/>
          <w:numId w:val="38"/>
        </w:numPr>
        <w:bidi w:val="0"/>
        <w:spacing w:before="1"/>
        <w:ind w:right="5"/>
        <w:jc w:val="both"/>
        <w:rPr>
          <w:i w:val="1"/>
          <w:iCs w:val="1"/>
          <w:sz w:val="16"/>
          <w:szCs w:val="16"/>
          <w:rtl w:val="0"/>
          <w:lang w:val="en-US"/>
        </w:rPr>
      </w:pPr>
      <w:r>
        <w:t>Certain of our KMPs including, Kushal Subbayya Hegde, Sudiksha Seshadri, Maanas Pillai and Devansh Shenoy are also our Executive Directors. Hence, litigation against our Executive Directors have not been included under the heading of KMPs to avoid repetition.</w:t>
      </w:r>
    </w:p>
    <w:p>
      <w:pPr>
        <w:pStyle w:val="List Paragraph"/>
        <w:numPr>
          <w:ilvl w:val="0"/>
          <w:numId w:val="38"/>
        </w:numPr>
        <w:bidi w:val="0"/>
        <w:spacing w:before="0"/>
        <w:ind w:right="4"/>
        <w:jc w:val="both"/>
        <w:rPr>
          <w:i w:val="1"/>
          <w:iCs w:val="1"/>
          <w:sz w:val="16"/>
          <w:szCs w:val="16"/>
          <w:rtl w:val="0"/>
          <w:lang w:val="en-US"/>
        </w:rPr>
      </w:pPr>
      <w:r>
        <w:t>Certain of our SMs including, Anthony Lata, CEO, Libni Khatri, CFO, Hemangini Bhardwaj, CS and Compliance Officer, and Hritik Din, Technical Director, are also our KMPs. Hence, litigation against our KMPs have not been included under the heading of SMs to avoid repetition.</w:t>
      </w:r>
    </w:p>
    <w:p>
      <w:pPr>
        <w:pStyle w:val="Body Text"/>
        <w:spacing w:before="13"/>
        <w:rPr>
          <w:rStyle w:val="None"/>
          <w:i w:val="1"/>
          <w:iCs w:val="1"/>
          <w:sz w:val="16"/>
          <w:szCs w:val="16"/>
        </w:rPr>
      </w:pPr>
      <w:r/>
    </w:p>
    <w:p>
      <w:pPr>
        <w:pStyle w:val="Body Text"/>
        <w:ind w:left="796" w:right="21" w:firstLine="0"/>
        <w:jc w:val="both"/>
      </w:pPr>
      <w:r>
        <w:t>Further, as on the date of this Red Herring Prospectus, there are no pending litigation proceedings Rout-Mittal.</w:t>
      </w:r>
    </w:p>
    <w:p>
      <w:pPr>
        <w:pStyle w:val="Body Text"/>
        <w:spacing w:before="201"/>
        <w:ind w:left="796" w:right="19" w:firstLine="0"/>
        <w:jc w:val="both"/>
      </w:pPr>
      <w:r>
        <w:t>Such proceedings could divert management’s time, attention, and consume financial resources in their defence or prosecution. Sura-Gaba or that no additional liability will arise out of these proceedings. Further, we cannot assure you that there will be no new legal</w:t>
      </w:r>
    </w:p>
    <w:p>
      <w:pPr>
        <w:pStyle w:val="Body Text"/>
        <w:jc w:val="both"/>
        <w:sectPr>
          <w:headerReference w:type="default" r:id="rId93"/>
          <w:footerReference w:type="default" r:id="rId94"/>
          <w:pgSz w:w="11920" w:h="16840" w:orient="portrait"/>
          <w:pgMar w:top="1080" w:right="708" w:bottom="1120" w:left="992" w:header="0" w:footer="0"/>
          <w:bidi w:val="0"/>
        </w:sectPr>
      </w:pPr>
      <w:r/>
    </w:p>
    <w:p>
      <w:pPr>
        <w:pStyle w:val="Body Text"/>
        <w:spacing w:before="80"/>
        <w:ind w:left="796" w:right="11" w:firstLine="0"/>
        <w:jc w:val="both"/>
      </w:pPr>
      <w:r>
        <w:t>Vig, Bawa and Ramakrishnan,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pStyle w:val="Heading 4"/>
        <w:numPr>
          <w:ilvl w:val="0"/>
          <w:numId w:val="39"/>
        </w:numPr>
        <w:spacing w:before="201"/>
        <w:ind w:right="22"/>
        <w:jc w:val="left"/>
        <w:rPr>
          <w:lang w:val="en-US"/>
        </w:rPr>
      </w:pPr>
      <w:r>
        <w:t>Under-utilization of our manufacturing capacities and an inability to effectively utilize our manufacturing capacities could have an adverse effect on our business, future prospects and future financial performance.</w:t>
      </w:r>
    </w:p>
    <w:p>
      <w:pPr>
        <w:pStyle w:val="Body Text"/>
        <w:spacing w:before="200"/>
        <w:ind w:left="796" w:right="14" w:firstLine="0"/>
        <w:jc w:val="both"/>
      </w:pPr>
      <w:r>
        <w:t>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w:t>
      </w:r>
    </w:p>
    <w:p>
      <w:pPr>
        <w:pStyle w:val="Body Text"/>
        <w:spacing w:before="201"/>
        <w:ind w:left="796" w:right="16" w:firstLine="0"/>
        <w:jc w:val="both"/>
      </w:pPr>
      <w:r>
        <w:t>The table below sets forth the installed capacity and capacity utilization product category wise across our manufacturing facilities during the three-month period ended June 30, 2025, and the Fiscals 2025, 2024 and 2023, respectively:</w:t>
      </w:r>
    </w:p>
    <w:p>
      <w:pPr>
        <w:pStyle w:val="Body Text"/>
      </w:pPr>
      <w:r/>
    </w:p>
    <w:p>
      <w:pPr>
        <w:pStyle w:val="Body Text"/>
        <w:spacing w:before="171"/>
      </w:pPr>
      <w:r/>
    </w:p>
    <w:p>
      <w:pPr>
        <w:pStyle w:val="Body"/>
        <w:ind w:left="3345" w:firstLine="0"/>
        <w:rPr>
          <w:rStyle w:val="None"/>
          <w:i w:val="1"/>
          <w:iCs w:val="1"/>
          <w:sz w:val="20"/>
          <w:szCs w:val="20"/>
        </w:rPr>
      </w:pPr>
      <w:r>
        <w:t>(The remainder of the page is intentionally left blank)</w:t>
      </w:r>
    </w:p>
    <w:p>
      <w:pPr>
        <w:pStyle w:val="Body"/>
        <w:sectPr>
          <w:headerReference w:type="default" r:id="rId95"/>
          <w:footerReference w:type="default" r:id="rId96"/>
          <w:pgSz w:w="11920" w:h="16840" w:orient="portrait"/>
          <w:pgMar w:top="1080" w:right="708" w:bottom="1120" w:left="992" w:header="0" w:footer="0"/>
          <w:bidi w:val="0"/>
        </w:sectPr>
      </w:pPr>
      <w: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r/>
          </w:p>
          <w:p>
            <w:pPr>
              <w:pStyle w:val="Table Paragraph"/>
              <w:bidi w:val="0"/>
              <w:spacing w:before="1"/>
              <w:ind w:left="172" w:right="0" w:firstLine="0"/>
              <w:jc w:val="left"/>
              <w:rPr>
                <w:rtl w:val="0"/>
              </w:rPr>
            </w:pPr>
            <w:r>
              <w:t>Sr. 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r/>
          </w:p>
          <w:p>
            <w:pPr>
              <w:pStyle w:val="Table Paragraph"/>
              <w:bidi w:val="0"/>
              <w:spacing w:before="1"/>
              <w:ind w:left="1052" w:right="0" w:firstLine="0"/>
              <w:jc w:val="left"/>
              <w:rPr>
                <w:rtl w:val="0"/>
              </w:rPr>
            </w:pPr>
            <w:r>
              <w:t>Manufacturing Unit/ 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t>Three-month period ended June 30, 2025 *</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t>Fiscal 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t>Installed 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t>Actual 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t>Capacity utilization %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t>Installed 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t>Actual 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t>Capacity utilization %</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Taloja Unit No 1 (Taloja)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Specialised Magnet Winding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Total Taloja Unit No 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Chakan Unit No. 2 (Birdewadi)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Specialised Magnet Winding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Standard Magnet Winding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Total Chakan Unit No. 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Chakan Unit No. 3 (Khalumbre)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Standard Magnet Winding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Total Chakan Unit No. 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t>23,424</w:t>
            </w:r>
          </w:p>
        </w:tc>
      </w:tr>
    </w:tbl>
    <w:p>
      <w:pPr>
        <w:pStyle w:val="Body"/>
        <w:ind w:left="22" w:hanging="22"/>
        <w:rPr>
          <w:rStyle w:val="None"/>
          <w:i w:val="1"/>
          <w:iCs w:val="1"/>
          <w:sz w:val="20"/>
          <w:szCs w:val="20"/>
        </w:rPr>
      </w:pPr>
      <w:r/>
    </w:p>
    <w:p>
      <w:pPr>
        <w:pStyle w:val="Body Text"/>
        <w:spacing w:before="9"/>
        <w:rPr>
          <w:rStyle w:val="None"/>
          <w:i w:val="1"/>
          <w:iCs w:val="1"/>
          <w:sz w:val="17"/>
          <w:szCs w:val="17"/>
        </w:rPr>
      </w:pPr>
      <w: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r/>
          </w:p>
          <w:p>
            <w:pPr>
              <w:pStyle w:val="Table Paragraph"/>
              <w:bidi w:val="0"/>
              <w:ind w:left="187" w:right="0" w:firstLine="0"/>
              <w:jc w:val="left"/>
              <w:rPr>
                <w:rtl w:val="0"/>
              </w:rPr>
            </w:pPr>
            <w:r>
              <w:t>Sr. 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r/>
          </w:p>
          <w:p>
            <w:pPr>
              <w:pStyle w:val="Table Paragraph"/>
              <w:bidi w:val="0"/>
              <w:ind w:left="912" w:right="0" w:firstLine="0"/>
              <w:jc w:val="left"/>
              <w:rPr>
                <w:rtl w:val="0"/>
              </w:rPr>
            </w:pPr>
            <w:r>
              <w:t>Manufacturing Unit/ 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t>Fiscal 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t>Fiscal 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t>Installed 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t>Actual 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t>Capacity utilization %</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t>Installed 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t>Actual 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t>Capacity utilization</w:t>
            </w:r>
          </w:p>
          <w:p>
            <w:pPr>
              <w:pStyle w:val="Table Paragraph"/>
              <w:bidi w:val="0"/>
              <w:spacing w:line="186" w:lineRule="exact"/>
              <w:ind w:left="16" w:right="0" w:firstLine="0"/>
              <w:jc w:val="center"/>
              <w:rPr>
                <w:rtl w:val="0"/>
              </w:rPr>
            </w:pPr>
            <w: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Taloja Unit No 1 (Taloja)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Specialised Magnet Winding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Total Taloja Unit No 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Chakan Unit No. 2 (Birdewadi)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Specialised Magnet Winding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Standard Magnet Winding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Total Chakan Unit No. 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Chakan Unit No. 3 (Khalumbre)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Standard Magnet Winding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Total Chakan Unit No. 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70.28%</w:t>
            </w:r>
          </w:p>
        </w:tc>
      </w:tr>
    </w:tbl>
    <w:p>
      <w:pPr>
        <w:pStyle w:val="Body Text"/>
        <w:spacing w:before="9"/>
        <w:ind w:left="22" w:hanging="22"/>
        <w:rPr>
          <w:rStyle w:val="None"/>
          <w:i w:val="1"/>
          <w:iCs w:val="1"/>
          <w:sz w:val="17"/>
          <w:szCs w:val="17"/>
        </w:rPr>
      </w:pPr>
      <w:r/>
    </w:p>
    <w:p>
      <w:pPr>
        <w:pStyle w:val="Body"/>
        <w:spacing w:before="7"/>
        <w:ind w:left="12" w:firstLine="0"/>
        <w:rPr>
          <w:rStyle w:val="Hyperlink.8"/>
        </w:rPr>
      </w:pPr>
      <w:r>
        <w:t>^ Calculated on proportionate installed capacity basis.</w:t>
      </w:r>
    </w:p>
    <w:p>
      <w:pPr>
        <w:pStyle w:val="Body"/>
        <w:spacing w:before="1"/>
        <w:ind w:left="12" w:firstLine="0"/>
        <w:rPr>
          <w:rStyle w:val="Hyperlink.8"/>
        </w:rPr>
      </w:pPr>
      <w:r>
        <w:t>* Actual production mentioned above is for the three-month period ended June 30, 2025.</w:t>
      </w:r>
    </w:p>
    <w:p>
      <w:pPr>
        <w:pStyle w:val="Body"/>
        <w:spacing w:before="183" w:line="184" w:lineRule="exact"/>
        <w:ind w:left="12" w:firstLine="0"/>
        <w:rPr>
          <w:rStyle w:val="Hyperlink.8"/>
        </w:rPr>
      </w:pPr>
      <w:r>
        <w:t>Notes:</w:t>
      </w:r>
    </w:p>
    <w:p>
      <w:pPr>
        <w:pStyle w:val="List Paragraph"/>
        <w:numPr>
          <w:ilvl w:val="0"/>
          <w:numId w:val="41"/>
        </w:numPr>
        <w:bidi w:val="0"/>
        <w:spacing w:before="0" w:line="196" w:lineRule="exact"/>
        <w:ind w:right="0"/>
        <w:jc w:val="left"/>
        <w:rPr>
          <w:i w:val="1"/>
          <w:iCs w:val="1"/>
          <w:sz w:val="16"/>
          <w:szCs w:val="16"/>
          <w:rtl w:val="0"/>
          <w:lang w:val="en-US"/>
        </w:rPr>
      </w:pPr>
      <w:r>
        <w:t>Capacity mentioned in above table for the year 2022-2023, 2023-2024 and 2024-2025 &amp; first quarter of the year 2025-26 is on annualized basis.</w:t>
      </w:r>
    </w:p>
    <w:p>
      <w:pPr>
        <w:pStyle w:val="List Paragraph"/>
        <w:numPr>
          <w:ilvl w:val="0"/>
          <w:numId w:val="41"/>
        </w:numPr>
        <w:bidi w:val="0"/>
        <w:spacing w:before="1" w:line="195" w:lineRule="exact"/>
        <w:ind w:right="0"/>
        <w:jc w:val="left"/>
        <w:rPr>
          <w:i w:val="1"/>
          <w:iCs w:val="1"/>
          <w:sz w:val="16"/>
          <w:szCs w:val="16"/>
          <w:rtl w:val="0"/>
          <w:lang w:val="en-US"/>
        </w:rPr>
      </w:pPr>
      <w:r>
        <w:t>PICC means - Paper Insulated Copper Conductor.</w:t>
      </w:r>
    </w:p>
    <w:p>
      <w:pPr>
        <w:pStyle w:val="List Paragraph"/>
        <w:numPr>
          <w:ilvl w:val="0"/>
          <w:numId w:val="41"/>
        </w:numPr>
        <w:bidi w:val="0"/>
        <w:spacing w:before="0" w:line="195" w:lineRule="exact"/>
        <w:ind w:right="0"/>
        <w:jc w:val="left"/>
        <w:rPr>
          <w:i w:val="1"/>
          <w:iCs w:val="1"/>
          <w:sz w:val="16"/>
          <w:szCs w:val="16"/>
          <w:rtl w:val="0"/>
          <w:lang w:val="en-US"/>
        </w:rPr>
      </w:pPr>
      <w:r>
        <w:t>CTC means - Continuously Transposed Conductors.</w:t>
      </w:r>
    </w:p>
    <w:p>
      <w:pPr>
        <w:pStyle w:val="List Paragraph"/>
        <w:numPr>
          <w:ilvl w:val="0"/>
          <w:numId w:val="41"/>
        </w:numPr>
        <w:bidi w:val="0"/>
        <w:spacing w:before="1" w:line="195" w:lineRule="exact"/>
        <w:ind w:right="0"/>
        <w:jc w:val="left"/>
        <w:rPr>
          <w:i w:val="1"/>
          <w:iCs w:val="1"/>
          <w:sz w:val="16"/>
          <w:szCs w:val="16"/>
          <w:rtl w:val="0"/>
          <w:lang w:val="en-US"/>
        </w:rPr>
      </w:pPr>
      <w:r>
        <w:t>RW means - Round Wire Conductors.</w:t>
      </w:r>
    </w:p>
    <w:p>
      <w:pPr>
        <w:pStyle w:val="List Paragraph"/>
        <w:numPr>
          <w:ilvl w:val="0"/>
          <w:numId w:val="42"/>
        </w:numPr>
        <w:bidi w:val="0"/>
        <w:spacing w:before="0"/>
        <w:ind w:right="5"/>
        <w:jc w:val="left"/>
        <w:rPr>
          <w:i w:val="1"/>
          <w:iCs w:val="1"/>
          <w:sz w:val="16"/>
          <w:szCs w:val="16"/>
          <w:rtl w:val="0"/>
          <w:lang w:val="en-US"/>
        </w:rPr>
      </w:pPr>
      <w:r>
        <w:t>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t>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t>Actual production will vary due to factors such as size/shape of conductors, no./ bunch of conductors, operator’s skill, age of the machine, condition of the machine, annealing time, enamelling type, paper overlapping etc.</w:t>
      </w:r>
    </w:p>
    <w:p>
      <w:pPr>
        <w:pStyle w:val="List Paragraph"/>
        <w:numPr>
          <w:ilvl w:val="0"/>
          <w:numId w:val="42"/>
        </w:numPr>
        <w:bidi w:val="0"/>
        <w:spacing w:before="0"/>
        <w:ind w:right="12"/>
        <w:jc w:val="left"/>
        <w:rPr>
          <w:i w:val="1"/>
          <w:iCs w:val="1"/>
          <w:sz w:val="16"/>
          <w:szCs w:val="16"/>
          <w:rtl w:val="0"/>
          <w:lang w:val="en-US"/>
        </w:rPr>
      </w:pPr>
      <w:r>
        <w:t>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t>Prakash, Bose and Bhatnagar is manufacturing aluminum &amp; copper winding wires and for purpose of arriving at copper equivalent figures of production and sales, the aluminum products has been multiplied by 3.28.</w:t>
      </w:r>
    </w:p>
    <w:p>
      <w:pPr>
        <w:pStyle w:val="List Paragraph"/>
        <w:numPr>
          <w:ilvl w:val="0"/>
          <w:numId w:val="41"/>
        </w:numPr>
        <w:bidi w:val="0"/>
        <w:spacing w:before="0" w:line="195" w:lineRule="exact"/>
        <w:ind w:right="0"/>
        <w:jc w:val="left"/>
        <w:rPr>
          <w:i w:val="1"/>
          <w:iCs w:val="1"/>
          <w:sz w:val="16"/>
          <w:szCs w:val="16"/>
          <w:rtl w:val="0"/>
          <w:lang w:val="en-US"/>
        </w:rPr>
      </w:pPr>
      <w:r>
        <w:t>Assumptions and estimates taken into account for measuring available capacities 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r/>
    </w:p>
    <w:p>
      <w:pPr>
        <w:pStyle w:val="List Paragraph"/>
        <w:numPr>
          <w:ilvl w:val="1"/>
          <w:numId w:val="41"/>
        </w:numPr>
        <w:bidi w:val="0"/>
        <w:spacing w:before="74"/>
        <w:ind w:right="0"/>
        <w:jc w:val="both"/>
        <w:rPr>
          <w:i w:val="1"/>
          <w:iCs w:val="1"/>
          <w:sz w:val="16"/>
          <w:szCs w:val="16"/>
          <w:rtl w:val="0"/>
          <w:lang w:val="en-US"/>
        </w:rPr>
      </w:pPr>
      <w:r>
        <w:t>Specialize magnet winding wires:</w:t>
      </w:r>
    </w:p>
    <w:p>
      <w:pPr>
        <w:pStyle w:val="List Paragraph"/>
        <w:numPr>
          <w:ilvl w:val="2"/>
          <w:numId w:val="44"/>
        </w:numPr>
        <w:bidi w:val="0"/>
        <w:spacing w:before="1"/>
        <w:ind w:right="0"/>
        <w:jc w:val="both"/>
        <w:rPr>
          <w:i w:val="1"/>
          <w:iCs w:val="1"/>
          <w:sz w:val="16"/>
          <w:szCs w:val="16"/>
          <w:rtl w:val="0"/>
          <w:lang w:val="en-US"/>
        </w:rPr>
      </w:pPr>
      <w:r>
        <w:t>For PICC - 26 days per month resulting in 312 working days in a year with per day three operating shifts with actual run time of 5.6 hours per shift.</w:t>
      </w:r>
    </w:p>
    <w:p>
      <w:pPr>
        <w:pStyle w:val="List Paragraph"/>
        <w:numPr>
          <w:ilvl w:val="2"/>
          <w:numId w:val="44"/>
        </w:numPr>
        <w:bidi w:val="0"/>
        <w:spacing w:before="1" w:line="183" w:lineRule="exact"/>
        <w:ind w:right="0"/>
        <w:jc w:val="both"/>
        <w:rPr>
          <w:i w:val="1"/>
          <w:iCs w:val="1"/>
          <w:sz w:val="16"/>
          <w:szCs w:val="16"/>
          <w:rtl w:val="0"/>
          <w:lang w:val="en-US"/>
        </w:rPr>
      </w:pPr>
      <w:r>
        <w:t>For CTC - 26 days per month resulting in 312 working days in a year with per day three operating shifts with actual run time of 5.2 hours per shift.</w:t>
      </w:r>
    </w:p>
    <w:p>
      <w:pPr>
        <w:pStyle w:val="List Paragraph"/>
        <w:numPr>
          <w:ilvl w:val="1"/>
          <w:numId w:val="41"/>
        </w:numPr>
        <w:bidi w:val="0"/>
        <w:spacing w:before="0" w:line="183" w:lineRule="exact"/>
        <w:ind w:right="0"/>
        <w:jc w:val="both"/>
        <w:rPr>
          <w:i w:val="1"/>
          <w:iCs w:val="1"/>
          <w:sz w:val="16"/>
          <w:szCs w:val="16"/>
          <w:rtl w:val="0"/>
          <w:lang w:val="en-US"/>
        </w:rPr>
      </w:pPr>
      <w:r>
        <w:t>Standard magnet winding wires:</w:t>
      </w:r>
    </w:p>
    <w:p>
      <w:pPr>
        <w:pStyle w:val="List Paragraph"/>
        <w:numPr>
          <w:ilvl w:val="2"/>
          <w:numId w:val="44"/>
        </w:numPr>
        <w:bidi w:val="0"/>
        <w:spacing w:before="0" w:line="183" w:lineRule="exact"/>
        <w:ind w:right="0"/>
        <w:jc w:val="both"/>
        <w:rPr>
          <w:i w:val="1"/>
          <w:iCs w:val="1"/>
          <w:sz w:val="16"/>
          <w:szCs w:val="16"/>
          <w:rtl w:val="0"/>
          <w:lang w:val="en-US"/>
        </w:rPr>
      </w:pPr>
      <w:r>
        <w:t>For RW – 95% of 365 working days in a year on a continuing basis with per day three operating shifts with actual run time of 8 hours per shift.</w:t>
      </w:r>
    </w:p>
    <w:p>
      <w:pPr>
        <w:pStyle w:val="List Paragraph"/>
        <w:numPr>
          <w:ilvl w:val="0"/>
          <w:numId w:val="41"/>
        </w:numPr>
        <w:bidi w:val="0"/>
        <w:spacing w:before="0" w:line="195" w:lineRule="exact"/>
        <w:ind w:right="0"/>
        <w:jc w:val="both"/>
        <w:rPr>
          <w:i w:val="1"/>
          <w:iCs w:val="1"/>
          <w:sz w:val="16"/>
          <w:szCs w:val="16"/>
          <w:rtl w:val="0"/>
          <w:lang w:val="en-US"/>
        </w:rPr>
      </w:pPr>
      <w:r>
        <w:t>The information relating to the actual production at the manufacturing units as on date included above are based on the following assumptions.</w:t>
      </w:r>
    </w:p>
    <w:p>
      <w:pPr>
        <w:pStyle w:val="List Paragraph"/>
        <w:numPr>
          <w:ilvl w:val="0"/>
          <w:numId w:val="46"/>
        </w:numPr>
        <w:bidi w:val="0"/>
        <w:spacing w:before="1"/>
        <w:ind w:right="0"/>
        <w:jc w:val="both"/>
        <w:rPr>
          <w:i w:val="1"/>
          <w:iCs w:val="1"/>
          <w:sz w:val="16"/>
          <w:szCs w:val="16"/>
          <w:rtl w:val="0"/>
          <w:lang w:val="en-US"/>
        </w:rPr>
      </w:pPr>
      <w:r>
        <w:t>Reddy Group is derived from a ‘Production Data’ on a monthly basis.</w:t>
      </w:r>
    </w:p>
    <w:p>
      <w:pPr>
        <w:pStyle w:val="List Paragraph"/>
        <w:numPr>
          <w:ilvl w:val="0"/>
          <w:numId w:val="47"/>
        </w:numPr>
        <w:bidi w:val="0"/>
        <w:spacing w:before="0"/>
        <w:ind w:right="6"/>
        <w:jc w:val="both"/>
        <w:rPr>
          <w:i w:val="1"/>
          <w:iCs w:val="1"/>
          <w:sz w:val="16"/>
          <w:szCs w:val="16"/>
          <w:rtl w:val="0"/>
          <w:lang w:val="en-US"/>
        </w:rPr>
      </w:pPr>
      <w:r>
        <w:t>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t>Bera LLC is expanding by setting up a plant at Plot No. F-223, Lajita Bhalla, Chaman Seshadri, Ekanta Dugal, Dist – Ahmednagar, Maharashtra – 414 301.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w:t>
      </w:r>
    </w:p>
    <w:p>
      <w:pPr>
        <w:pStyle w:val="Body Text"/>
        <w:rPr>
          <w:rStyle w:val="None"/>
          <w:i w:val="1"/>
          <w:iCs w:val="1"/>
          <w:sz w:val="16"/>
          <w:szCs w:val="16"/>
        </w:rPr>
      </w:pPr>
      <w:r/>
    </w:p>
    <w:p>
      <w:pPr>
        <w:pStyle w:val="Body Text"/>
        <w:rPr>
          <w:rStyle w:val="None"/>
          <w:i w:val="1"/>
          <w:iCs w:val="1"/>
          <w:sz w:val="16"/>
          <w:szCs w:val="16"/>
        </w:rPr>
      </w:pPr>
      <w:r/>
    </w:p>
    <w:p>
      <w:pPr>
        <w:pStyle w:val="Body Text"/>
        <w:spacing w:before="136"/>
        <w:rPr>
          <w:rStyle w:val="None"/>
          <w:i w:val="1"/>
          <w:iCs w:val="1"/>
          <w:sz w:val="16"/>
          <w:szCs w:val="16"/>
        </w:rPr>
      </w:pPr>
      <w:r/>
    </w:p>
    <w:p>
      <w:pPr>
        <w:pStyle w:val="Body"/>
        <w:spacing w:before="1"/>
        <w:ind w:left="708" w:right="2" w:firstLine="0"/>
        <w:jc w:val="center"/>
        <w:rPr>
          <w:rStyle w:val="None"/>
          <w:i w:val="1"/>
          <w:iCs w:val="1"/>
          <w:sz w:val="20"/>
          <w:szCs w:val="20"/>
        </w:rPr>
      </w:pPr>
      <w:r>
        <w:t>(The remainder of the page is intentionally left blank)</w:t>
      </w:r>
    </w:p>
    <w:p>
      <w:pPr>
        <w:pStyle w:val="Body"/>
        <w:jc w:val="center"/>
        <w:sectPr>
          <w:headerReference w:type="default" r:id="rId99"/>
          <w:footerReference w:type="default" r:id="rId100"/>
          <w:pgSz w:w="11920" w:h="16840" w:orient="portrait"/>
          <w:pgMar w:top="1100" w:right="708" w:bottom="920" w:left="708" w:header="0" w:footer="0"/>
          <w:bidi w:val="0"/>
        </w:sectPr>
      </w:pPr>
      <w:r/>
    </w:p>
    <w:p>
      <w:pPr>
        <w:pStyle w:val="Body Text"/>
        <w:spacing w:before="65"/>
        <w:ind w:left="796" w:right="149" w:firstLine="0"/>
        <w:jc w:val="both"/>
      </w:pPr>
      <w:r>
        <w:t>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t>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w:t>
      </w:r>
    </w:p>
    <w:p>
      <w:pPr>
        <w:pStyle w:val="Body Text"/>
        <w:spacing w:before="201"/>
        <w:ind w:left="796" w:right="148" w:firstLine="0"/>
        <w:jc w:val="both"/>
      </w:pPr>
      <w: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Aadi Ahluwalia (formerly Eesha Bava) in Maharashtra (“Supa Facility”), of which, phase I is currently operational. For details in relation to the land on which our Manufacturing Facilities are located, see, “Our Business – Manufacturing Facilities” on page 229. Further, Harsh Dass, phase II of which is under construction, as on the date of this Red Herring Prospectus is located at Jeremiah Char (formerly Eesha Bava), also in Maharashtra. Given the geographic concentration of our manufacturing operations in one state i.e. Maharashtra, our operations are susceptible to disruptions Sankar-Mukherjee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t>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pPr>
        <w:pStyle w:val="Body Text"/>
        <w:spacing w:before="201"/>
        <w:ind w:left="796" w:right="148" w:firstLine="0"/>
        <w:jc w:val="both"/>
      </w:pPr>
      <w:r>
        <w:t>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pPr>
        <w:pStyle w:val="Body Text"/>
        <w:spacing w:before="198"/>
        <w:ind w:left="796" w:right="148" w:firstLine="0"/>
        <w:jc w:val="both"/>
      </w:pPr>
      <w:r>
        <w:t>Our financing agreements contain certain restrictive covenants that limit our ability to undertake certain types of actions, which could adversely affect our business and Parmer, Dhar and Padmanabhan to obtain prior written waiver or consent from, or intimate our lenders for, among Mital Group;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pPr>
        <w:pStyle w:val="Body Text"/>
        <w:jc w:val="both"/>
        <w:sectPr>
          <w:headerReference w:type="default" r:id="rId101"/>
          <w:footerReference w:type="default" r:id="rId102"/>
          <w:pgSz w:w="11920" w:h="16840" w:orient="portrait"/>
          <w:pgMar w:top="1100" w:right="566" w:bottom="280" w:left="992" w:header="0" w:footer="0"/>
          <w:bidi w:val="0"/>
        </w:sectPr>
      </w:pPr>
      <w:r/>
    </w:p>
    <w:p>
      <w:pPr>
        <w:pStyle w:val="Body"/>
        <w:spacing w:before="65"/>
        <w:ind w:left="796" w:right="152" w:firstLine="0"/>
        <w:jc w:val="both"/>
        <w:rPr>
          <w:rStyle w:val="None"/>
          <w:sz w:val="20"/>
          <w:szCs w:val="20"/>
        </w:rPr>
      </w:pPr>
      <w:r>
        <w:t>on acceptable terms or at all. For further details in relation to the personal guarantees, see “History and Certain Corporate Matters – Guarantees provided to third parties by our Promoter Selling Shareholders” on page 245.</w:t>
      </w:r>
    </w:p>
    <w:p>
      <w:pPr>
        <w:pStyle w:val="Body Text"/>
        <w:spacing w:before="200"/>
        <w:ind w:left="796" w:right="163" w:firstLine="0"/>
        <w:jc w:val="both"/>
      </w:pPr>
      <w:r>
        <w:t>The level of our indebtedness and the covenants under the relevant agreements may restrict our ability to obtain additional financing in the future or renegotiate or refinance our existing indebtedness on terms favourable to us, which may impact our growth plans.</w:t>
      </w:r>
    </w:p>
    <w:p>
      <w:pPr>
        <w:pStyle w:val="Body Text"/>
        <w:spacing w:before="201"/>
        <w:ind w:left="796" w:right="149" w:firstLine="0"/>
        <w:jc w:val="both"/>
      </w:pPr>
      <w:r>
        <w:t>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p>
    <w:p>
      <w:pPr>
        <w:pStyle w:val="Body Text"/>
        <w:spacing w:before="201"/>
        <w:ind w:left="796" w:right="163" w:firstLine="0"/>
        <w:jc w:val="both"/>
      </w:pPr>
      <w:r>
        <w:t>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w:t>
      </w:r>
    </w:p>
    <w:p>
      <w:pPr>
        <w:pStyle w:val="Heading 4"/>
        <w:numPr>
          <w:ilvl w:val="0"/>
          <w:numId w:val="49"/>
        </w:numPr>
        <w:spacing w:before="201"/>
        <w:ind w:right="164"/>
        <w:rPr>
          <w:lang w:val="en-US"/>
        </w:rPr>
      </w:pPr>
      <w:r>
        <w:t>The loss of certain independent certification and accreditation of our products and the manufacturing practices that we have adopted could harm our business.</w:t>
      </w:r>
    </w:p>
    <w:p>
      <w:pPr>
        <w:pStyle w:val="Body Text"/>
        <w:spacing w:before="200"/>
        <w:ind w:left="796" w:right="149" w:firstLine="0"/>
        <w:jc w:val="both"/>
      </w:pPr>
      <w:r>
        <w:t>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 4"/>
        <w:numPr>
          <w:ilvl w:val="0"/>
          <w:numId w:val="48"/>
        </w:numPr>
        <w:spacing w:before="199"/>
        <w:ind w:right="153"/>
        <w:rPr>
          <w:lang w:val="en-US"/>
        </w:rPr>
      </w:pPr>
      <w:r>
        <w:t>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t>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(“TDS”), labour welfare fund, GST and income tax.</w:t>
      </w:r>
    </w:p>
    <w:p>
      <w:pPr>
        <w:pStyle w:val="Body Text"/>
        <w:spacing w:before="201"/>
        <w:ind w:left="796" w:right="159" w:firstLine="0"/>
        <w:jc w:val="both"/>
      </w:pPr>
      <w:r>
        <w:t>Sathe, Bhat and Dugal, in relation to its employees during the period/ Zarna Vasa indicated:</w:t>
      </w:r>
    </w:p>
    <w:p>
      <w:pPr>
        <w:pStyle w:val="Body"/>
        <w:spacing w:before="199"/>
        <w:ind w:right="148"/>
        <w:jc w:val="right"/>
        <w:rPr>
          <w:rStyle w:val="None"/>
          <w:i w:val="1"/>
          <w:iCs w:val="1"/>
          <w:sz w:val="18"/>
          <w:szCs w:val="18"/>
        </w:rPr>
      </w:pPr>
      <w:r>
        <w:t>(₹ in 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r/>
          </w:p>
          <w:p>
            <w:pPr>
              <w:pStyle w:val="Table Paragraph"/>
              <w:rPr>
                <w:rStyle w:val="None"/>
                <w:i w:val="1"/>
                <w:iCs w:val="1"/>
                <w:sz w:val="18"/>
                <w:szCs w:val="18"/>
                <w:shd w:val="nil" w:color="auto" w:fill="auto"/>
                <w:lang w:val="en-US"/>
              </w:rPr>
            </w:pPr>
            <w:r/>
          </w:p>
          <w:p>
            <w:pPr>
              <w:pStyle w:val="Table Paragraph"/>
              <w:spacing w:before="5"/>
              <w:rPr>
                <w:rStyle w:val="None"/>
                <w:i w:val="1"/>
                <w:iCs w:val="1"/>
                <w:sz w:val="18"/>
                <w:szCs w:val="18"/>
                <w:shd w:val="nil" w:color="auto" w:fill="auto"/>
                <w:lang w:val="en-US"/>
              </w:rPr>
            </w:pPr>
            <w:r/>
          </w:p>
          <w:p>
            <w:pPr>
              <w:pStyle w:val="Table Paragraph"/>
              <w:bidi w:val="0"/>
              <w:ind w:left="153" w:right="114" w:hanging="29"/>
              <w:jc w:val="left"/>
              <w:rPr>
                <w:rtl w:val="0"/>
              </w:rPr>
            </w:pPr>
            <w:r>
              <w:t>Nature of 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t>As at and for the three-month period ended</w:t>
            </w:r>
          </w:p>
          <w:p>
            <w:pPr>
              <w:pStyle w:val="Table Paragraph"/>
              <w:bidi w:val="0"/>
              <w:spacing w:before="1" w:line="186" w:lineRule="exact"/>
              <w:ind w:left="124" w:right="119" w:firstLine="0"/>
              <w:jc w:val="center"/>
              <w:rPr>
                <w:rtl w:val="0"/>
              </w:rPr>
            </w:pPr>
            <w:r>
              <w:t>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t>Fiscal 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Fiscal 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Fiscal 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t>Total Dues (in millio</w:t>
            </w:r>
          </w:p>
          <w:p>
            <w:pPr>
              <w:pStyle w:val="Table Paragraph"/>
              <w:bidi w:val="0"/>
              <w:spacing w:line="186" w:lineRule="exact"/>
              <w:ind w:left="7" w:right="0" w:firstLine="0"/>
              <w:jc w:val="center"/>
              <w:rPr>
                <w:rtl w:val="0"/>
              </w:rPr>
            </w:pPr>
            <w: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t>Paid (in millio 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t>Irya Devan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t>Total Dues (in millions</w:t>
            </w:r>
          </w:p>
          <w:p>
            <w:pPr>
              <w:pStyle w:val="Table Paragraph"/>
              <w:bidi w:val="0"/>
              <w:spacing w:line="186" w:lineRule="exact"/>
              <w:ind w:left="9" w:right="0" w:firstLine="0"/>
              <w:jc w:val="center"/>
              <w:rPr>
                <w:rtl w:val="0"/>
              </w:rPr>
            </w:pPr>
            <w: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t>Paid (in million 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t>Irya Devan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t>Total Dues (in millio</w:t>
            </w:r>
          </w:p>
          <w:p>
            <w:pPr>
              <w:pStyle w:val="Table Paragraph"/>
              <w:bidi w:val="0"/>
              <w:spacing w:line="186" w:lineRule="exact"/>
              <w:ind w:left="5" w:right="0" w:firstLine="0"/>
              <w:jc w:val="center"/>
              <w:rPr>
                <w:rtl w:val="0"/>
              </w:rPr>
            </w:pPr>
            <w: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Irya Devan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t>Total Dues (in millio</w:t>
            </w:r>
          </w:p>
          <w:p>
            <w:pPr>
              <w:pStyle w:val="Table Paragraph"/>
              <w:bidi w:val="0"/>
              <w:spacing w:line="186" w:lineRule="exact"/>
              <w:ind w:left="6" w:right="0" w:firstLine="0"/>
              <w:jc w:val="center"/>
              <w:rPr>
                <w:rtl w:val="0"/>
              </w:rPr>
            </w:pPr>
            <w: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Irya Devan d (in millio 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t>Employee</w:t>
            </w:r>
          </w:p>
          <w:p>
            <w:pPr>
              <w:pStyle w:val="Table Paragraph"/>
              <w:tabs>
                <w:tab w:val="left" w:pos="520"/>
              </w:tabs>
              <w:bidi w:val="0"/>
              <w:spacing w:line="200" w:lineRule="atLeast"/>
              <w:ind w:left="105" w:right="97" w:firstLine="0"/>
              <w:jc w:val="left"/>
              <w:rPr>
                <w:rtl w:val="0"/>
              </w:rPr>
            </w:pPr>
            <w:r>
              <w:t>s</w:t>
              <w:tab/>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t>Provident 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Company Profession 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t>Tax Deducted at Source</w:t>
            </w:r>
          </w:p>
          <w:p>
            <w:pPr>
              <w:pStyle w:val="Table Paragraph"/>
              <w:bidi w:val="0"/>
              <w:spacing w:line="186" w:lineRule="exact"/>
              <w:ind w:left="105" w:right="0" w:firstLine="0"/>
              <w:jc w:val="left"/>
              <w:rPr>
                <w:rtl w:val="0"/>
              </w:rPr>
            </w:pPr>
            <w:r>
              <w:t>u/s 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bl>
    <w:p>
      <w:pPr>
        <w:pStyle w:val="Body"/>
        <w:spacing w:before="199"/>
        <w:ind w:left="520" w:hanging="520"/>
        <w:rPr>
          <w:rStyle w:val="None"/>
          <w:i w:val="1"/>
          <w:iCs w:val="1"/>
          <w:sz w:val="18"/>
          <w:szCs w:val="18"/>
        </w:rPr>
      </w:pPr>
      <w: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r/>
    </w:p>
    <w:p>
      <w:pPr>
        <w:pStyle w:val="Body Text"/>
        <w:spacing w:before="4"/>
        <w:rPr>
          <w:rStyle w:val="None"/>
          <w:i w:val="1"/>
          <w:iCs w:val="1"/>
          <w:sz w:val="2"/>
          <w:szCs w:val="2"/>
        </w:rPr>
      </w:pPr>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r/>
          </w:p>
          <w:p>
            <w:pPr>
              <w:pStyle w:val="Table Paragraph"/>
              <w:rPr>
                <w:rStyle w:val="None"/>
                <w:i w:val="1"/>
                <w:iCs w:val="1"/>
                <w:sz w:val="18"/>
                <w:szCs w:val="18"/>
                <w:shd w:val="nil" w:color="auto" w:fill="auto"/>
                <w:lang w:val="en-US"/>
              </w:rPr>
            </w:pPr>
            <w:r/>
          </w:p>
          <w:p>
            <w:pPr>
              <w:pStyle w:val="Table Paragraph"/>
              <w:spacing w:before="5"/>
              <w:rPr>
                <w:rStyle w:val="None"/>
                <w:i w:val="1"/>
                <w:iCs w:val="1"/>
                <w:sz w:val="18"/>
                <w:szCs w:val="18"/>
                <w:shd w:val="nil" w:color="auto" w:fill="auto"/>
                <w:lang w:val="en-US"/>
              </w:rPr>
            </w:pPr>
            <w:r/>
          </w:p>
          <w:p>
            <w:pPr>
              <w:pStyle w:val="Table Paragraph"/>
              <w:bidi w:val="0"/>
              <w:ind w:left="153" w:right="114" w:hanging="29"/>
              <w:jc w:val="left"/>
              <w:rPr>
                <w:rtl w:val="0"/>
              </w:rPr>
            </w:pPr>
            <w:r>
              <w:t>Nature of 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t>As at and for the 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t>Fiscal 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Fiscal 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Fiscal 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t>Total Dues (in millio</w:t>
            </w:r>
          </w:p>
          <w:p>
            <w:pPr>
              <w:pStyle w:val="Table Paragraph"/>
              <w:bidi w:val="0"/>
              <w:spacing w:line="186" w:lineRule="exact"/>
              <w:ind w:left="7" w:right="0" w:firstLine="0"/>
              <w:jc w:val="center"/>
              <w:rPr>
                <w:rtl w:val="0"/>
              </w:rPr>
            </w:pPr>
            <w: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t>Paid (in millio 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t>Irya Devan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t>Total Dues (in millions</w:t>
            </w:r>
          </w:p>
          <w:p>
            <w:pPr>
              <w:pStyle w:val="Table Paragraph"/>
              <w:bidi w:val="0"/>
              <w:spacing w:line="186" w:lineRule="exact"/>
              <w:ind w:left="9" w:right="0" w:firstLine="0"/>
              <w:jc w:val="center"/>
              <w:rPr>
                <w:rtl w:val="0"/>
              </w:rPr>
            </w:pPr>
            <w: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t>Paid (in million 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t>Irya Devan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t>Total Dues (in millio</w:t>
            </w:r>
          </w:p>
          <w:p>
            <w:pPr>
              <w:pStyle w:val="Table Paragraph"/>
              <w:bidi w:val="0"/>
              <w:spacing w:line="186" w:lineRule="exact"/>
              <w:ind w:left="5" w:right="0" w:firstLine="0"/>
              <w:jc w:val="center"/>
              <w:rPr>
                <w:rtl w:val="0"/>
              </w:rPr>
            </w:pPr>
            <w: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Irya Devan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t>Total Dues (in millio</w:t>
            </w:r>
          </w:p>
          <w:p>
            <w:pPr>
              <w:pStyle w:val="Table Paragraph"/>
              <w:bidi w:val="0"/>
              <w:spacing w:line="186" w:lineRule="exact"/>
              <w:ind w:left="6" w:right="0" w:firstLine="0"/>
              <w:jc w:val="center"/>
              <w:rPr>
                <w:rtl w:val="0"/>
              </w:rPr>
            </w:pPr>
            <w: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Irya Devan d (in millio 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t>Labour Welfare</w:t>
            </w:r>
          </w:p>
          <w:p>
            <w:pPr>
              <w:pStyle w:val="Table Paragraph"/>
              <w:bidi w:val="0"/>
              <w:spacing w:before="1" w:line="186" w:lineRule="exact"/>
              <w:ind w:left="105" w:right="0" w:firstLine="0"/>
              <w:jc w:val="left"/>
              <w:rPr>
                <w:rtl w:val="0"/>
              </w:rPr>
            </w:pPr>
            <w: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Goods and Services Tax&amp;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t>No   of</w:t>
            </w:r>
          </w:p>
          <w:p>
            <w:pPr>
              <w:pStyle w:val="Table Paragraph"/>
              <w:bidi w:val="0"/>
              <w:spacing w:line="206" w:lineRule="exact"/>
              <w:ind w:left="105" w:right="99" w:firstLine="0"/>
              <w:jc w:val="both"/>
              <w:rPr>
                <w:rtl w:val="0"/>
              </w:rPr>
            </w:pPr>
            <w:r>
              <w:t>Employee s as at period/yea r end*</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161</w:t>
            </w:r>
          </w:p>
        </w:tc>
      </w:tr>
    </w:tbl>
    <w:p>
      <w:pPr>
        <w:pStyle w:val="Body Text"/>
        <w:spacing w:before="4"/>
        <w:ind w:left="520" w:hanging="520"/>
        <w:rPr>
          <w:rStyle w:val="None"/>
          <w:i w:val="1"/>
          <w:iCs w:val="1"/>
          <w:sz w:val="2"/>
          <w:szCs w:val="2"/>
        </w:rPr>
      </w:pPr>
      <w:r/>
    </w:p>
    <w:p>
      <w:pPr>
        <w:pStyle w:val="Body"/>
        <w:spacing w:before="1"/>
        <w:ind w:left="489" w:firstLine="0"/>
        <w:rPr>
          <w:rStyle w:val="Hyperlink.8"/>
        </w:rPr>
      </w:pPr>
      <w:r>
        <w:t>Note:</w:t>
      </w:r>
    </w:p>
    <w:p>
      <w:pPr>
        <w:pStyle w:val="List Paragraph"/>
        <w:numPr>
          <w:ilvl w:val="0"/>
          <w:numId w:val="51"/>
        </w:numPr>
        <w:bidi w:val="0"/>
        <w:spacing w:before="2"/>
        <w:ind w:right="0"/>
        <w:jc w:val="left"/>
        <w:rPr>
          <w:i w:val="1"/>
          <w:iCs w:val="1"/>
          <w:sz w:val="16"/>
          <w:szCs w:val="16"/>
          <w:rtl w:val="0"/>
          <w:lang w:val="en-US"/>
        </w:rPr>
      </w:pPr>
      <w:r>
        <w:t>The number of employees mentioned in the above table differ for every statutory due basis eligibility under respective acts.</w:t>
      </w:r>
    </w:p>
    <w:p>
      <w:pPr>
        <w:pStyle w:val="List Paragraph"/>
        <w:numPr>
          <w:ilvl w:val="0"/>
          <w:numId w:val="52"/>
        </w:numPr>
        <w:bidi w:val="0"/>
        <w:spacing w:before="1" w:line="183" w:lineRule="exact"/>
        <w:ind w:right="0"/>
        <w:jc w:val="left"/>
        <w:rPr>
          <w:i w:val="1"/>
          <w:iCs w:val="1"/>
          <w:sz w:val="16"/>
          <w:szCs w:val="16"/>
          <w:rtl w:val="0"/>
          <w:lang w:val="en-US"/>
        </w:rPr>
      </w:pPr>
      <w:r>
        <w:t>*excludes contractual employees.</w:t>
      </w:r>
    </w:p>
    <w:p>
      <w:pPr>
        <w:pStyle w:val="Body"/>
        <w:spacing w:line="183" w:lineRule="exact"/>
        <w:ind w:left="465" w:firstLine="0"/>
        <w:rPr>
          <w:rStyle w:val="Hyperlink.8"/>
        </w:rPr>
      </w:pPr>
      <w:r>
        <w:t>&amp; Goods and Services Tax includes only payment of taxes in cash.</w:t>
      </w:r>
    </w:p>
    <w:p>
      <w:pPr>
        <w:pStyle w:val="Body"/>
        <w:ind w:left="465" w:firstLine="0"/>
        <w:rPr>
          <w:rStyle w:val="Hyperlink.8"/>
        </w:rPr>
      </w:pPr>
      <w:r>
        <w:t># Employer and Employee Contribution.</w:t>
      </w:r>
    </w:p>
    <w:p>
      <w:pPr>
        <w:pStyle w:val="Body Text"/>
        <w:spacing w:before="46"/>
        <w:rPr>
          <w:rStyle w:val="None"/>
          <w:i w:val="1"/>
          <w:iCs w:val="1"/>
          <w:sz w:val="16"/>
          <w:szCs w:val="16"/>
        </w:rPr>
      </w:pPr>
      <w:r/>
    </w:p>
    <w:p>
      <w:pPr>
        <w:pStyle w:val="Body Text"/>
        <w:ind w:left="796" w:right="150" w:firstLine="0"/>
        <w:jc w:val="both"/>
      </w:pPr>
      <w:r>
        <w:t>The above-mentioned instances of delay in the payment of statutory dues Batra-Thaker. For instance, the delay in the payment of dues in respect of provident fund and employees state insurance were on account of payment of salaries in arrears and the delay in relation to payment Magar PLC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 4"/>
        <w:numPr>
          <w:ilvl w:val="0"/>
          <w:numId w:val="53"/>
        </w:numPr>
        <w:spacing w:before="201"/>
        <w:ind w:right="160"/>
        <w:rPr>
          <w:lang w:val="en-US"/>
        </w:rPr>
      </w:pPr>
      <w:r>
        <w:t>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pPr>
        <w:pStyle w:val="Body Text"/>
        <w:spacing w:before="198"/>
        <w:ind w:left="796" w:right="151" w:firstLine="0"/>
        <w:jc w:val="both"/>
      </w:pPr>
      <w: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t>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r/>
    </w:p>
    <w:p>
      <w:pPr>
        <w:pStyle w:val="Heading 4"/>
        <w:numPr>
          <w:ilvl w:val="0"/>
          <w:numId w:val="54"/>
        </w:numPr>
        <w:spacing w:before="65"/>
        <w:ind w:right="162"/>
        <w:jc w:val="left"/>
        <w:rPr>
          <w:lang w:val="en-US"/>
        </w:rPr>
      </w:pPr>
      <w: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Zarna Vasa indicated:</w:t>
      </w:r>
    </w:p>
    <w:p>
      <w:pPr>
        <w:pStyle w:val="Body Text"/>
        <w:spacing w:before="5"/>
        <w:rPr>
          <w:rStyle w:val="Hyperlink.4"/>
          <w:sz w:val="17"/>
          <w:szCs w:val="17"/>
        </w:rPr>
      </w:pPr>
      <w: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t>Three-month period ended 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t>Fiscal 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t>Fiscal 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t>Fiscal 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Power and fuel cost (₹ in 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t>Percentage</w:t>
              <w:tab/>
              <w:t>of</w:t>
              <w:tab/>
              <w:t>total 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1.53%</w:t>
            </w:r>
          </w:p>
        </w:tc>
      </w:tr>
    </w:tbl>
    <w:p>
      <w:pPr>
        <w:pStyle w:val="Body Text"/>
        <w:spacing w:before="5"/>
        <w:ind w:left="801" w:hanging="801"/>
        <w:rPr>
          <w:rStyle w:val="Hyperlink.4"/>
          <w:sz w:val="17"/>
          <w:szCs w:val="17"/>
        </w:rPr>
      </w:pPr>
      <w:r/>
    </w:p>
    <w:p>
      <w:pPr>
        <w:pStyle w:val="Body Text"/>
        <w:spacing w:before="2"/>
      </w:pPr>
      <w:r/>
    </w:p>
    <w:p>
      <w:pPr>
        <w:pStyle w:val="Body Text"/>
        <w:ind w:left="796" w:right="157" w:firstLine="0"/>
        <w:jc w:val="both"/>
      </w:pPr>
      <w:r>
        <w:t>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t>We are subject to counterparty credit risk and any delay in receiving payments or non-receipt of payments from our customers could have an adverse effect on our business, results of operations, financial condition and cash flows.</w:t>
      </w:r>
    </w:p>
    <w:p>
      <w:pPr>
        <w:pStyle w:val="Body Text"/>
        <w:spacing w:before="200"/>
        <w:ind w:left="796" w:right="150" w:firstLine="0"/>
        <w:jc w:val="both"/>
      </w:pPr>
      <w:r>
        <w:t>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w:t>
      </w:r>
    </w:p>
    <w:p>
      <w:pPr>
        <w:pStyle w:val="Body"/>
        <w:spacing w:before="200"/>
        <w:ind w:right="149"/>
        <w:jc w:val="right"/>
        <w:rPr>
          <w:rStyle w:val="None"/>
          <w:i w:val="1"/>
          <w:iCs w:val="1"/>
          <w:sz w:val="18"/>
          <w:szCs w:val="18"/>
        </w:rPr>
      </w:pPr>
      <w:r>
        <w:t>(₹ in million, except 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t>Three-month period ended June 30, 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t>Financial year 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March 31, 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March 31, 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March 31, 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Bad debts written off (A)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Provision for bad debt (C)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Revenue from operations (E)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10,494.60</w:t>
            </w:r>
          </w:p>
        </w:tc>
      </w:tr>
    </w:tbl>
    <w:p>
      <w:pPr>
        <w:pStyle w:val="Body"/>
        <w:spacing w:before="200"/>
        <w:ind w:left="801" w:hanging="801"/>
        <w:rPr>
          <w:rStyle w:val="None"/>
          <w:i w:val="1"/>
          <w:iCs w:val="1"/>
          <w:sz w:val="18"/>
          <w:szCs w:val="18"/>
        </w:rPr>
      </w:pPr>
      <w:r/>
    </w:p>
    <w:p>
      <w:pPr>
        <w:pStyle w:val="Body Text"/>
        <w:spacing w:before="25"/>
        <w:rPr>
          <w:rStyle w:val="None"/>
          <w:i w:val="1"/>
          <w:iCs w:val="1"/>
          <w:sz w:val="18"/>
          <w:szCs w:val="18"/>
        </w:rPr>
      </w:pPr>
      <w:r/>
    </w:p>
    <w:p>
      <w:pPr>
        <w:pStyle w:val="Body Text"/>
        <w:ind w:left="796" w:right="156" w:firstLine="0"/>
        <w:jc w:val="both"/>
      </w:pPr>
      <w: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r/>
    </w:p>
    <w:p>
      <w:pPr>
        <w:pStyle w:val="Heading 4"/>
        <w:numPr>
          <w:ilvl w:val="0"/>
          <w:numId w:val="56"/>
        </w:numPr>
        <w:spacing w:before="65"/>
        <w:ind w:right="159"/>
        <w:rPr>
          <w:lang w:val="en-US"/>
        </w:rPr>
      </w:pPr>
      <w:r>
        <w:t>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pPr>
        <w:pStyle w:val="Body Text"/>
        <w:spacing w:before="201"/>
        <w:ind w:left="796" w:right="158" w:firstLine="0"/>
        <w:jc w:val="both"/>
      </w:pPr>
      <w:r>
        <w:t>As of June 30, 2025, we have a dedicated team of 20 employees focused on new product/ process development and maintenance. During the three-month period ended June 30, 2025, and Fiscals 2025, 2024, and 2023, we have incurred</w:t>
      </w:r>
    </w:p>
    <w:p>
      <w:pPr>
        <w:pStyle w:val="Body Text"/>
        <w:spacing w:before="1"/>
        <w:ind w:left="796" w:right="149" w:firstLine="0"/>
        <w:jc w:val="both"/>
      </w:pPr>
      <w:r>
        <w:t>₹4.49 million, ₹12.62 million,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 4"/>
        <w:numPr>
          <w:ilvl w:val="0"/>
          <w:numId w:val="48"/>
        </w:numPr>
        <w:ind w:right="154"/>
        <w:rPr>
          <w:lang w:val="en-US"/>
        </w:rPr>
      </w:pPr>
      <w:r>
        <w:t>Our ability to access capital at attractive costs depends on our credit ratings. Non-availability of credit ratings or a poor rating may restrict our access to capital and thereby adversely affect our business, financial conditions, cash flows and results of operations.</w:t>
      </w:r>
    </w:p>
    <w:p>
      <w:pPr>
        <w:pStyle w:val="Body Text"/>
        <w:spacing w:before="200"/>
        <w:ind w:left="796" w:right="165" w:firstLine="0"/>
        <w:jc w:val="both"/>
      </w:pPr>
      <w:r>
        <w:t>The cost and availability of capital depends on our Patel, Chowdhury and Sha, in the three-month period ended June 30, 2025, Fiscals 2025, 2024 and 2023:</w:t>
      </w:r>
    </w:p>
    <w:p>
      <w:pPr>
        <w:pStyle w:val="Body Text"/>
        <w:spacing w:before="4"/>
        <w:rPr>
          <w:rStyle w:val="Hyperlink.4"/>
          <w:sz w:val="17"/>
          <w:szCs w:val="17"/>
        </w:rPr>
      </w:pPr>
      <w: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t>Facilities/ 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December 10, 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Minhas Ltd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Stable/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Long Term / Grewal, Nagy and Rama 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Grewal, Nagy and Rama 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December 18, 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Minhas Ltd 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Stable/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Long Term / Grewal, Nagy and Rama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Grewal, Nagy and Rama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Grewal, Nagy and Rama 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November 30, 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Minhas Ltd 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Positive /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Long Term / Grewal, Nagy and Rama 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Positive /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Long Term / Grewal, Nagy and Rama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Grewal, Nagy and Rama Facilities</w:t>
            </w:r>
          </w:p>
        </w:tc>
      </w:tr>
    </w:tbl>
    <w:p>
      <w:pPr>
        <w:pStyle w:val="Body Text"/>
        <w:spacing w:before="4"/>
        <w:ind w:left="808" w:hanging="808"/>
        <w:rPr>
          <w:rStyle w:val="Hyperlink.4"/>
          <w:sz w:val="17"/>
          <w:szCs w:val="17"/>
        </w:rPr>
      </w:pPr>
      <w:r/>
    </w:p>
    <w:p>
      <w:pPr>
        <w:pStyle w:val="Body Text"/>
        <w:spacing w:before="5"/>
      </w:pPr>
      <w:r/>
    </w:p>
    <w:p>
      <w:pPr>
        <w:pStyle w:val="Body Text"/>
        <w:spacing w:before="1"/>
        <w:ind w:left="796" w:right="157" w:firstLine="0"/>
        <w:jc w:val="both"/>
      </w:pPr>
      <w:r>
        <w:t>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pPr>
        <w:pStyle w:val="Body Text"/>
        <w:spacing w:before="200"/>
        <w:ind w:left="796" w:right="150" w:firstLine="0"/>
        <w:jc w:val="both"/>
      </w:pPr>
      <w:r>
        <w:t>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 4"/>
        <w:numPr>
          <w:ilvl w:val="0"/>
          <w:numId w:val="57"/>
        </w:numPr>
        <w:ind w:right="161"/>
        <w:rPr>
          <w:lang w:val="en-US"/>
        </w:rPr>
      </w:pPr>
      <w:r>
        <w:t>Exchange rate fluctuations may adversely affect our business, financial conditions, cash flows and results of operations.</w:t>
      </w:r>
    </w:p>
    <w:p>
      <w:pPr>
        <w:pStyle w:val="Body Text"/>
        <w:spacing w:before="200"/>
        <w:ind w:left="796" w:right="160" w:firstLine="0"/>
        <w:jc w:val="both"/>
      </w:pPr>
      <w: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pPr>
        <w:pStyle w:val="Body Text"/>
        <w:jc w:val="both"/>
        <w:sectPr>
          <w:headerReference w:type="default" r:id="rId109"/>
          <w:footerReference w:type="default" r:id="rId110"/>
          <w:pgSz w:w="11920" w:h="16840" w:orient="portrait"/>
          <w:pgMar w:top="1100" w:right="566" w:bottom="280" w:left="992" w:header="0" w:footer="0"/>
          <w:bidi w:val="0"/>
        </w:sectPr>
      </w:pPr>
      <w:r/>
    </w:p>
    <w:p>
      <w:pPr>
        <w:pStyle w:val="Body"/>
        <w:spacing w:before="65"/>
        <w:ind w:left="796" w:right="149" w:firstLine="0"/>
        <w:jc w:val="both"/>
        <w:rPr>
          <w:rStyle w:val="None"/>
          <w:sz w:val="20"/>
          <w:szCs w:val="20"/>
        </w:rPr>
      </w:pPr>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p>
    <w:p>
      <w:pPr>
        <w:pStyle w:val="Body Text"/>
        <w:spacing w:before="202"/>
        <w:ind w:left="796" w:right="159" w:firstLine="0"/>
        <w:jc w:val="both"/>
      </w:pPr>
      <w:r>
        <w:t>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t>Fraud, employee misconduct or similar incidents may adversely affect our results of operations and cash flows.</w:t>
      </w:r>
    </w:p>
    <w:p>
      <w:pPr>
        <w:pStyle w:val="Body Text"/>
        <w:spacing w:before="200"/>
        <w:ind w:left="796" w:right="150" w:firstLine="0"/>
        <w:jc w:val="both"/>
      </w:pPr>
      <w:r>
        <w:t>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Sibal-Bhargava which had resulted in regulatory actions and litigation thereby creating an adverse impact on the business, Thaker Ltd,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 4"/>
        <w:numPr>
          <w:ilvl w:val="0"/>
          <w:numId w:val="48"/>
        </w:numPr>
        <w:ind w:right="160"/>
        <w:rPr>
          <w:lang w:val="en-US"/>
        </w:rPr>
      </w:pPr>
      <w:r>
        <w:t>Some of our manufacturing facilities and our Corporate Office are leased by us. In the event we lose or are unable to renew such leasehold rights, our business, financial condition and results of operations may be adversely affected.</w:t>
      </w:r>
    </w:p>
    <w:p>
      <w:pPr>
        <w:pStyle w:val="Body Text"/>
        <w:spacing w:before="199"/>
        <w:ind w:left="796" w:right="159" w:firstLine="0"/>
        <w:jc w:val="both"/>
      </w:pPr>
      <w:r>
        <w:t>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p>
    <w:p>
      <w:pPr>
        <w:pStyle w:val="Body Text"/>
        <w:spacing w:before="201"/>
        <w:ind w:left="796" w:right="151" w:firstLine="0"/>
        <w:jc w:val="both"/>
      </w:pPr>
      <w:r>
        <w:t>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 4"/>
        <w:numPr>
          <w:ilvl w:val="0"/>
          <w:numId w:val="48"/>
        </w:numPr>
        <w:spacing w:before="201"/>
        <w:ind w:right="158"/>
        <w:rPr>
          <w:lang w:val="en-US"/>
        </w:rPr>
      </w:pPr>
      <w:r>
        <w:t>We have not made any alternate arrangements for meeting our capital requirements for the Objects of the Offer. Any shortfall in raising / meeting the same could adversely affect our growth plans, operations and financial performance.</w:t>
      </w:r>
    </w:p>
    <w:p>
      <w:pPr>
        <w:pStyle w:val="Body Text"/>
        <w:spacing w:before="198"/>
        <w:ind w:left="808" w:right="155" w:firstLine="0"/>
        <w:jc w:val="both"/>
      </w:pPr>
      <w:r>
        <w:t>As on date, we have not made any alternate arrangements for meeting our capital requirements Dhar, Rege and Ghose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pPr>
        <w:pStyle w:val="Body Text"/>
        <w:jc w:val="both"/>
        <w:sectPr>
          <w:headerReference w:type="default" r:id="rId111"/>
          <w:footerReference w:type="default" r:id="rId112"/>
          <w:pgSz w:w="11920" w:h="16840" w:orient="portrait"/>
          <w:pgMar w:top="1100" w:right="566" w:bottom="280" w:left="992" w:header="0" w:footer="0"/>
          <w:bidi w:val="0"/>
        </w:sectPr>
      </w:pPr>
      <w:r/>
    </w:p>
    <w:p>
      <w:pPr>
        <w:pStyle w:val="Body Text"/>
        <w:spacing w:before="65"/>
        <w:ind w:left="808" w:right="150" w:firstLine="0"/>
        <w:jc w:val="both"/>
      </w:pPr>
      <w:r>
        <w:t>to raise money from this Offer or any shortfall in the Offer proceeds may delay the implementation schedule and could adversely affect our growth plans. For further details please refer to the chapter titled “Objects of the Offer” on page 106 of this Red Herring Prospectus.</w:t>
      </w:r>
    </w:p>
    <w:p>
      <w:pPr>
        <w:pStyle w:val="Heading 4"/>
        <w:numPr>
          <w:ilvl w:val="0"/>
          <w:numId w:val="59"/>
        </w:numPr>
        <w:spacing w:before="201"/>
        <w:ind w:right="157"/>
        <w:jc w:val="left"/>
        <w:rPr>
          <w:lang w:val="en-US"/>
        </w:rPr>
      </w:pPr>
      <w:r>
        <w:t>A portion of the Net Proceeds may be Kala-Sekhon.</w:t>
      </w:r>
    </w:p>
    <w:p>
      <w:pPr>
        <w:pStyle w:val="Body Text"/>
        <w:spacing w:before="200"/>
        <w:ind w:left="808" w:right="156" w:firstLine="0"/>
        <w:jc w:val="both"/>
      </w:pPr>
      <w:r>
        <w:t>Buch, Chahal and Yogi Halder and Sons from the Net Proceeds. For details, see “Objects of the Offer” on page 106.</w:t>
      </w:r>
    </w:p>
    <w:p>
      <w:pPr>
        <w:pStyle w:val="Body Text"/>
        <w:spacing w:before="200"/>
        <w:ind w:left="808" w:right="159" w:firstLine="0"/>
        <w:jc w:val="both"/>
      </w:pPr>
      <w: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t>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Modi-Mander. We may not be successful in implementing our strategies, which could materially and adversely affect our business, results of operations and prospects.</w:t>
      </w:r>
    </w:p>
    <w:p>
      <w:pPr>
        <w:pStyle w:val="Body Text"/>
        <w:spacing w:before="200"/>
        <w:ind w:left="796" w:right="152" w:firstLine="0"/>
        <w:jc w:val="both"/>
      </w:pPr>
      <w:r>
        <w:t>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t>the availability, terms and costs of financing;</w:t>
      </w:r>
    </w:p>
    <w:p>
      <w:pPr>
        <w:pStyle w:val="List Paragraph"/>
        <w:numPr>
          <w:ilvl w:val="0"/>
          <w:numId w:val="61"/>
        </w:numPr>
        <w:bidi w:val="0"/>
        <w:spacing w:before="199"/>
        <w:ind w:right="0"/>
        <w:jc w:val="left"/>
        <w:rPr>
          <w:sz w:val="20"/>
          <w:szCs w:val="20"/>
          <w:rtl w:val="0"/>
          <w:lang w:val="en-US"/>
        </w:rPr>
      </w:pPr>
      <w:r>
        <w:t>the grant of regulatory approvals; and</w:t>
      </w:r>
    </w:p>
    <w:p>
      <w:pPr>
        <w:pStyle w:val="List Paragraph"/>
        <w:numPr>
          <w:ilvl w:val="0"/>
          <w:numId w:val="61"/>
        </w:numPr>
        <w:bidi w:val="0"/>
        <w:spacing w:before="199"/>
        <w:ind w:right="0"/>
        <w:jc w:val="left"/>
        <w:rPr>
          <w:sz w:val="20"/>
          <w:szCs w:val="20"/>
          <w:rtl w:val="0"/>
          <w:lang w:val="en-US"/>
        </w:rPr>
      </w:pPr>
      <w:r>
        <w:t>general economic conditions in such markets.</w:t>
      </w:r>
    </w:p>
    <w:p>
      <w:pPr>
        <w:pStyle w:val="Body Text"/>
        <w:spacing w:before="199"/>
        <w:ind w:left="796" w:right="149" w:firstLine="0"/>
        <w:jc w:val="both"/>
      </w:pPr>
      <w:r>
        <w:t>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 4"/>
        <w:numPr>
          <w:ilvl w:val="0"/>
          <w:numId w:val="62"/>
        </w:numPr>
        <w:spacing w:before="201"/>
        <w:jc w:val="left"/>
        <w:rPr>
          <w:lang w:val="en-US"/>
        </w:rPr>
      </w:pPr>
      <w:r>
        <w:t>Our failure to keep our technical knowledge confidential could erode our competitive advantage.</w:t>
      </w:r>
    </w:p>
    <w:p>
      <w:pPr>
        <w:pStyle w:val="Body Text"/>
        <w:spacing w:before="199"/>
        <w:ind w:left="796" w:right="152" w:firstLine="0"/>
        <w:jc w:val="both"/>
      </w:pPr>
      <w: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r/>
    </w:p>
    <w:p>
      <w:pPr>
        <w:pStyle w:val="Heading 4"/>
        <w:numPr>
          <w:ilvl w:val="0"/>
          <w:numId w:val="63"/>
        </w:numPr>
        <w:spacing w:before="67"/>
        <w:jc w:val="left"/>
        <w:rPr>
          <w:lang w:val="en-US"/>
        </w:rPr>
      </w:pPr>
      <w:r>
        <w:t>Saxena PLC has availed unsecured loans from financial institutions which may be recalled on demand.</w:t>
      </w:r>
    </w:p>
    <w:p>
      <w:pPr>
        <w:pStyle w:val="Body Text"/>
        <w:spacing w:before="200"/>
        <w:ind w:left="796" w:right="153" w:firstLine="0"/>
        <w:jc w:val="both"/>
      </w:pPr>
      <w:r>
        <w:t>Parekh-Raju has outstanding unsecured loans amounting to ₹ 397.59 million as unsecured loans for our working capital requirements from financial institutions which is repayable on demand to the relevant lenders. These loans are not repayable in accordance with any agreed repayment schedule Agrawal, Gulati and Keer may be required Nanda, Mital and Ben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Deshmukh, Jayaraman and Rau, see, “Restated Financial Statement” on page 280.</w:t>
      </w:r>
    </w:p>
    <w:p>
      <w:pPr>
        <w:pStyle w:val="Heading 4"/>
        <w:numPr>
          <w:ilvl w:val="0"/>
          <w:numId w:val="48"/>
        </w:numPr>
        <w:spacing w:before="199"/>
        <w:ind w:right="157"/>
        <w:rPr>
          <w:lang w:val="en-US"/>
        </w:rPr>
      </w:pPr>
      <w:r>
        <w:t>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p>
      <w:pPr>
        <w:pStyle w:val="Body Text"/>
        <w:spacing w:before="200"/>
        <w:ind w:left="796" w:right="151" w:firstLine="0"/>
        <w:jc w:val="both"/>
      </w:pPr>
      <w:r>
        <w:t>We are led by our Individual Promoters Kushal Subbayya Hegde, Viraj Din, Sudiksha Seshadri, Maanas Pillai and Devansh Shenoy. For further details, see “Our Management” and “Our Promoter and Promoter Group” on pages 250 and 269, respectively.</w:t>
      </w:r>
    </w:p>
    <w:p>
      <w:pPr>
        <w:pStyle w:val="Body Text"/>
        <w:spacing w:before="202"/>
        <w:ind w:left="796" w:right="152" w:firstLine="0"/>
        <w:jc w:val="both"/>
      </w:pPr>
      <w:r>
        <w:t>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pPr>
        <w:pStyle w:val="Body Text"/>
        <w:spacing w:before="200"/>
        <w:ind w:left="796" w:right="152" w:firstLine="0"/>
        <w:jc w:val="both"/>
      </w:pPr>
      <w:r>
        <w:t>Krishna, Varkey and Boase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w:t>
      </w:r>
    </w:p>
    <w:p>
      <w:pPr>
        <w:pStyle w:val="Body Text"/>
        <w:spacing w:before="201"/>
        <w:ind w:left="796" w:right="149" w:firstLine="0"/>
        <w:jc w:val="both"/>
      </w:pPr>
      <w:r>
        <w:t>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t>The following table sets forth the attrition rate for KMPs, SMs and other employees, respectively, in the period/ Zarna Vasa indicated:</w:t>
      </w:r>
    </w:p>
    <w:p>
      <w:pPr>
        <w:pStyle w:val="Body Text"/>
        <w:spacing w:before="4"/>
        <w:rPr>
          <w:rStyle w:val="Hyperlink.4"/>
          <w:sz w:val="17"/>
          <w:szCs w:val="17"/>
        </w:rPr>
      </w:pPr>
      <w: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t>Three-month period ended June 30, 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t>Fiscal 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t>Fiscal 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t>Fiscal 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Cumulative attrition rate of KMPs and 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t>0.00%</w:t>
            </w:r>
          </w:p>
        </w:tc>
      </w:tr>
    </w:tbl>
    <w:p>
      <w:pPr>
        <w:pStyle w:val="Body Text"/>
        <w:spacing w:before="4"/>
        <w:ind w:left="808" w:hanging="808"/>
        <w:rPr>
          <w:rStyle w:val="Hyperlink.4"/>
          <w:sz w:val="17"/>
          <w:szCs w:val="17"/>
        </w:rPr>
      </w:pPr>
      <w:r/>
    </w:p>
    <w:p>
      <w:pPr>
        <w:pStyle w:val="Body Text"/>
        <w:spacing w:before="1"/>
      </w:pPr>
      <w: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t>Three-month period ended June 30, 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t>Fiscal 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t>Fiscal 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t>Fiscal 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t>Employee attrition rate (excluding KMPs/ 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t>18.00%</w:t>
            </w:r>
          </w:p>
        </w:tc>
      </w:tr>
    </w:tbl>
    <w:p>
      <w:pPr>
        <w:pStyle w:val="Body Text"/>
        <w:spacing w:before="1"/>
        <w:ind w:left="808" w:hanging="808"/>
      </w:pPr>
      <w:r/>
    </w:p>
    <w:p>
      <w:pPr>
        <w:pStyle w:val="Body Text"/>
        <w:spacing w:before="1"/>
      </w:pPr>
      <w:r/>
    </w:p>
    <w:p>
      <w:pPr>
        <w:pStyle w:val="Body"/>
        <w:ind w:left="796" w:firstLine="0"/>
        <w:jc w:val="both"/>
        <w:rPr>
          <w:rStyle w:val="None"/>
          <w:sz w:val="20"/>
          <w:szCs w:val="20"/>
        </w:rPr>
      </w:pPr>
      <w:r>
        <w:t>For further details regarding the employees, see “Our Business – Human Resources” on page 235.</w:t>
      </w:r>
    </w:p>
    <w:p>
      <w:pPr>
        <w:pStyle w:val="Body Text"/>
        <w:spacing w:before="200"/>
        <w:ind w:left="796" w:right="155" w:firstLine="0"/>
        <w:jc w:val="both"/>
      </w:pPr>
      <w:r>
        <w:t>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pPr>
        <w:pStyle w:val="Body Text"/>
        <w:jc w:val="both"/>
        <w:sectPr>
          <w:headerReference w:type="default" r:id="rId115"/>
          <w:footerReference w:type="default" r:id="rId116"/>
          <w:pgSz w:w="11920" w:h="16840" w:orient="portrait"/>
          <w:pgMar w:top="1100" w:right="566" w:bottom="280" w:left="992" w:header="0" w:footer="0"/>
          <w:bidi w:val="0"/>
        </w:sectPr>
      </w:pPr>
      <w:r/>
    </w:p>
    <w:p>
      <w:pPr>
        <w:pStyle w:val="Body Text"/>
        <w:spacing w:before="65"/>
        <w:ind w:left="796" w:right="163" w:firstLine="0"/>
        <w:jc w:val="both"/>
      </w:pPr>
      <w:r>
        <w:t>or qualified replacements, our results of operations may be adversely affected. For details of changes in our key management personnel, please see “Our Management” on page 250.</w:t>
      </w:r>
    </w:p>
    <w:p>
      <w:pPr>
        <w:pStyle w:val="Body Text"/>
        <w:spacing w:before="200"/>
        <w:ind w:left="796" w:right="158" w:firstLine="0"/>
        <w:jc w:val="both"/>
      </w:pPr>
      <w:r>
        <w:t>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 4"/>
        <w:numPr>
          <w:ilvl w:val="0"/>
          <w:numId w:val="64"/>
        </w:numPr>
        <w:spacing w:before="201"/>
        <w:ind w:right="156"/>
        <w:rPr>
          <w:lang w:val="en-US"/>
        </w:rPr>
      </w:pPr>
      <w:r>
        <w:t>Apart from two of our Directors, none of our Directors have any prior experience of directorships in Naidu and Sons Sengupta, Hora and Thaman, including regulations prescribed under SEBI Listing Regulations and the Companies Act. Any non-compliance with the regulatory requirements, due to lack of experience or otherwise, may subject us to adverse regulatory actions.</w:t>
      </w:r>
    </w:p>
    <w:p>
      <w:pPr>
        <w:pStyle w:val="Body Text"/>
        <w:spacing w:before="202"/>
        <w:ind w:left="796" w:right="153" w:firstLine="0"/>
        <w:jc w:val="both"/>
      </w:pPr>
      <w:r>
        <w:t>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Chakradhar Choudhary and Imaran Ratti, none of our Directors, are currently on the board of directors of companies that are listed on the stock Pal-Jha Wadhwa, Narula and Sarna which, inter alia, entails several compliance requirements and scrutiny of affairs by shareholders, Buch, Devan and Kota.</w:t>
      </w:r>
    </w:p>
    <w:p>
      <w:pPr>
        <w:pStyle w:val="Body Text"/>
        <w:spacing w:before="198"/>
        <w:ind w:left="796" w:right="149" w:firstLine="0"/>
        <w:jc w:val="both"/>
      </w:pPr>
      <w:r>
        <w:t>Pandit, Parikh and Deol Sengupta, Hora and Thaman, including the regulations prescribed under the SEBI Listing Regulations and the Companies Act. These laws impose various obligations related to corporate governance, disclosure practices, Garde-Banik. Any delay or non-compliance with such applicable regulatory requirements, due to lack Vaidya, Singhal and Bhardwaj Nath, Ravi and Bhasin to adverse regulatory actions or imposition of fines.</w:t>
      </w:r>
    </w:p>
    <w:p>
      <w:pPr>
        <w:pStyle w:val="Body Text"/>
        <w:spacing w:before="202"/>
        <w:ind w:left="796" w:right="162" w:firstLine="0"/>
        <w:jc w:val="both"/>
      </w:pPr>
      <w:r>
        <w:t>As a result, the Board of Directors may have to provide increased attention to such procedures and their attention may be diverted from our business concerns, which may adversely affect our business, prospects, results of operations and financial condition.</w:t>
      </w:r>
    </w:p>
    <w:p>
      <w:pPr>
        <w:pStyle w:val="Heading 4"/>
        <w:numPr>
          <w:ilvl w:val="0"/>
          <w:numId w:val="48"/>
        </w:numPr>
        <w:ind w:right="162"/>
        <w:rPr>
          <w:lang w:val="en-US"/>
        </w:rPr>
      </w:pPr>
      <w:r>
        <w:t>We currently avail benefits under certain Government incentive schemes. Cancellation or our inability to meet the conditions under such schemes may result in adversely affect our business operations, cash flows, results of operations and financial condition.</w:t>
      </w:r>
    </w:p>
    <w:p>
      <w:pPr>
        <w:pStyle w:val="Body Text"/>
        <w:spacing w:before="199"/>
        <w:ind w:left="796" w:right="155" w:firstLine="0"/>
        <w:jc w:val="both"/>
      </w:pPr>
      <w:r>
        <w:t>During Kant Group has availed certain incentives such as Merchandise Exports from India Scheme (“MEIS”) and Remission of Duties or Taxes on Export of Products Scheme (“RoDTEP”). The table below sets forth details relating to government incentive schemes:</w:t>
      </w:r>
    </w:p>
    <w:p>
      <w:pPr>
        <w:pStyle w:val="Body Text"/>
        <w:spacing w:before="4"/>
        <w:rPr>
          <w:rStyle w:val="Hyperlink.4"/>
          <w:sz w:val="17"/>
          <w:szCs w:val="17"/>
        </w:rPr>
      </w:pPr>
      <w: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t>Three-month period ended June 30, 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t>Fiscal 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t>Fiscal 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t>Fiscal 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t>Governmen t Incentive schemes (₹ 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t>Percentage of Revenue from Operations</w:t>
            </w:r>
          </w:p>
          <w:p>
            <w:pPr>
              <w:pStyle w:val="Table Paragraph"/>
              <w:bidi w:val="0"/>
              <w:spacing w:line="186" w:lineRule="exact"/>
              <w:ind w:left="59" w:right="53" w:firstLine="0"/>
              <w:jc w:val="center"/>
              <w:rPr>
                <w:rtl w:val="0"/>
              </w:rPr>
            </w:pPr>
            <w: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t>Government Incentive schemes (₹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t>Percentage of Revenue from Operations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t>Government Incentive schemes (₹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t>Percentage of Revenue from Operations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t>Government Incentive schemes (₹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t>Percentage of Revenue from Operations (%)</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t>0.01%</w:t>
            </w:r>
          </w:p>
        </w:tc>
      </w:tr>
    </w:tbl>
    <w:p>
      <w:pPr>
        <w:pStyle w:val="Body Text"/>
        <w:spacing w:before="4"/>
        <w:ind w:left="801" w:hanging="801"/>
        <w:rPr>
          <w:rStyle w:val="Hyperlink.4"/>
          <w:sz w:val="17"/>
          <w:szCs w:val="17"/>
        </w:rPr>
      </w:pPr>
      <w:r/>
    </w:p>
    <w:p>
      <w:pPr>
        <w:pStyle w:val="Body Text"/>
        <w:spacing w:before="1"/>
      </w:pPr>
      <w:r/>
    </w:p>
    <w:p>
      <w:pPr>
        <w:pStyle w:val="Body Text"/>
        <w:ind w:left="796" w:right="151" w:firstLine="0"/>
        <w:jc w:val="both"/>
      </w:pPr>
      <w:r>
        <w:t>In relation to our upcoming projects, including in relation to, setting up of our Harsh Dass,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pPr>
        <w:pStyle w:val="Body Text"/>
        <w:spacing w:before="200"/>
        <w:ind w:left="796" w:right="151" w:firstLine="0"/>
        <w:jc w:val="both"/>
      </w:pPr>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r/>
    </w:p>
    <w:p>
      <w:pPr>
        <w:pStyle w:val="Body Text"/>
        <w:spacing w:before="65"/>
        <w:ind w:left="796" w:right="163" w:firstLine="0"/>
        <w:jc w:val="both"/>
      </w:pPr>
      <w:r>
        <w:t>with effect from Khosla-Nair. Further, our Bandi-Narasimhan less competitive against its competitors who have been availing this scheme by complying all conditions.</w:t>
      </w:r>
    </w:p>
    <w:p>
      <w:pPr>
        <w:pStyle w:val="Heading 4"/>
        <w:numPr>
          <w:ilvl w:val="0"/>
          <w:numId w:val="65"/>
        </w:numPr>
        <w:spacing w:before="201"/>
        <w:ind w:right="157"/>
        <w:jc w:val="left"/>
        <w:rPr>
          <w:lang w:val="en-US"/>
        </w:rPr>
      </w:pPr>
      <w:r>
        <w:t>We may be unable to adequately protect intellectual property that we use and may be subject to risks of infringement claims.</w:t>
      </w:r>
    </w:p>
    <w:p>
      <w:pPr>
        <w:pStyle w:val="Body Text"/>
        <w:spacing w:before="200"/>
        <w:ind w:left="796" w:right="155" w:firstLine="0"/>
        <w:jc w:val="both"/>
      </w:pPr>
      <w:r>
        <w:t>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t>Our trademark “KSH” is also used by 18 other entities, including, (i) Loyal LLC; (ii) Oza, Kamdar and Kothari; (iii) Guha PLC; (iv) Sastry-Banik; (v) Gola-Narula; (vi) Krishnan-Mand; (vii) Murty Ltd; (viii) Solanki, Bumb and Shenoy; (ix) Sem Ltd; (x) Parsa, Mall and Ramakrishnan; (xi) Rama Inc; (xii) Singhal Ltd; (xiii) Dalal PLC; (xiv) Saraf, Mahajan and Singhal; (xv) Bali-Anand; (xvi) Wali PLC; (xvii) Prabhakar, Thakur and Sane; and (xviii) Mannan, Sachdeva and Kara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pPr>
        <w:pStyle w:val="Body Text"/>
        <w:spacing w:before="198"/>
        <w:ind w:left="796" w:right="163" w:firstLine="0"/>
        <w:jc w:val="both"/>
      </w:pPr>
      <w:r>
        <w:t>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t>Additionally, the process of obtaining intellectual property protection is Bhardwaj, Shere and Thakur.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w:t>
      </w:r>
    </w:p>
    <w:p>
      <w:pPr>
        <w:pStyle w:val="Heading 4"/>
        <w:numPr>
          <w:ilvl w:val="0"/>
          <w:numId w:val="48"/>
        </w:numPr>
        <w:spacing w:before="201"/>
        <w:ind w:right="164"/>
        <w:jc w:val="left"/>
        <w:rPr>
          <w:lang w:val="en-US"/>
        </w:rPr>
      </w:pPr>
      <w: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t>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t>(i) marine open inland transit insurance; (ii) marine open export transit insurance (iii) standard fire and special perils policy; (iv) industrial all risk policy; (v) public liability industrial policy; and (vi) money insurance policy; (vii) group health insurance policy and (viii) burglary Shan, Ratta and Dutta,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pPr>
        <w:pStyle w:val="Body Text"/>
        <w:spacing w:before="199"/>
        <w:ind w:left="796" w:right="164" w:firstLine="0"/>
        <w:jc w:val="both"/>
      </w:pPr>
      <w:r>
        <w:t>The following table sets forth our insurance cover in absolute amount and as a percentage of net assets as of the dates indicated:</w:t>
      </w:r>
    </w:p>
    <w:p>
      <w:pPr>
        <w:pStyle w:val="Body Text"/>
        <w:jc w:val="both"/>
        <w:sectPr>
          <w:headerReference w:type="default" r:id="rId119"/>
          <w:footerReference w:type="default" r:id="rId120"/>
          <w:pgSz w:w="11920" w:h="16840" w:orient="portrait"/>
          <w:pgMar w:top="1100" w:right="566" w:bottom="280" w:left="992" w:header="0" w:footer="0"/>
          <w:bidi w:val="0"/>
        </w:sectPr>
      </w:pPr>
      <w:r/>
    </w:p>
    <w:p>
      <w:pPr>
        <w:pStyle w:val="Body Text"/>
        <w:spacing w:before="4"/>
        <w:rPr>
          <w:rStyle w:val="Hyperlink.4"/>
          <w:sz w:val="2"/>
          <w:szCs w:val="2"/>
        </w:rPr>
      </w:pPr>
      <w: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t>Book value of assets (in ₹ 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t>Insurance Coverage** (in ₹ 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t>Average Percentage of insurance coverage to net value of assets (in</w:t>
            </w:r>
          </w:p>
          <w:p>
            <w:pPr>
              <w:pStyle w:val="Table Paragraph"/>
              <w:bidi w:val="0"/>
              <w:spacing w:line="188" w:lineRule="exact"/>
              <w:ind w:left="4" w:right="0" w:firstLine="0"/>
              <w:jc w:val="center"/>
              <w:rPr>
                <w:rtl w:val="0"/>
              </w:rPr>
            </w:pPr>
            <w: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three-month period ended June 30, 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financial year ended March 31, 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As on financial year ended March 31, 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financial year ended March 31, 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126.83%</w:t>
            </w:r>
          </w:p>
        </w:tc>
      </w:tr>
    </w:tbl>
    <w:p>
      <w:pPr>
        <w:pStyle w:val="Body Text"/>
        <w:spacing w:before="4"/>
        <w:ind w:left="801" w:hanging="801"/>
        <w:rPr>
          <w:rStyle w:val="Hyperlink.4"/>
          <w:sz w:val="2"/>
          <w:szCs w:val="2"/>
        </w:rPr>
      </w:pPr>
      <w:r/>
    </w:p>
    <w:p>
      <w:pPr>
        <w:pStyle w:val="Body"/>
        <w:spacing w:before="4"/>
        <w:ind w:left="808" w:right="148" w:firstLine="0"/>
        <w:jc w:val="both"/>
        <w:rPr>
          <w:rStyle w:val="Hyperlink.8"/>
        </w:rPr>
      </w:pPr>
      <w:r>
        <w:t>* Assets represent Fixed Assets including Capital Work in Progress and Inventory and Deep and Sons Bains-Bala Balances and Advances and Other Assets.</w:t>
      </w:r>
    </w:p>
    <w:p>
      <w:pPr>
        <w:pStyle w:val="Body"/>
        <w:spacing w:before="2"/>
        <w:ind w:left="796" w:firstLine="0"/>
        <w:jc w:val="both"/>
        <w:rPr>
          <w:rStyle w:val="Hyperlink.8"/>
        </w:rPr>
      </w:pPr>
      <w:r>
        <w:t>** Insurance policies do not include Marine Insurance, Transit Insurance and Burglary Policies.</w:t>
      </w:r>
    </w:p>
    <w:p>
      <w:pPr>
        <w:pStyle w:val="Body Text"/>
        <w:spacing w:before="12"/>
        <w:rPr>
          <w:rStyle w:val="None"/>
          <w:i w:val="1"/>
          <w:iCs w:val="1"/>
          <w:sz w:val="16"/>
          <w:szCs w:val="16"/>
        </w:rPr>
      </w:pPr>
      <w:r/>
    </w:p>
    <w:p>
      <w:pPr>
        <w:pStyle w:val="Body Text"/>
        <w:ind w:left="796" w:right="151" w:firstLine="0"/>
        <w:jc w:val="both"/>
      </w:pPr>
      <w:r>
        <w:t>Sridhar PLC was inadequate to protect us against all material hazards and had adverse Sood Inc,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Venkataraman, Kade and Kaul has not made any insurance claims in the three-Naik Inc has recently made one insurance claim aggregating to ₹2.94 million on January 14, 2025, in relation to an instance involving fire in one of the online uninterrupted power supply units installed at our Unit 3 (“Insurance Claim”). Bassi, Kalla and Oza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 4"/>
        <w:numPr>
          <w:ilvl w:val="0"/>
          <w:numId w:val="66"/>
        </w:numPr>
        <w:spacing w:before="201"/>
        <w:ind w:right="164"/>
        <w:jc w:val="left"/>
        <w:rPr>
          <w:lang w:val="en-US"/>
        </w:rPr>
      </w:pPr>
      <w:r>
        <w:t>We have certain contingent liabilities that have not been provided for in our financial statements, which if they materialise, may adversely affect our financial condition.</w:t>
      </w:r>
    </w:p>
    <w:p>
      <w:pPr>
        <w:pStyle w:val="Body Text"/>
        <w:spacing w:before="200"/>
        <w:ind w:left="796" w:right="153" w:firstLine="0"/>
        <w:jc w:val="both"/>
      </w:pPr>
      <w:r>
        <w:t>As at June 30, 2025, our contingent liabilities as per Ind AS 37 – 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t>(₹ in 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t>Amount as at June 30, 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t>Chaudhry Group guarantees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34.92</w:t>
            </w:r>
          </w:p>
        </w:tc>
      </w:tr>
    </w:tbl>
    <w:p>
      <w:pPr>
        <w:pStyle w:val="Body"/>
        <w:spacing w:before="202"/>
        <w:ind w:left="801" w:hanging="801"/>
        <w:rPr>
          <w:rStyle w:val="None"/>
          <w:i w:val="1"/>
          <w:iCs w:val="1"/>
          <w:sz w:val="18"/>
          <w:szCs w:val="18"/>
        </w:rPr>
      </w:pPr>
      <w:r/>
    </w:p>
    <w:p>
      <w:pPr>
        <w:pStyle w:val="Body"/>
        <w:spacing w:before="182"/>
        <w:ind w:left="796" w:right="151" w:firstLine="0"/>
        <w:jc w:val="both"/>
        <w:rPr>
          <w:rStyle w:val="None"/>
          <w:sz w:val="20"/>
          <w:szCs w:val="20"/>
        </w:rPr>
      </w:pPr>
      <w:r>
        <w:t>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pPr>
        <w:pStyle w:val="Heading 4"/>
        <w:numPr>
          <w:ilvl w:val="0"/>
          <w:numId w:val="67"/>
        </w:numPr>
        <w:spacing w:before="201"/>
        <w:ind w:right="162"/>
        <w:jc w:val="left"/>
        <w:rPr>
          <w:lang w:val="en-US"/>
        </w:rPr>
      </w:pPr>
      <w:r>
        <w:t>Chawla and Sons in addition to their remuneration and reimbursement of expenses.</w:t>
      </w:r>
    </w:p>
    <w:p>
      <w:pPr>
        <w:pStyle w:val="Body Text"/>
        <w:spacing w:before="200"/>
        <w:ind w:left="796" w:right="148" w:firstLine="0"/>
        <w:jc w:val="both"/>
      </w:pPr>
      <w:r>
        <w:t>Our Promoters and certain of our Directors have interests in us other than the reimbursement of expenses incurred and normal remuneration and benefits. They are interested Bala, Madan and Bobal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Gola LLC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pPr>
        <w:pStyle w:val="Body Text"/>
        <w:spacing w:before="200"/>
        <w:ind w:left="796" w:right="154" w:firstLine="0"/>
        <w:jc w:val="both"/>
      </w:pPr>
      <w:r>
        <w:t>We cannot assure you that any Director who may be interested in the future, would always Muni, Murthy and Ahuja. As a result, such Singh, Bora and Sridhar,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r/>
    </w:p>
    <w:p>
      <w:pPr>
        <w:pStyle w:val="Heading 4"/>
        <w:numPr>
          <w:ilvl w:val="0"/>
          <w:numId w:val="68"/>
        </w:numPr>
        <w:bidi w:val="0"/>
        <w:spacing w:before="67"/>
        <w:ind w:right="0"/>
        <w:jc w:val="left"/>
        <w:rPr>
          <w:i w:val="0"/>
          <w:iCs w:val="0"/>
          <w:rtl w:val="0"/>
          <w:lang w:val="en-US"/>
        </w:rPr>
      </w:pPr>
      <w:r>
        <w:t>We have entered into, and will continue to enter into, related party transactions that may involve conflicts of interest.</w:t>
      </w:r>
    </w:p>
    <w:p>
      <w:pPr>
        <w:pStyle w:val="Body Text"/>
        <w:spacing w:before="200"/>
        <w:ind w:left="796" w:right="147" w:firstLine="0"/>
        <w:jc w:val="both"/>
      </w:pPr>
      <w:r>
        <w:t>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Palla PLC could not have undertaken such transactions on more favorable terms with any unrelated parties. We cannot assure you that any dispute that may arise between us and related parties will be resolved in our favour.</w:t>
      </w:r>
    </w:p>
    <w:p>
      <w:pPr>
        <w:pStyle w:val="Heading 4"/>
        <w:numPr>
          <w:ilvl w:val="0"/>
          <w:numId w:val="48"/>
        </w:numPr>
        <w:ind w:right="158"/>
        <w:jc w:val="left"/>
        <w:rPr>
          <w:lang w:val="en-US"/>
        </w:rPr>
      </w:pPr>
      <w:r>
        <w:t>Our Promoters and members Rao Group after the Offer and their interests may differ from those of the other shareholders.</w:t>
      </w:r>
    </w:p>
    <w:p>
      <w:pPr>
        <w:pStyle w:val="Body Text"/>
        <w:spacing w:before="201"/>
        <w:ind w:left="796" w:right="153" w:firstLine="0"/>
        <w:jc w:val="both"/>
      </w:pPr>
      <w:r>
        <w:t>As on the date of this Red Herring Prospectus, our Promoters and members of the Promoter Group collectively hold 98.40% Saxena-D’Alia. For further information on their shareholding pre and post-Offer, see “Capital Structure” on page 84. After the completion of the Offer, our Promoters along with the members of Promoter Kanda, Rana and Khare and will continue to exercise significant influence over our business policies and affairs and all matters requiring Shareholders’ approval, including Bhatnagar, Aggarwal and Sachdev, the approval of mergers, strategic acquisitions or joint ventures or the sales of substantially all of our assets, and the policies for dividends, lending, investments and capital expenditure or any other matter requiring special resolution. This concentration Lad, Deep and Tiwari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Sabharwal and Sons, see “Our Promoters and Promoter Group” and “Our Management” on pages 269 and 250, respectively.</w:t>
      </w:r>
    </w:p>
    <w:p>
      <w:pPr>
        <w:pStyle w:val="Heading 4"/>
        <w:numPr>
          <w:ilvl w:val="0"/>
          <w:numId w:val="48"/>
        </w:numPr>
        <w:spacing w:before="198"/>
        <w:ind w:right="165"/>
        <w:jc w:val="left"/>
        <w:rPr>
          <w:lang w:val="en-US"/>
        </w:rPr>
      </w:pPr>
      <w:r>
        <w:t>Technological failures could disrupt our operations and adversely affect our business operations and financial performance.</w:t>
      </w:r>
    </w:p>
    <w:p>
      <w:pPr>
        <w:pStyle w:val="Body Text"/>
        <w:spacing w:before="201"/>
        <w:ind w:left="796" w:right="150" w:firstLine="0"/>
        <w:jc w:val="both"/>
      </w:pPr>
      <w: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r/>
    </w:p>
    <w:p>
      <w:pPr>
        <w:pStyle w:val="Heading 4"/>
        <w:numPr>
          <w:ilvl w:val="0"/>
          <w:numId w:val="69"/>
        </w:numPr>
        <w:spacing w:before="65"/>
        <w:ind w:right="164"/>
        <w:jc w:val="left"/>
        <w:rPr>
          <w:lang w:val="en-US"/>
        </w:rPr>
      </w:pPr>
      <w:r>
        <w:t>Any variation in the utilization of the Net Proceeds as disclosed in this Red Herring Prospectus shall be subject to certain Soman and Sons.</w:t>
      </w:r>
    </w:p>
    <w:p>
      <w:pPr>
        <w:pStyle w:val="Body Text"/>
        <w:spacing w:before="200"/>
        <w:ind w:left="796" w:right="149" w:firstLine="0"/>
        <w:jc w:val="both"/>
      </w:pPr>
      <w:r>
        <w:t>We propose to utilize the Net Proceeds towards (i) Prepayment and/or repayment, in full Bhalla, Bhatia and Khosla; (ii) Borah Ltd towards (b) purchasing and setting up of new machinery for expansion at our Harsh Dass; and (b) purchasing and setting up of new machinery at Unit 2 in Chakan, Pune in Maharashtra; (iii) Borah Ltd towards purchasing and setting up of a rooftop solar power plant for power generation at our Harsh Dass; and (iv) general corporate purposes. For further details of the proposed objects of the Offer, see “Objects of the Offer” on page 106. Our funding Lall-Vora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Barad and Sons who do not agree with our proposal to modify the objects of the Offer, at a price and manner as prescribed by SEBI.</w:t>
      </w:r>
    </w:p>
    <w:p>
      <w:pPr>
        <w:pStyle w:val="Body Text"/>
        <w:spacing w:before="201"/>
        <w:ind w:left="796" w:right="154" w:firstLine="0"/>
        <w:jc w:val="both"/>
      </w:pPr>
      <w:r>
        <w:t>Additionally, the requirement on Sandal Inc may deter our Promoters from agreeing to the variation of the proposed utilization Chad-Shere. Sangha, Dayal and Bahri if applicable, will have adequate resources at their disposal at all times to enable them to provide an exit opportunity. In light of these factors, we may not be able to vary the objects of the Offer to use any unutilized proceeds Hayre Ltd. Sama-Mangat’s ability to respond to any change in our business or financial condition by re-deploying the unutilized portion of Net Proceeds, if any, which may adversely affect our business, financial conditions, cash flows and results of operations.</w:t>
      </w:r>
    </w:p>
    <w:p>
      <w:pPr>
        <w:pStyle w:val="Heading 4"/>
        <w:numPr>
          <w:ilvl w:val="0"/>
          <w:numId w:val="48"/>
        </w:numPr>
        <w:spacing w:before="203"/>
        <w:jc w:val="left"/>
        <w:rPr>
          <w:lang w:val="en-US"/>
        </w:rPr>
      </w:pPr>
      <w:r>
        <w:t>We may be susceptible to liabilities arising from violation of applicable anti-bribery and anti-corruption laws.</w:t>
      </w:r>
    </w:p>
    <w:p>
      <w:pPr>
        <w:pStyle w:val="Body Text"/>
        <w:spacing w:before="199"/>
        <w:ind w:left="796" w:right="145" w:firstLine="0"/>
        <w:jc w:val="both"/>
      </w:pPr>
      <w:r>
        <w:t>We are subject to anti-corruption and anti-bribery laws that prohibit improper payments or offers of improper payments to governments and their officials and political parties for the purpose of obtaining or retaining business or securing an improper advantage Aurora-Lall maintains a policy on business conduct relating Tara-Sahota.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 4"/>
        <w:numPr>
          <w:ilvl w:val="0"/>
          <w:numId w:val="48"/>
        </w:numPr>
        <w:spacing w:before="199"/>
        <w:ind w:right="156"/>
        <w:jc w:val="left"/>
        <w:rPr>
          <w:lang w:val="en-US"/>
        </w:rPr>
      </w:pPr>
      <w:r>
        <w:t>Our ability to pay dividends in the future will depend on our future cash flows, working capital requirements, capital expenditures and financial condition.</w:t>
      </w:r>
    </w:p>
    <w:p>
      <w:pPr>
        <w:pStyle w:val="Body Text"/>
        <w:spacing w:before="200"/>
        <w:ind w:left="808" w:right="147" w:firstLine="0"/>
        <w:jc w:val="both"/>
      </w:pPr>
      <w:r>
        <w:t>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 4"/>
        <w:numPr>
          <w:ilvl w:val="0"/>
          <w:numId w:val="48"/>
        </w:numPr>
        <w:ind w:right="159"/>
        <w:jc w:val="left"/>
        <w:rPr>
          <w:lang w:val="en-US"/>
        </w:rPr>
      </w:pPr>
      <w:r>
        <w:t>The disclosures related to the educational qualifications of certain of our Promoters in this Red Herring Prospectus are based on declarations, affidavits, and undertakings furnished by them.</w:t>
      </w:r>
    </w:p>
    <w:p>
      <w:pPr>
        <w:pStyle w:val="Body Text"/>
        <w:spacing w:before="200"/>
        <w:ind w:left="796" w:right="155" w:firstLine="0"/>
        <w:jc w:val="both"/>
      </w:pPr>
      <w:r>
        <w:t>Our Promoter, Chairman and Executive Director, Kushal Subbayya Hegde, and our Promoter, Madhavi Kaul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r/>
    </w:p>
    <w:p>
      <w:pPr>
        <w:pStyle w:val="Body Text"/>
        <w:spacing w:before="65"/>
        <w:ind w:left="796" w:right="146" w:firstLine="0"/>
        <w:jc w:val="both"/>
      </w:pPr>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 4"/>
        <w:numPr>
          <w:ilvl w:val="0"/>
          <w:numId w:val="70"/>
        </w:numPr>
        <w:spacing w:before="201"/>
        <w:ind w:right="160"/>
        <w:jc w:val="left"/>
        <w:rPr>
          <w:lang w:val="en-US"/>
        </w:rPr>
      </w:pPr>
      <w:r>
        <w:t>Saxena PLC will not receive any proceeds from the Offer for Sale. Our Promoter Selling Shareholders will 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t>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pStyle w:val="Heading 2"/>
        <w:spacing w:before="67" w:line="448" w:lineRule="auto"/>
        <w:ind w:left="3478" w:right="3545" w:firstLine="0"/>
      </w:pPr>
      <w:r>
        <w:t>SECTION III – INTRODUCTION THE OFFER</w:t>
      </w:r>
    </w:p>
    <w:p>
      <w:pPr>
        <w:pStyle w:val="Body Text"/>
        <w:ind w:left="88" w:firstLine="0"/>
      </w:pPr>
      <w:r>
        <w:t>The following table summarizes details of the Offer:</w:t>
      </w:r>
    </w:p>
    <w:p>
      <w:pPr>
        <w:pStyle w:val="Body Text"/>
        <w:spacing w:before="3" w:after="1"/>
        <w:rPr>
          <w:rStyle w:val="Hyperlink.4"/>
          <w:sz w:val="17"/>
          <w:szCs w:val="17"/>
        </w:rPr>
      </w:pPr>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Offer of Equity Shares (1)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Up to [●] Equity Shares of face value of ₹5 each, aggregating up to ₹7,100.00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Fresh Issue(1)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Up to [●] Equity Shares of face value of ₹5 each, aggregating up to ₹4,200.00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t>Offer for Sale(2)(3)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Up to [●] Equity Shares of face value of ₹5 each, aggregating up to ₹2,900.00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t>The Offer comprises 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A) QIB Portion(4)(5)(6)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more than [●] Equity Shares of face value of ₹5 each aggregating up to ₹[●]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t>(i) Anchor Investor Portion(6)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t>(ii) Net QIB Portion (assuming Anchor Investor Portion is fully 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 to [●] Equity Shares of face value of ₹5 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t>(a) Available for allocation to Mutual Funds only (5% of the Net QIB 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 to [●] Equity Shares of face value of ₹5 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(b) Balance of QIB Portion for all QIBs including Mutual 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B) Non-Institutional Portion(4)(5)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less than [●] Equity Shares of face value of ₹5 each aggregating up to ₹[●]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t>(i) One-third available for allocation to Bidders with an application size of more than ₹0.20 million and up to ₹1.00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 to [●] Equity Shares of face value of ₹5 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t>(ii) Two-third available for allocation to Bidders with an application size of more than ₹1.00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 to [●]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C) Retail Portion(4)(5)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less than [●] Equity Shares of face value of ₹5 each aggregating up to ₹[●]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Pre- and post-Offer Equity 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56,818,200 Equity Shares of face value of ₹5 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t>Equity Shares outstanding after the 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t>[●]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Use of Net Proceeds of the 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See “Objects of the Offer” Char-Date will not receive any proceeds from the Offer for Sale.</w:t>
            </w:r>
          </w:p>
        </w:tc>
      </w:tr>
    </w:tbl>
    <w:p>
      <w:pPr>
        <w:pStyle w:val="Body Text"/>
        <w:spacing w:before="3" w:after="1"/>
        <w:ind w:left="98" w:hanging="98"/>
        <w:rPr>
          <w:rStyle w:val="Hyperlink.4"/>
          <w:sz w:val="17"/>
          <w:szCs w:val="17"/>
        </w:rPr>
      </w:pPr>
      <w:r/>
    </w:p>
    <w:p>
      <w:pPr>
        <w:pStyle w:val="Body"/>
        <w:tabs>
          <w:tab w:val="left" w:pos="448"/>
        </w:tabs>
        <w:spacing w:before="14" w:line="230" w:lineRule="exact"/>
        <w:ind w:left="88" w:firstLine="0"/>
        <w:rPr>
          <w:rStyle w:val="Hyperlink.8"/>
        </w:rPr>
      </w:pPr>
      <w:r>
        <w:t>*</w:t>
        <w:tab/>
        <w:t>To be updated upon finalization of the Offer Price.</w:t>
      </w:r>
    </w:p>
    <w:p>
      <w:pPr>
        <w:pStyle w:val="List Paragraph"/>
        <w:numPr>
          <w:ilvl w:val="0"/>
          <w:numId w:val="72"/>
        </w:numPr>
        <w:bidi w:val="0"/>
        <w:spacing w:before="0"/>
        <w:ind w:right="149"/>
        <w:jc w:val="both"/>
        <w:rPr>
          <w:i w:val="1"/>
          <w:iCs w:val="1"/>
          <w:sz w:val="16"/>
          <w:szCs w:val="16"/>
          <w:rtl w:val="0"/>
          <w:lang w:val="en-US"/>
        </w:rPr>
      </w:pPr>
      <w:r>
        <w:t>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pStyle w:val="Body Text"/>
        <w:spacing w:before="15"/>
        <w:rPr>
          <w:rStyle w:val="None"/>
          <w:i w:val="1"/>
          <w:iCs w:val="1"/>
          <w:sz w:val="16"/>
          <w:szCs w:val="16"/>
        </w:rPr>
      </w:pPr>
      <w:r/>
    </w:p>
    <w:p>
      <w:pPr>
        <w:pStyle w:val="List Paragraph"/>
        <w:numPr>
          <w:ilvl w:val="0"/>
          <w:numId w:val="73"/>
        </w:numPr>
        <w:bidi w:val="0"/>
        <w:spacing w:before="0"/>
        <w:ind w:right="0"/>
        <w:jc w:val="left"/>
        <w:rPr>
          <w:i w:val="1"/>
          <w:iCs w:val="1"/>
          <w:sz w:val="16"/>
          <w:szCs w:val="16"/>
          <w:rtl w:val="0"/>
          <w:lang w:val="en-US"/>
        </w:rPr>
      </w:pPr>
      <w:r>
        <w:t>Our Promoter Selling Shareholders have confirmed and authorised their participation in the Offer for Sale as set out below:</w:t>
      </w:r>
    </w:p>
    <w:p>
      <w:pPr>
        <w:pStyle w:val="Body Text"/>
        <w:spacing w:before="3"/>
        <w:rPr>
          <w:rStyle w:val="None"/>
          <w:i w:val="1"/>
          <w:iCs w:val="1"/>
          <w:sz w:val="17"/>
          <w:szCs w:val="17"/>
        </w:rPr>
      </w:pPr>
      <w: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t>S. 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t>Promoter Selling 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t>Maximum number of Equity Shares offered 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t>Aggregate amount of Offer for Sale (₹ in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t>Date of consent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t>Kushal Subbayya 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t>Up to ₹1,528.00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t>December 6,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Viraj Din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t>Up to ₹422.00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t>December 6,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t>Sudiksha Seshadri</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t>Up to ₹475.00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t>December 6,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Maanas Pillai</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t>Up to ₹475.00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t>December 6, 2025</w:t>
            </w:r>
          </w:p>
        </w:tc>
      </w:tr>
    </w:tbl>
    <w:p>
      <w:pPr>
        <w:pStyle w:val="Body Text"/>
        <w:spacing w:before="3"/>
        <w:ind w:left="98" w:hanging="98"/>
        <w:rPr>
          <w:rStyle w:val="None"/>
          <w:i w:val="1"/>
          <w:iCs w:val="1"/>
          <w:sz w:val="17"/>
          <w:szCs w:val="17"/>
        </w:rPr>
      </w:pPr>
      <w:r/>
    </w:p>
    <w:p>
      <w:pPr>
        <w:pStyle w:val="Body Text"/>
        <w:spacing w:before="1"/>
        <w:rPr>
          <w:rStyle w:val="None"/>
          <w:i w:val="1"/>
          <w:iCs w:val="1"/>
          <w:sz w:val="16"/>
          <w:szCs w:val="16"/>
        </w:rPr>
      </w:pPr>
      <w:r/>
    </w:p>
    <w:p>
      <w:pPr>
        <w:pStyle w:val="List Paragraph"/>
        <w:numPr>
          <w:ilvl w:val="0"/>
          <w:numId w:val="74"/>
        </w:numPr>
        <w:bidi w:val="0"/>
        <w:spacing w:before="0"/>
        <w:ind w:right="148"/>
        <w:jc w:val="both"/>
        <w:rPr>
          <w:sz w:val="16"/>
          <w:szCs w:val="16"/>
          <w:rtl w:val="0"/>
          <w:lang w:val="en-US"/>
        </w:rPr>
      </w:pPr>
      <w:r>
        <w:t>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p>
    <w:p>
      <w:pPr>
        <w:pStyle w:val="Body Text"/>
        <w:spacing w:before="16"/>
        <w:rPr>
          <w:rStyle w:val="Hyperlink.4"/>
          <w:sz w:val="16"/>
          <w:szCs w:val="16"/>
        </w:rPr>
      </w:pPr>
      <w:r/>
    </w:p>
    <w:p>
      <w:pPr>
        <w:pStyle w:val="List Paragraph"/>
        <w:numPr>
          <w:ilvl w:val="0"/>
          <w:numId w:val="72"/>
        </w:numPr>
        <w:bidi w:val="0"/>
        <w:spacing w:before="0"/>
        <w:ind w:right="150"/>
        <w:jc w:val="both"/>
        <w:rPr>
          <w:i w:val="1"/>
          <w:iCs w:val="1"/>
          <w:sz w:val="16"/>
          <w:szCs w:val="16"/>
          <w:rtl w:val="0"/>
          <w:lang w:val="en-US"/>
        </w:rPr>
      </w:pPr>
      <w:r>
        <w:t>Subject to valid bids being received at or above the Offer Price, under subscription, if any, in any category, except in the QIB Portion, would be allowed to be met with spill-over from any other category Loke, Thaman and Jha,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r/>
    </w:p>
    <w:p>
      <w:pPr>
        <w:pStyle w:val="List Paragraph"/>
        <w:numPr>
          <w:ilvl w:val="0"/>
          <w:numId w:val="75"/>
        </w:numPr>
        <w:bidi w:val="0"/>
        <w:spacing w:before="66"/>
        <w:ind w:right="148"/>
        <w:jc w:val="both"/>
        <w:rPr>
          <w:i w:val="1"/>
          <w:iCs w:val="1"/>
          <w:sz w:val="16"/>
          <w:szCs w:val="16"/>
          <w:rtl w:val="0"/>
          <w:lang w:val="en-US"/>
        </w:rPr>
      </w:pPr>
      <w:r>
        <w:t>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₹0.20 million and up to ₹1.00 million and two-thirds of the Non-Institutional Portion will be available for allocation to Bidders with an application size of more than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r/>
    </w:p>
    <w:p>
      <w:pPr>
        <w:pStyle w:val="List Paragraph"/>
        <w:numPr>
          <w:ilvl w:val="0"/>
          <w:numId w:val="72"/>
        </w:numPr>
        <w:bidi w:val="0"/>
        <w:spacing w:before="0"/>
        <w:ind w:right="147"/>
        <w:jc w:val="both"/>
        <w:rPr>
          <w:i w:val="1"/>
          <w:iCs w:val="1"/>
          <w:sz w:val="16"/>
          <w:szCs w:val="16"/>
          <w:rtl w:val="0"/>
          <w:lang w:val="en-US"/>
        </w:rPr>
      </w:pPr>
      <w:r>
        <w:t>Saxena PLC,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w:t>
      </w:r>
    </w:p>
    <w:p>
      <w:pPr>
        <w:pStyle w:val="Body Text"/>
        <w:spacing w:before="15"/>
        <w:rPr>
          <w:rStyle w:val="None"/>
          <w:i w:val="1"/>
          <w:iCs w:val="1"/>
          <w:sz w:val="16"/>
          <w:szCs w:val="16"/>
        </w:rPr>
      </w:pPr>
      <w:r/>
    </w:p>
    <w:p>
      <w:pPr>
        <w:pStyle w:val="Body"/>
        <w:ind w:left="88" w:right="152" w:firstLine="0"/>
        <w:rPr>
          <w:rStyle w:val="None"/>
          <w:sz w:val="20"/>
          <w:szCs w:val="20"/>
        </w:rPr>
      </w:pPr>
      <w:r>
        <w:t>For further details including in relation to grounds for rejection of Bids, see “Offer Structure”, “Offer Procedure” and “Terms of the Offer” on pages 417, 420 and 411.</w:t>
      </w:r>
    </w:p>
    <w:p>
      <w:pPr>
        <w:pStyle w:val="Body"/>
        <w:sectPr>
          <w:headerReference w:type="default" r:id="rId131"/>
          <w:footerReference w:type="default" r:id="rId132"/>
          <w:pgSz w:w="11920" w:h="16840" w:orient="portrait"/>
          <w:pgMar w:top="1100" w:right="566" w:bottom="280" w:left="992" w:header="0" w:footer="0"/>
          <w:bidi w:val="0"/>
        </w:sectPr>
      </w:pPr>
      <w:r/>
    </w:p>
    <w:p>
      <w:pPr>
        <w:pStyle w:val="Heading 2"/>
        <w:spacing w:before="67"/>
        <w:ind w:left="7" w:right="72" w:firstLine="0"/>
      </w:pPr>
      <w:r>
        <w:t>SUMMARY FINANCIAL STATEMENTS</w:t>
      </w:r>
    </w:p>
    <w:p>
      <w:pPr>
        <w:pStyle w:val="Body"/>
        <w:spacing w:before="200"/>
        <w:ind w:left="88" w:right="148" w:firstLine="0"/>
        <w:jc w:val="both"/>
        <w:rPr>
          <w:rStyle w:val="None"/>
          <w:i w:val="1"/>
          <w:iCs w:val="1"/>
          <w:sz w:val="20"/>
          <w:szCs w:val="20"/>
        </w:rPr>
      </w:pPr>
      <w:r>
        <w:t>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w:t>
      </w:r>
    </w:p>
    <w:p>
      <w:pPr>
        <w:pStyle w:val="Body Text"/>
        <w:rPr>
          <w:rStyle w:val="None"/>
          <w:i w:val="1"/>
          <w:iCs w:val="1"/>
        </w:rPr>
      </w:pPr>
      <w:r/>
    </w:p>
    <w:p>
      <w:pPr>
        <w:pStyle w:val="Body Text"/>
        <w:spacing w:before="170"/>
        <w:rPr>
          <w:rStyle w:val="None"/>
          <w:i w:val="1"/>
          <w:iCs w:val="1"/>
        </w:rPr>
      </w:pPr>
      <w:r/>
    </w:p>
    <w:p>
      <w:pPr>
        <w:pStyle w:val="Body"/>
        <w:ind w:left="3060" w:firstLine="0"/>
        <w:rPr>
          <w:rStyle w:val="None"/>
          <w:i w:val="1"/>
          <w:iCs w:val="1"/>
          <w:sz w:val="20"/>
          <w:szCs w:val="20"/>
        </w:rPr>
      </w:pPr>
      <w:r>
        <w:t>(The remainder of the page has intentionally been left blank)</w:t>
      </w:r>
    </w:p>
    <w:p>
      <w:pPr>
        <w:pStyle w:val="Body"/>
        <w:sectPr>
          <w:headerReference w:type="default" r:id="rId133"/>
          <w:footerReference w:type="default" r:id="rId134"/>
          <w:pgSz w:w="11920" w:h="16840" w:orient="portrait"/>
          <w:pgMar w:top="1100" w:right="566" w:bottom="280" w:left="992" w:header="0" w:footer="0"/>
          <w:bidi w:val="0"/>
        </w:sectPr>
      </w:pPr>
      <w:r/>
    </w:p>
    <w:p>
      <w:pPr>
        <w:pStyle w:val="Heading 2"/>
        <w:spacing w:before="67"/>
        <w:ind w:left="3479" w:right="3545" w:firstLine="0"/>
      </w:pPr>
      <w:r>
        <w:t>GENERAL INFORMATION</w:t>
      </w:r>
    </w:p>
    <w:p>
      <w:pPr>
        <w:pStyle w:val="Heading 3"/>
        <w:spacing w:before="0" w:line="430" w:lineRule="atLeast"/>
        <w:ind w:right="6992"/>
      </w:pPr>
      <w:r>
        <w:t>Sandhu and Sons</w:t>
      </w:r>
    </w:p>
    <w:p>
      <w:pPr>
        <w:pStyle w:val="Body Text"/>
        <w:ind w:left="88" w:right="6992" w:firstLine="0"/>
      </w:pPr>
      <w:r>
        <w:t>11/3, 11/4 and 11/5, Village Jack Narain, Gagan Sarraf</w:t>
      </w:r>
    </w:p>
    <w:p>
      <w:pPr>
        <w:pStyle w:val="Body Text"/>
        <w:spacing w:line="228" w:lineRule="exact"/>
        <w:ind w:left="88" w:firstLine="0"/>
      </w:pPr>
      <w:r>
        <w:t>Pune – 410 501</w:t>
      </w:r>
    </w:p>
    <w:p>
      <w:pPr>
        <w:pStyle w:val="Body Text"/>
        <w:spacing w:before="1"/>
        <w:ind w:left="88" w:firstLine="0"/>
      </w:pPr>
      <w:r>
        <w:t>Maharashtra, India</w:t>
      </w:r>
    </w:p>
    <w:p>
      <w:pPr>
        <w:pStyle w:val="Body"/>
        <w:spacing w:before="199"/>
        <w:ind w:left="88" w:right="152" w:firstLine="0"/>
        <w:rPr>
          <w:rStyle w:val="None"/>
          <w:sz w:val="20"/>
          <w:szCs w:val="20"/>
        </w:rPr>
      </w:pPr>
      <w:r>
        <w:t>For details of change in our registered office, see “History and Certain Corporate Matters – Changes in our Registered Office” on page 243.</w:t>
      </w:r>
    </w:p>
    <w:p>
      <w:pPr>
        <w:pStyle w:val="Heading 3"/>
        <w:spacing w:before="0" w:line="430" w:lineRule="atLeast"/>
        <w:ind w:right="6992"/>
      </w:pPr>
      <w:r>
        <w:t>Khanna-Deol</w:t>
      </w:r>
    </w:p>
    <w:p>
      <w:pPr>
        <w:pStyle w:val="Body Text"/>
        <w:ind w:left="88" w:right="6992" w:firstLine="0"/>
      </w:pPr>
      <w:r>
        <w:t>201, Tower-2, Montreal Business Centre Off Pallod Farms, Christopher Borah</w:t>
      </w:r>
    </w:p>
    <w:p>
      <w:pPr>
        <w:pStyle w:val="Body Text"/>
        <w:spacing w:before="1"/>
        <w:ind w:left="88" w:right="8746" w:firstLine="0"/>
      </w:pPr>
      <w:r>
        <w:t>Pune 411 045 Maharashtra, India</w:t>
      </w:r>
    </w:p>
    <w:p>
      <w:pPr>
        <w:pStyle w:val="Heading 3"/>
        <w:spacing w:before="201"/>
      </w:pPr>
      <w:r>
        <w:t>Company registration number and corporate identity number</w:t>
      </w:r>
    </w:p>
    <w:p>
      <w:pPr>
        <w:pStyle w:val="List Paragraph"/>
        <w:numPr>
          <w:ilvl w:val="0"/>
          <w:numId w:val="77"/>
        </w:numPr>
        <w:bidi w:val="0"/>
        <w:ind w:right="0"/>
        <w:jc w:val="left"/>
        <w:rPr>
          <w:sz w:val="20"/>
          <w:szCs w:val="20"/>
          <w:rtl w:val="0"/>
          <w:lang w:val="en-US"/>
        </w:rPr>
      </w:pPr>
      <w:r>
        <w:t>Registration number: 141032</w:t>
      </w:r>
    </w:p>
    <w:p>
      <w:pPr>
        <w:pStyle w:val="List Paragraph"/>
        <w:numPr>
          <w:ilvl w:val="0"/>
          <w:numId w:val="77"/>
        </w:numPr>
        <w:bidi w:val="0"/>
        <w:spacing w:before="161"/>
        <w:ind w:right="0"/>
        <w:jc w:val="left"/>
        <w:rPr>
          <w:sz w:val="20"/>
          <w:szCs w:val="20"/>
          <w:rtl w:val="0"/>
          <w:lang w:val="en-US"/>
        </w:rPr>
      </w:pPr>
      <w:r>
        <w:t>Corporate identity number: U28129PN1979PLC141032</w:t>
      </w:r>
    </w:p>
    <w:p>
      <w:pPr>
        <w:pStyle w:val="Heading 3"/>
        <w:spacing w:before="159"/>
      </w:pPr>
      <w:r>
        <w:t>Address of the RoC</w:t>
      </w:r>
    </w:p>
    <w:p>
      <w:pPr>
        <w:pStyle w:val="Body Text"/>
        <w:spacing w:before="199"/>
        <w:ind w:left="88" w:firstLine="0"/>
      </w:pPr>
      <w:r>
        <w:t>Saxena PLC is registered with the Registrar of Companies, Maharashtra at Pune, which is situated at the following address:</w:t>
      </w:r>
    </w:p>
    <w:p>
      <w:pPr>
        <w:pStyle w:val="Heading 3"/>
      </w:pPr>
      <w:r>
        <w:t>Registrar of Companies, Maharashtra at Pune</w:t>
      </w:r>
    </w:p>
    <w:p>
      <w:pPr>
        <w:pStyle w:val="Body Text"/>
        <w:spacing w:before="199"/>
        <w:ind w:left="88" w:right="7924" w:firstLine="0"/>
      </w:pPr>
      <w:r>
        <w:t>PCNTDA Green Building Block A 1st and 2nd floor Near Akurdi Railway Station Akurdi, Pune – 411 044 Maharashtra, India</w:t>
      </w:r>
    </w:p>
    <w:p>
      <w:pPr>
        <w:pStyle w:val="Heading 3"/>
        <w:spacing w:before="202"/>
      </w:pPr>
      <w:r>
        <w:t>Chaudhuri, Vig and Chada</w:t>
      </w:r>
    </w:p>
    <w:p>
      <w:pPr>
        <w:pStyle w:val="Body Text"/>
        <w:spacing w:before="200"/>
        <w:ind w:left="88" w:firstLine="0"/>
      </w:pPr>
      <w:r>
        <w:t>The following table sets out the brief details of our Board of Directors as on the date of this Red Herring Prospectus:</w:t>
      </w:r>
    </w:p>
    <w:p>
      <w:pPr>
        <w:pStyle w:val="Body Text"/>
        <w:spacing w:before="3"/>
        <w:rPr>
          <w:rStyle w:val="Hyperlink.4"/>
          <w:sz w:val="17"/>
          <w:szCs w:val="17"/>
        </w:rPr>
      </w:pPr>
      <w: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Kushal Subbayya 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t>Chairman</w:t>
              <w:tab/>
              <w:t>and</w:t>
              <w:tab/>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+91 9814031763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S. no. 245/ 104, Pushpakamal, Deccan Gymkhana Society, lane no. 3 Prabhat Road, opposite PYC basketball court, Deccan Gymkhana, Pune – 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Sudiksha Seshadri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Managing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+91 9136940115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12 Buena Monte, NCL co-operative housing society, Panchvati, Pashan, Pune – 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Maanas Pillai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Joint Managing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t>+91 0351377521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t>Ranveer Ramachandran, Flat – 1, S. no. 245/ 104, Prabhat Road Lane no. 3, Tanmayi Natarajan, Deccan Gymkhana, Pune – 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Urvi Sheth 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Whole-time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+91 4426443760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S. no. 245/ 104, Pushpakamal, Deccan Gymkhana Society, lane no.</w:t>
            </w:r>
          </w:p>
          <w:p>
            <w:pPr>
              <w:pStyle w:val="Table Paragraph"/>
              <w:bidi w:val="0"/>
              <w:spacing w:line="206" w:lineRule="exact"/>
              <w:ind w:left="59" w:right="0" w:firstLine="0"/>
              <w:jc w:val="left"/>
              <w:rPr>
                <w:rtl w:val="0"/>
              </w:rPr>
            </w:pPr>
            <w:r>
              <w:t>3 Prabhat Road, opposite PYC basketball court, Falan Sule, Deccan Gymkhana, Pune – 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Chakradhar Choudhary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t>+91 6005505586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Pratik Bunglow, Senapati Bapat Road, behind Sahara Hotel, Shivajinagar, Model Colony, Pune – 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Imaran Ratti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t>+91 9182560595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602, Hemani Deol, Bhonde colony, Prabhat Road, Erandawane, Pune – 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Ekantika Desai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t>+91 3904450965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t>A-259, JK Road, Minal Residency, Huzur, Govindpura, Bhopal – 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Upasna Lala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+91 5062773242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A29, Abhimanshree Society, Pashan Road, Pune – 411 008, Maharashtra, India</w:t>
            </w:r>
          </w:p>
        </w:tc>
      </w:tr>
    </w:tbl>
    <w:p>
      <w:pPr>
        <w:pStyle w:val="Body Text"/>
        <w:spacing w:before="3"/>
        <w:ind w:left="98" w:hanging="98"/>
        <w:rPr>
          <w:rStyle w:val="Hyperlink.4"/>
          <w:sz w:val="17"/>
          <w:szCs w:val="17"/>
        </w:rPr>
      </w:pPr>
      <w:r/>
    </w:p>
    <w:p>
      <w:pPr>
        <w:pStyle w:val="Body Text"/>
        <w:spacing w:before="4"/>
      </w:pPr>
      <w:r/>
    </w:p>
    <w:p>
      <w:pPr>
        <w:pStyle w:val="Body"/>
        <w:ind w:left="88" w:firstLine="0"/>
        <w:rPr>
          <w:rStyle w:val="None"/>
          <w:sz w:val="20"/>
          <w:szCs w:val="20"/>
        </w:rPr>
      </w:pPr>
      <w:r>
        <w:t>For brief profiles and further details of our Board of Directors, see “Our Management – Board of Directors” on page 250.</w:t>
      </w:r>
    </w:p>
    <w:p>
      <w:pPr>
        <w:pStyle w:val="Body"/>
        <w:sectPr>
          <w:headerReference w:type="default" r:id="rId135"/>
          <w:footerReference w:type="default" r:id="rId136"/>
          <w:pgSz w:w="11920" w:h="16840" w:orient="portrait"/>
          <w:pgMar w:top="1100" w:right="566" w:bottom="280" w:left="992" w:header="0" w:footer="0"/>
          <w:bidi w:val="0"/>
        </w:sectPr>
      </w:pPr>
      <w:r/>
    </w:p>
    <w:p>
      <w:pPr>
        <w:pStyle w:val="Heading 3"/>
        <w:spacing w:before="67"/>
      </w:pPr>
      <w:r>
        <w:t>Company Secretary and Compliance Officer</w:t>
      </w:r>
    </w:p>
    <w:p>
      <w:pPr>
        <w:pStyle w:val="Body Text"/>
        <w:spacing w:line="430" w:lineRule="atLeast"/>
        <w:ind w:left="88" w:right="1092" w:firstLine="0"/>
      </w:pPr>
      <w:r>
        <w:t>Kata, Sekhon and Prasad Secretary and Compliance Officer. His contact details are as set forth below: Gat No. 11/3, 11/4, 11/5, Village Birdewadi</w:t>
      </w:r>
    </w:p>
    <w:p>
      <w:pPr>
        <w:pStyle w:val="Body Text"/>
        <w:ind w:left="88" w:right="8220" w:firstLine="0"/>
      </w:pPr>
      <w:r>
        <w:t>Yochana Bhat, District Pune – 410 501</w:t>
      </w:r>
    </w:p>
    <w:p>
      <w:pPr>
        <w:pStyle w:val="Body Text"/>
        <w:spacing w:line="228" w:lineRule="exact"/>
        <w:ind w:left="88" w:firstLine="0"/>
      </w:pPr>
      <w:r>
        <w:t>Maharashtra, India</w:t>
      </w:r>
    </w:p>
    <w:p>
      <w:pPr>
        <w:pStyle w:val="Body"/>
        <w:spacing w:before="1"/>
        <w:ind w:left="88" w:firstLine="0"/>
        <w:rPr>
          <w:rStyle w:val="None"/>
          <w:sz w:val="20"/>
          <w:szCs w:val="20"/>
        </w:rPr>
      </w:pPr>
      <w:r>
        <w:t>Telephone: +91 5602952825</w:t>
      </w:r>
    </w:p>
    <w:p>
      <w:pPr>
        <w:pStyle w:val="Body Text"/>
        <w:ind w:left="88" w:firstLine="0"/>
      </w:pPr>
      <w:r>
        <w:t>E-mail: sborde@example.org</w:t>
      </w:r>
    </w:p>
    <w:p>
      <w:pPr>
        <w:pStyle w:val="Heading 3"/>
      </w:pPr>
      <w:r>
        <w:t>Investor grievances</w:t>
      </w:r>
    </w:p>
    <w:p>
      <w:pPr>
        <w:pStyle w:val="Body Text"/>
        <w:spacing w:before="199"/>
        <w:ind w:left="88" w:right="148" w:firstLine="0"/>
        <w:jc w:val="both"/>
      </w:pPr>
      <w:r>
        <w:t>Desai-Barman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t>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w:t>
      </w:r>
    </w:p>
    <w:p>
      <w:pPr>
        <w:pStyle w:val="Body Text"/>
        <w:spacing w:before="200"/>
        <w:ind w:left="88" w:right="162" w:firstLine="0"/>
        <w:jc w:val="both"/>
      </w:pPr>
      <w:r>
        <w:t>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t>Book Running Lead Managers</w:t>
      </w:r>
    </w:p>
    <w:p>
      <w:pPr>
        <w:pStyle w:val="Body Text"/>
        <w:spacing w:before="5"/>
        <w:rPr>
          <w:rStyle w:val="None"/>
          <w:b w:val="1"/>
          <w:bCs w:val="1"/>
          <w:sz w:val="9"/>
          <w:szCs w:val="9"/>
        </w:rPr>
      </w:pPr>
      <w: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p>
    <w:p>
      <w:pPr>
        <w:pStyle w:val="Body"/>
        <w:spacing w:before="91"/>
        <w:ind w:left="117" w:firstLine="0"/>
        <w:rPr>
          <w:rStyle w:val="None"/>
          <w:b w:val="1"/>
          <w:bCs w:val="1"/>
          <w:sz w:val="20"/>
          <w:szCs w:val="20"/>
        </w:rPr>
      </w:pPr>
      <w:r>
        <w:t>Kapoor, Hans and Bassi</w:t>
      </w:r>
    </w:p>
    <w:p>
      <w:pPr>
        <w:pStyle w:val="Body Text"/>
        <w:ind w:left="117" w:right="1327" w:firstLine="0"/>
      </w:pPr>
      <w:r>
        <w:t>801-804, Wing A, Building No. 3 Inspire BKC G Block, Bandra Kurla Complex</w:t>
      </w:r>
    </w:p>
    <w:p>
      <w:pPr>
        <w:pStyle w:val="Body Text"/>
        <w:ind w:left="117" w:right="1579" w:firstLine="0"/>
      </w:pPr>
      <w:r>
        <w:t>Bandra East, Mumbai – 400 051 Maharashtra, India</w:t>
      </w:r>
    </w:p>
    <w:p>
      <w:pPr>
        <w:pStyle w:val="Body"/>
        <w:ind w:left="117" w:right="2750" w:firstLine="0"/>
        <w:jc w:val="both"/>
        <w:rPr>
          <w:rStyle w:val="Hyperlink.9"/>
        </w:rPr>
      </w:pPr>
      <w:r>
        <w:t>Telephone: +91 4538189908 Email: hiralvenkataraman@example.org Website: www.nuvama.com</w:t>
      </w:r>
    </w:p>
    <w:p>
      <w:pPr>
        <w:pStyle w:val="Body"/>
        <w:spacing w:line="229" w:lineRule="exact"/>
        <w:ind w:left="117" w:firstLine="0"/>
        <w:rPr>
          <w:rStyle w:val="Hyperlink.9"/>
        </w:rPr>
      </w:pPr>
      <w:r>
        <w:t>Investor grievance E-mail: suhani72@example.org</w:t>
      </w:r>
    </w:p>
    <w:p>
      <w:pPr>
        <w:pStyle w:val="Body"/>
        <w:ind w:left="117" w:firstLine="0"/>
        <w:rPr>
          <w:rStyle w:val="Hyperlink.9"/>
        </w:rPr>
      </w:pPr>
      <w:r>
        <w:t>Contact person: Lokesh Shah/ Soumavo Sarkar</w:t>
      </w:r>
    </w:p>
    <w:p>
      <w:pPr>
        <w:pStyle w:val="Body"/>
        <w:ind w:left="117" w:firstLine="0"/>
        <w:rPr>
          <w:rStyle w:val="Hyperlink.9"/>
        </w:rPr>
      </w:pPr>
      <w:r>
        <w:t>SEBI registration no.: INM+91 4972036827</w:t>
      </w:r>
    </w:p>
    <w:p>
      <w:pPr>
        <w:pStyle w:val="Body"/>
        <w:spacing w:before="91"/>
        <w:ind w:left="117" w:right="1841" w:firstLine="0"/>
      </w:pPr>
      <w:r/>
    </w:p>
    <w:p>
      <w:pPr>
        <w:pStyle w:val="Body"/>
        <w:spacing w:before="91"/>
        <w:ind w:left="117" w:right="1841" w:firstLine="0"/>
        <w:rPr>
          <w:rStyle w:val="Hyperlink.9"/>
        </w:rPr>
      </w:pPr>
      <w:r>
        <w:t>Nair, D’Alia and Bhalla ICICI Venture House Appasaheb Marathe Marg Prabhadevi, Mumbai – 400 025 Maharashtra, India</w:t>
      </w:r>
    </w:p>
    <w:p>
      <w:pPr>
        <w:pStyle w:val="Body"/>
        <w:ind w:left="117" w:right="1642" w:firstLine="0"/>
        <w:rPr>
          <w:rStyle w:val="Hyperlink.9"/>
        </w:rPr>
      </w:pPr>
      <w:r>
        <w:t>Telephone: +91 3841772262 Email: osidhu@example.com Website: www.icicisecurities.com Investor grievance E-mail: kauryutika@example.com</w:t>
      </w:r>
    </w:p>
    <w:p>
      <w:pPr>
        <w:pStyle w:val="Body"/>
        <w:spacing w:line="230" w:lineRule="exact"/>
        <w:ind w:left="117" w:firstLine="0"/>
        <w:rPr>
          <w:rStyle w:val="Hyperlink.9"/>
        </w:rPr>
      </w:pPr>
      <w:r>
        <w:t>Contact person: Laksh Narang/Bhavika Dube</w:t>
      </w:r>
    </w:p>
    <w:p>
      <w:pPr>
        <w:pStyle w:val="Body"/>
        <w:ind w:left="117" w:firstLine="0"/>
        <w:rPr>
          <w:rStyle w:val="Hyperlink.9"/>
        </w:rPr>
      </w:pPr>
      <w:r>
        <w:t>SEBI registration no.: INM+91 8165954267</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p>
    <w:p>
      <w:pPr>
        <w:pStyle w:val="Body Text"/>
        <w:spacing w:before="1"/>
      </w:pPr>
      <w:r/>
    </w:p>
    <w:p>
      <w:pPr>
        <w:pStyle w:val="Heading 3"/>
        <w:spacing w:before="0"/>
      </w:pPr>
      <w:r>
        <w:t>Statement of inter-se allocation of responsibilities among the BRLMs</w:t>
      </w:r>
    </w:p>
    <w:p>
      <w:pPr>
        <w:pStyle w:val="Body Text"/>
        <w:spacing w:before="200"/>
        <w:ind w:left="88" w:firstLine="0"/>
      </w:pPr>
      <w:r>
        <w:t>The responsibilities and coordination by the BRLMs for various activities in the Offer are as follows:</w:t>
      </w:r>
    </w:p>
    <w:p>
      <w:pPr>
        <w:pStyle w:val="Body Text"/>
        <w:spacing w:before="3" w:after="1"/>
        <w:rPr>
          <w:rStyle w:val="Hyperlink.4"/>
          <w:sz w:val="17"/>
          <w:szCs w:val="17"/>
        </w:rPr>
      </w:pPr>
      <w: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t>S. 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t>Karan, Tandon and Narasimhan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Drafting and approval of statutory 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Nuvama</w:t>
            </w:r>
          </w:p>
        </w:tc>
      </w:tr>
    </w:tbl>
    <w:p>
      <w:pPr>
        <w:pStyle w:val="Body Text"/>
        <w:spacing w:before="3" w:after="1"/>
        <w:ind w:left="93" w:hanging="93"/>
        <w:rPr>
          <w:rStyle w:val="Hyperlink.4"/>
          <w:sz w:val="17"/>
          <w:szCs w:val="17"/>
        </w:rPr>
      </w:pPr>
      <w:r/>
    </w:p>
    <w:p>
      <w:pPr>
        <w:pStyle w:val="Table Paragraph"/>
        <w:spacing w:line="186" w:lineRule="exact"/>
        <w:jc w:val="center"/>
        <w:sectPr>
          <w:type w:val="continuous"/>
          <w:pgSz w:w="11920" w:h="16840" w:orient="portrait"/>
          <w:pgMar w:top="120" w:right="566" w:bottom="280" w:left="992" w:header="0" w:footer="0"/>
          <w:bidi w:val="0"/>
        </w:sectPr>
      </w:pPr>
      <w:r/>
    </w:p>
    <w:p>
      <w:pPr>
        <w:pStyle w:val="Body Text"/>
        <w:spacing w:before="4"/>
        <w:rPr>
          <w:rStyle w:val="Hyperlink.4"/>
          <w:sz w:val="2"/>
          <w:szCs w:val="2"/>
        </w:rPr>
      </w:pPr>
      <w: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t>S. 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Drafting and approval of all publicity material other than statutory advertisement as mentioned above including corporate advertising, brochure, etc. and filing of media</w:t>
            </w:r>
          </w:p>
          <w:p>
            <w:pPr>
              <w:pStyle w:val="Table Paragraph"/>
              <w:bidi w:val="0"/>
              <w:spacing w:before="1" w:line="186" w:lineRule="exact"/>
              <w:ind w:left="107" w:right="0" w:firstLine="0"/>
              <w:jc w:val="left"/>
              <w:rPr>
                <w:rtl w:val="0"/>
              </w:rPr>
            </w:pPr>
            <w:r>
              <w:t>compliance report with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Appointment of all other intermediaries (e.g., Registrar(s), Printer(s), Monitoring Agency, Banker(s) to the Issue and Sponsor Banker to the Issue, Advertising agency</w:t>
            </w:r>
          </w:p>
          <w:p>
            <w:pPr>
              <w:pStyle w:val="Table Paragraph"/>
              <w:bidi w:val="0"/>
              <w:spacing w:before="1" w:line="186" w:lineRule="exact"/>
              <w:ind w:left="107" w:right="0" w:firstLine="0"/>
              <w:jc w:val="left"/>
              <w:rPr>
                <w:rtl w:val="0"/>
              </w:rPr>
            </w:pPr>
            <w:r>
              <w:t>etc.) including coordinating all agreements to be entered with such 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Preparation of road show presentation and frequently asked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I-Sec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International Institutional Marketing of the Issue, which will cover, inter alia:</w:t>
            </w:r>
          </w:p>
          <w:p>
            <w:pPr>
              <w:pStyle w:val="Table Paragraph"/>
              <w:numPr>
                <w:ilvl w:val="0"/>
                <w:numId w:val="78"/>
              </w:numPr>
              <w:bidi w:val="0"/>
              <w:spacing w:before="1"/>
              <w:ind w:right="0"/>
              <w:jc w:val="left"/>
              <w:rPr>
                <w:sz w:val="18"/>
                <w:szCs w:val="18"/>
                <w:rtl w:val="0"/>
                <w:lang w:val="en-US"/>
              </w:rPr>
            </w:pPr>
            <w:r>
              <w:t>Marketing strategy</w:t>
            </w:r>
          </w:p>
          <w:p>
            <w:pPr>
              <w:pStyle w:val="Table Paragraph"/>
              <w:numPr>
                <w:ilvl w:val="0"/>
                <w:numId w:val="78"/>
              </w:numPr>
              <w:bidi w:val="0"/>
              <w:ind w:right="95"/>
              <w:jc w:val="left"/>
              <w:rPr>
                <w:sz w:val="18"/>
                <w:szCs w:val="18"/>
                <w:rtl w:val="0"/>
                <w:lang w:val="en-US"/>
              </w:rPr>
            </w:pPr>
            <w:r>
              <w:t>Finalising the list and division of international investors for one-to-one meetings and</w:t>
            </w:r>
          </w:p>
          <w:p>
            <w:pPr>
              <w:pStyle w:val="Table Paragraph"/>
              <w:numPr>
                <w:ilvl w:val="0"/>
                <w:numId w:val="78"/>
              </w:numPr>
              <w:bidi w:val="0"/>
              <w:spacing w:line="199" w:lineRule="exact"/>
              <w:ind w:right="0"/>
              <w:jc w:val="left"/>
              <w:rPr>
                <w:sz w:val="18"/>
                <w:szCs w:val="18"/>
                <w:rtl w:val="0"/>
                <w:lang w:val="en-US"/>
              </w:rPr>
            </w:pPr>
            <w:r>
              <w:t>Finalizing road show and investor meeting 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Domestic Institutional Marketing of the Issue, which will cover, inter alia:</w:t>
            </w:r>
          </w:p>
          <w:p>
            <w:pPr>
              <w:pStyle w:val="Table Paragraph"/>
              <w:numPr>
                <w:ilvl w:val="0"/>
                <w:numId w:val="79"/>
              </w:numPr>
              <w:bidi w:val="0"/>
              <w:spacing w:before="1" w:line="219" w:lineRule="exact"/>
              <w:ind w:right="0"/>
              <w:jc w:val="left"/>
              <w:rPr>
                <w:sz w:val="18"/>
                <w:szCs w:val="18"/>
                <w:rtl w:val="0"/>
                <w:lang w:val="en-US"/>
              </w:rPr>
            </w:pPr>
            <w:r>
              <w:t>Finalising the list and division of domestic investors for one-to-one meetings</w:t>
            </w:r>
          </w:p>
          <w:p>
            <w:pPr>
              <w:pStyle w:val="Table Paragraph"/>
              <w:numPr>
                <w:ilvl w:val="0"/>
                <w:numId w:val="79"/>
              </w:numPr>
              <w:bidi w:val="0"/>
              <w:spacing w:line="198" w:lineRule="exact"/>
              <w:ind w:right="0"/>
              <w:jc w:val="left"/>
              <w:rPr>
                <w:sz w:val="18"/>
                <w:szCs w:val="18"/>
                <w:rtl w:val="0"/>
                <w:lang w:val="en-US"/>
              </w:rPr>
            </w:pPr>
            <w:r>
              <w:t>Finalizing domestic road show schedules and investor meeting 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Non-institutional marketing of the Issue, which will cover, inter alia,</w:t>
            </w:r>
          </w:p>
          <w:p>
            <w:pPr>
              <w:pStyle w:val="Table Paragraph"/>
              <w:numPr>
                <w:ilvl w:val="0"/>
                <w:numId w:val="80"/>
              </w:numPr>
              <w:bidi w:val="0"/>
              <w:ind w:right="100"/>
              <w:jc w:val="left"/>
              <w:rPr>
                <w:sz w:val="18"/>
                <w:szCs w:val="18"/>
                <w:rtl w:val="0"/>
                <w:lang w:val="en-US"/>
              </w:rPr>
            </w:pPr>
            <w:r>
              <w:t>Finalising media, marketing and public relations strategy including list of 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t>Finalising centres for holding conferences for brokers,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Retail Marketing of the Issue, which will cover, inter alia,</w:t>
            </w:r>
          </w:p>
          <w:p>
            <w:pPr>
              <w:pStyle w:val="Table Paragraph"/>
              <w:numPr>
                <w:ilvl w:val="0"/>
                <w:numId w:val="81"/>
              </w:numPr>
              <w:bidi w:val="0"/>
              <w:spacing w:line="220" w:lineRule="exact"/>
              <w:ind w:right="0"/>
              <w:jc w:val="left"/>
              <w:rPr>
                <w:sz w:val="18"/>
                <w:szCs w:val="18"/>
                <w:rtl w:val="0"/>
                <w:lang w:val="en-US"/>
              </w:rPr>
            </w:pPr>
            <w:r>
              <w:t>Formulating marketing strategies, preparation of publicity budget</w:t>
            </w:r>
          </w:p>
          <w:p>
            <w:pPr>
              <w:pStyle w:val="Table Paragraph"/>
              <w:numPr>
                <w:ilvl w:val="0"/>
                <w:numId w:val="81"/>
              </w:numPr>
              <w:bidi w:val="0"/>
              <w:spacing w:before="1"/>
              <w:ind w:right="0"/>
              <w:jc w:val="left"/>
              <w:rPr>
                <w:sz w:val="18"/>
                <w:szCs w:val="18"/>
                <w:rtl w:val="0"/>
                <w:lang w:val="en-US"/>
              </w:rPr>
            </w:pPr>
            <w:r>
              <w:t>Finalizing Media and PR strategy</w:t>
            </w:r>
          </w:p>
          <w:p>
            <w:pPr>
              <w:pStyle w:val="Table Paragraph"/>
              <w:numPr>
                <w:ilvl w:val="0"/>
                <w:numId w:val="81"/>
              </w:numPr>
              <w:bidi w:val="0"/>
              <w:spacing w:line="219" w:lineRule="exact"/>
              <w:ind w:right="0"/>
              <w:jc w:val="left"/>
              <w:rPr>
                <w:sz w:val="18"/>
                <w:szCs w:val="18"/>
                <w:rtl w:val="0"/>
                <w:lang w:val="en-US"/>
              </w:rPr>
            </w:pPr>
            <w:r>
              <w:t>Finalizing centres for holding conferences for brokers, etc.</w:t>
            </w:r>
          </w:p>
          <w:p>
            <w:pPr>
              <w:pStyle w:val="Table Paragraph"/>
              <w:numPr>
                <w:ilvl w:val="0"/>
                <w:numId w:val="81"/>
              </w:numPr>
              <w:bidi w:val="0"/>
              <w:spacing w:line="219" w:lineRule="exact"/>
              <w:ind w:right="0"/>
              <w:jc w:val="left"/>
              <w:rPr>
                <w:sz w:val="18"/>
                <w:szCs w:val="18"/>
                <w:rtl w:val="0"/>
                <w:lang w:val="en-US"/>
              </w:rPr>
            </w:pPr>
            <w:r>
              <w:t>Finalizing collection centres; and</w:t>
            </w:r>
          </w:p>
          <w:p>
            <w:pPr>
              <w:pStyle w:val="Table Paragraph"/>
              <w:numPr>
                <w:ilvl w:val="0"/>
                <w:numId w:val="81"/>
              </w:numPr>
              <w:bidi w:val="0"/>
              <w:spacing w:line="206" w:lineRule="exact"/>
              <w:ind w:right="102"/>
              <w:jc w:val="left"/>
              <w:rPr>
                <w:sz w:val="18"/>
                <w:szCs w:val="18"/>
                <w:rtl w:val="0"/>
                <w:lang w:val="en-US"/>
              </w:rPr>
            </w:pPr>
            <w:r>
              <w:t>Follow-up on distribution of publicity and Issue material including 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I-Sec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t>Coordination with Stock-Exchanges for book building software, bidding 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t>Jaggi-Mangal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t>I-Sec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t>Post-Offer activities, which shall involve essential follow-up with Deol PLC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bl>
    <w:p>
      <w:pPr>
        <w:pStyle w:val="Body Text"/>
        <w:spacing w:before="4"/>
        <w:ind w:left="93" w:hanging="93"/>
        <w:rPr>
          <w:rStyle w:val="Hyperlink.4"/>
          <w:sz w:val="2"/>
          <w:szCs w:val="2"/>
        </w:rPr>
      </w:pPr>
      <w:r/>
    </w:p>
    <w:p>
      <w:pPr>
        <w:pStyle w:val="Heading 3"/>
        <w:spacing w:before="190"/>
      </w:pPr>
      <w:r>
        <w:t>Syndicate Members</w:t>
      </w:r>
    </w:p>
    <w:p>
      <w:pPr>
        <w:pStyle w:val="Body"/>
        <w:spacing w:before="199"/>
        <w:ind w:left="88" w:firstLine="0"/>
        <w:rPr>
          <w:rStyle w:val="None"/>
          <w:b w:val="1"/>
          <w:bCs w:val="1"/>
          <w:sz w:val="20"/>
          <w:szCs w:val="20"/>
        </w:rPr>
      </w:pPr>
      <w:r>
        <w:t>Kapoor, Hans and Bassi</w:t>
      </w:r>
    </w:p>
    <w:p>
      <w:pPr>
        <w:pStyle w:val="Body Text"/>
        <w:spacing w:before="1"/>
        <w:ind w:left="88" w:right="7485" w:firstLine="0"/>
      </w:pPr>
      <w:r>
        <w:t>801-804, Wing A, Building No 3 Inspire BKC, G Block</w:t>
      </w:r>
    </w:p>
    <w:p>
      <w:pPr>
        <w:pStyle w:val="Body Text"/>
        <w:ind w:left="88" w:right="6992" w:firstLine="0"/>
      </w:pPr>
      <w:r>
        <w:t>Bandra Kurla Complex, Bandra East Mumbai 400 051</w:t>
      </w:r>
    </w:p>
    <w:p>
      <w:pPr>
        <w:pStyle w:val="Body Text"/>
        <w:ind w:left="88" w:firstLine="0"/>
      </w:pPr>
      <w:r>
        <w:t>Maharashtra, India</w:t>
      </w:r>
    </w:p>
    <w:p>
      <w:pPr>
        <w:pStyle w:val="Body"/>
        <w:ind w:left="88" w:firstLine="0"/>
        <w:rPr>
          <w:rStyle w:val="Hyperlink.9"/>
        </w:rPr>
      </w:pPr>
      <w:r>
        <w:t>Telephone: +91 2482989882</w:t>
      </w:r>
    </w:p>
    <w:p>
      <w:pPr>
        <w:pStyle w:val="Body Text"/>
        <w:spacing w:line="229" w:lineRule="exact"/>
        <w:ind w:left="88" w:firstLine="0"/>
      </w:pPr>
      <w:r>
        <w:t>Liam Devi: hiralvenkataraman@example.org, jtalwar@example.com, and jacob32@example.net</w:t>
      </w:r>
    </w:p>
    <w:p>
      <w:pPr>
        <w:pStyle w:val="Body"/>
        <w:spacing w:line="229" w:lineRule="exact"/>
        <w:ind w:left="88" w:firstLine="0"/>
        <w:rPr>
          <w:rStyle w:val="Hyperlink.9"/>
        </w:rPr>
      </w:pPr>
      <w:r>
        <w:t>Website: www.nuvama.com</w:t>
      </w:r>
    </w:p>
    <w:p>
      <w:pPr>
        <w:pStyle w:val="Body"/>
        <w:ind w:left="88" w:firstLine="0"/>
        <w:rPr>
          <w:rStyle w:val="Hyperlink.9"/>
        </w:rPr>
      </w:pPr>
      <w:r>
        <w:t>Contact Person: Hredhaan Srinivasan</w:t>
      </w:r>
    </w:p>
    <w:p>
      <w:pPr>
        <w:pStyle w:val="Body"/>
        <w:spacing w:before="1"/>
        <w:ind w:left="88" w:firstLine="0"/>
        <w:rPr>
          <w:rStyle w:val="Hyperlink.9"/>
        </w:rPr>
      </w:pPr>
      <w:r>
        <w:t>SEBI Registration Number: INZ+91 1149627926</w:t>
      </w:r>
    </w:p>
    <w:p>
      <w:pPr>
        <w:pStyle w:val="Body Text"/>
        <w:spacing w:before="1"/>
      </w:pPr>
      <w:r/>
    </w:p>
    <w:p>
      <w:pPr>
        <w:pStyle w:val="Body"/>
        <w:ind w:left="88" w:right="7684" w:firstLine="0"/>
        <w:rPr>
          <w:rStyle w:val="Hyperlink.9"/>
        </w:rPr>
      </w:pPr>
      <w:r>
        <w:t>Nair, D’Alia and Bhalla ICICI Venture House Appasaheb Marathe Marg Prabhadevi, Mumbai – 400 025 Maharashtra, India</w:t>
      </w:r>
    </w:p>
    <w:p>
      <w:pPr>
        <w:pStyle w:val="Body"/>
        <w:ind w:left="88" w:right="7485" w:firstLine="0"/>
        <w:rPr>
          <w:rStyle w:val="Hyperlink.9"/>
        </w:rPr>
      </w:pPr>
      <w:r>
        <w:t>Telephone: +91 3841772262 Email: osidhu@example.com Website: www.icicisecurities.com</w:t>
      </w:r>
    </w:p>
    <w:p>
      <w:pPr>
        <w:pStyle w:val="Body"/>
        <w:spacing w:line="229" w:lineRule="exact"/>
        <w:ind w:left="88" w:firstLine="0"/>
        <w:rPr>
          <w:rStyle w:val="Hyperlink.9"/>
        </w:rPr>
      </w:pPr>
      <w:r>
        <w:t>Investor grievance E-mail: kauryutika@example.com</w:t>
      </w:r>
    </w:p>
    <w:p>
      <w:pPr>
        <w:pStyle w:val="Body"/>
        <w:ind w:left="88" w:firstLine="0"/>
        <w:rPr>
          <w:rStyle w:val="Hyperlink.9"/>
        </w:rPr>
      </w:pPr>
      <w:r>
        <w:t>Contact person: Laksh Narang/Bhavika Dube</w:t>
      </w:r>
    </w:p>
    <w:p>
      <w:pPr>
        <w:pStyle w:val="Body"/>
        <w:sectPr>
          <w:headerReference w:type="default" r:id="rId139"/>
          <w:footerReference w:type="default" r:id="rId140"/>
          <w:pgSz w:w="11920" w:h="16840" w:orient="portrait"/>
          <w:pgMar w:top="1140" w:right="566" w:bottom="920" w:left="992" w:header="0" w:footer="0"/>
          <w:bidi w:val="0"/>
        </w:sectPr>
      </w:pPr>
      <w:r/>
    </w:p>
    <w:p>
      <w:pPr>
        <w:pStyle w:val="Body"/>
        <w:spacing w:before="65"/>
        <w:ind w:left="88" w:firstLine="0"/>
        <w:rPr>
          <w:rStyle w:val="Hyperlink.9"/>
        </w:rPr>
      </w:pPr>
      <w:r>
        <w:t>SEBI registration no.: INM+91 8165954267</w:t>
      </w:r>
    </w:p>
    <w:p>
      <w:pPr>
        <w:pStyle w:val="Heading 3"/>
        <w:spacing w:before="31" w:line="430" w:lineRule="atLeast"/>
        <w:ind w:right="6005"/>
      </w:pPr>
      <w:r>
        <w:t>Sarna Inc as to Indian Law Trilegal</w:t>
      </w:r>
    </w:p>
    <w:p>
      <w:pPr>
        <w:pStyle w:val="Body Text"/>
        <w:ind w:left="88" w:firstLine="0"/>
      </w:pPr>
      <w:r>
        <w:t>One World Centre</w:t>
      </w:r>
    </w:p>
    <w:p>
      <w:pPr>
        <w:pStyle w:val="Body Text"/>
        <w:spacing w:before="1"/>
        <w:ind w:left="88" w:firstLine="0"/>
      </w:pPr>
      <w:r>
        <w:t>10th Floor, Tower 2A &amp; 2B</w:t>
      </w:r>
    </w:p>
    <w:p>
      <w:pPr>
        <w:pStyle w:val="Body Text"/>
        <w:ind w:left="88" w:right="6503" w:firstLine="0"/>
      </w:pPr>
      <w:r>
        <w:t>Senapati Bapat Marg, Eesha Dhaliwal (West) Mumbai – 400 013</w:t>
      </w:r>
    </w:p>
    <w:p>
      <w:pPr>
        <w:pStyle w:val="Body Text"/>
        <w:spacing w:line="228" w:lineRule="exact"/>
        <w:ind w:left="88" w:firstLine="0"/>
      </w:pPr>
      <w:r>
        <w:t>Maharashtra, India</w:t>
      </w:r>
    </w:p>
    <w:p>
      <w:pPr>
        <w:pStyle w:val="Body"/>
        <w:ind w:left="88" w:firstLine="0"/>
        <w:rPr>
          <w:rStyle w:val="Hyperlink.9"/>
        </w:rPr>
      </w:pPr>
      <w:r>
        <w:t>Liam Devi: lajita25@example.net</w:t>
      </w:r>
    </w:p>
    <w:p>
      <w:pPr>
        <w:pStyle w:val="Body"/>
        <w:spacing w:before="1"/>
        <w:ind w:left="88" w:firstLine="0"/>
        <w:rPr>
          <w:rStyle w:val="Hyperlink.9"/>
        </w:rPr>
      </w:pPr>
      <w:r>
        <w:t>Telephone: +91 2031043326</w:t>
      </w:r>
    </w:p>
    <w:p>
      <w:pPr>
        <w:pStyle w:val="Body Text"/>
        <w:spacing w:before="1"/>
      </w:pPr>
      <w:r/>
    </w:p>
    <w:p>
      <w:pPr>
        <w:pStyle w:val="Heading 3"/>
        <w:spacing w:before="0"/>
      </w:pPr>
      <w:r>
        <w:t>Registrar to the Offer</w:t>
      </w:r>
    </w:p>
    <w:p>
      <w:pPr>
        <w:pStyle w:val="Body"/>
        <w:spacing w:before="199"/>
        <w:ind w:left="88" w:right="6503" w:firstLine="0"/>
        <w:rPr>
          <w:rStyle w:val="Hyperlink.9"/>
        </w:rPr>
      </w:pPr>
      <w:r>
        <w:t>Suri, Bera and Basu (Mangat, Barman and Memon) C-101, Embassy 247</w:t>
      </w:r>
    </w:p>
    <w:p>
      <w:pPr>
        <w:pStyle w:val="Body Text"/>
        <w:ind w:left="88" w:right="7173" w:firstLine="0"/>
        <w:jc w:val="both"/>
      </w:pPr>
      <w:r>
        <w:t>1st Floor, L B S Marg, Riya Srinivas (West) Mumbai 400083, (Maharashtra), India Telephone: +91 1020407952</w:t>
      </w:r>
    </w:p>
    <w:p>
      <w:pPr>
        <w:pStyle w:val="Body Text"/>
        <w:spacing w:before="1"/>
        <w:ind w:left="88" w:firstLine="0"/>
      </w:pPr>
      <w:r>
        <w:t>E-mail: wrao@example.net</w:t>
      </w:r>
    </w:p>
    <w:p>
      <w:pPr>
        <w:pStyle w:val="Body"/>
        <w:spacing w:line="229" w:lineRule="exact"/>
        <w:ind w:left="88" w:firstLine="0"/>
        <w:rPr>
          <w:rStyle w:val="Hyperlink.9"/>
        </w:rPr>
      </w:pPr>
      <w:r>
        <w:t>Investor grievance E-mail: wrao@example.net</w:t>
      </w:r>
    </w:p>
    <w:p>
      <w:pPr>
        <w:pStyle w:val="Body"/>
        <w:ind w:left="88" w:right="6992" w:firstLine="0"/>
        <w:rPr>
          <w:rStyle w:val="Hyperlink.9"/>
        </w:rPr>
      </w:pPr>
      <w:r>
        <w:t>Website: www.in.mpms.mufg.com Contact Person: Ayushman Agarwal.: INR+91 0222630544</w:t>
      </w:r>
    </w:p>
    <w:p>
      <w:pPr>
        <w:pStyle w:val="Body Text"/>
        <w:spacing w:before="1"/>
        <w:ind w:left="88" w:firstLine="0"/>
      </w:pPr>
      <w:r>
        <w:t>URL of SEBI website: www.sebi.gov.in/sebiweb/other/OtherAction.do?doRecognisedFpi=yes&amp;intmId=10</w:t>
      </w:r>
    </w:p>
    <w:p>
      <w:pPr>
        <w:pStyle w:val="Body Text"/>
        <w:ind w:left="88" w:firstLine="0"/>
      </w:pPr>
      <w:r>
        <w:t>CIN: U67190MH1999PTC118368</w:t>
      </w:r>
    </w:p>
    <w:p>
      <w:pPr>
        <w:pStyle w:val="Body"/>
        <w:spacing w:before="31" w:line="430" w:lineRule="atLeast"/>
        <w:ind w:left="88" w:right="7924" w:firstLine="0"/>
        <w:rPr>
          <w:rStyle w:val="None"/>
          <w:b w:val="1"/>
          <w:bCs w:val="1"/>
          <w:sz w:val="20"/>
          <w:szCs w:val="20"/>
        </w:rPr>
      </w:pPr>
      <w:r>
        <w:t>Natt LLC</w:t>
      </w:r>
    </w:p>
    <w:p>
      <w:pPr>
        <w:pStyle w:val="Body Text"/>
        <w:ind w:left="88" w:right="6005" w:firstLine="0"/>
      </w:pPr>
      <w:r>
        <w:t>Lad Ltd, FIG-OPS Department – Lodha I Think Techno Campus, O-3 Level</w:t>
      </w:r>
    </w:p>
    <w:p>
      <w:pPr>
        <w:pStyle w:val="Body Text"/>
        <w:ind w:left="88" w:right="5111" w:firstLine="0"/>
      </w:pPr>
      <w:r>
        <w:t>Next to Kanjurmarg Railway Station, Udant Bal (East) Mumbai – 400042, Maharashtra, India</w:t>
      </w:r>
    </w:p>
    <w:p>
      <w:pPr>
        <w:pStyle w:val="Body Text"/>
        <w:ind w:left="88" w:firstLine="0"/>
      </w:pPr>
      <w:r>
        <w:t>Telephone: +91 2918352828, +91 5234930969 and +91 3361358025</w:t>
      </w:r>
    </w:p>
    <w:p>
      <w:pPr>
        <w:pStyle w:val="Body Text"/>
        <w:ind w:left="88" w:right="2223" w:firstLine="0"/>
      </w:pPr>
      <w:r>
        <w:t>Liam Devi: apathak@example.org, ranbirrajagopal@example.com januja34@example.com, lnadig@example.net, and mloyal@example.org Website: Jhaveri, Singhal and Barman.com</w:t>
      </w:r>
    </w:p>
    <w:p>
      <w:pPr>
        <w:pStyle w:val="Body Text"/>
        <w:spacing w:line="229" w:lineRule="exact"/>
        <w:ind w:left="88" w:firstLine="0"/>
      </w:pPr>
      <w:r>
        <w:t>Contact Person: Balvan Comar Sachin Gawade/ Max Dugar Qarin Vohra</w:t>
      </w:r>
    </w:p>
    <w:p>
      <w:pPr>
        <w:pStyle w:val="Body"/>
        <w:ind w:left="88" w:firstLine="0"/>
        <w:rPr>
          <w:rStyle w:val="Hyperlink.9"/>
        </w:rPr>
      </w:pPr>
      <w:r>
        <w:t>SEBI Registration No: INBI+91 7487809690</w:t>
      </w:r>
    </w:p>
    <w:p>
      <w:pPr>
        <w:pStyle w:val="Body Text"/>
        <w:spacing w:before="1"/>
        <w:ind w:left="88" w:firstLine="0"/>
      </w:pPr>
      <w:r>
        <w:t>CIN: L65920MH1994PLC080618</w:t>
      </w:r>
    </w:p>
    <w:p>
      <w:pPr>
        <w:pStyle w:val="Body Text"/>
      </w:pPr>
      <w:r/>
    </w:p>
    <w:p>
      <w:pPr>
        <w:pStyle w:val="Body"/>
        <w:ind w:left="88" w:firstLine="0"/>
        <w:rPr>
          <w:rStyle w:val="None"/>
          <w:b w:val="1"/>
          <w:bCs w:val="1"/>
          <w:i w:val="1"/>
          <w:iCs w:val="1"/>
          <w:sz w:val="20"/>
          <w:szCs w:val="20"/>
        </w:rPr>
      </w:pPr>
      <w:r>
        <w:t>Pradhan, Khatri and Sachar</w:t>
      </w:r>
    </w:p>
    <w:p>
      <w:pPr>
        <w:pStyle w:val="Heading 3"/>
        <w:spacing w:line="229" w:lineRule="exact"/>
      </w:pPr>
      <w:r>
        <w:t>Gade, Mahajan and Randhawa</w:t>
      </w:r>
    </w:p>
    <w:p>
      <w:pPr>
        <w:pStyle w:val="Body Text"/>
        <w:spacing w:line="229" w:lineRule="exact"/>
        <w:ind w:left="88" w:firstLine="0"/>
      </w:pPr>
      <w:r>
        <w:t>Capital Market Division</w:t>
      </w:r>
    </w:p>
    <w:p>
      <w:pPr>
        <w:pStyle w:val="Body"/>
        <w:ind w:left="88" w:right="7551" w:firstLine="0"/>
        <w:rPr>
          <w:rStyle w:val="Hyperlink.9"/>
        </w:rPr>
      </w:pPr>
      <w:r>
        <w:t>163, 5th Floor, H.T.Parekh Marg Backbay Reclamation Churchgate, Mumbai – 400020 Telephone: +91 8976731696 Email: abhimanyuanne@example.com Website: Kaul-Suresh.com Contact Person: Ekaja Raval</w:t>
      </w:r>
    </w:p>
    <w:p>
      <w:pPr>
        <w:pStyle w:val="Body"/>
        <w:spacing w:before="2"/>
        <w:ind w:left="88" w:firstLine="0"/>
        <w:rPr>
          <w:rStyle w:val="Hyperlink.9"/>
        </w:rPr>
      </w:pPr>
      <w:r>
        <w:t>SEBI Registration No: INBI+91 3599796562</w:t>
      </w:r>
    </w:p>
    <w:p>
      <w:pPr>
        <w:pStyle w:val="Body Text"/>
        <w:ind w:left="88" w:firstLine="0"/>
      </w:pPr>
      <w:r>
        <w:t>CIN: L65190GJ1994PLC021012</w:t>
      </w:r>
    </w:p>
    <w:p>
      <w:pPr>
        <w:pStyle w:val="Body Text"/>
        <w:sectPr>
          <w:headerReference w:type="default" r:id="rId141"/>
          <w:footerReference w:type="default" r:id="rId142"/>
          <w:pgSz w:w="11920" w:h="16840" w:orient="portrait"/>
          <w:pgMar w:top="1100" w:right="566" w:bottom="280" w:left="992" w:header="0" w:footer="0"/>
          <w:bidi w:val="0"/>
        </w:sectPr>
      </w:pPr>
      <w:r/>
    </w:p>
    <w:p>
      <w:pPr>
        <w:pStyle w:val="Heading 3"/>
        <w:spacing w:line="229" w:lineRule="exact"/>
      </w:pPr>
      <w:r>
        <w:t>Lad Ltd</w:t>
      </w:r>
    </w:p>
    <w:p>
      <w:pPr>
        <w:pStyle w:val="Body Text"/>
        <w:ind w:left="88" w:right="6005" w:firstLine="0"/>
      </w:pPr>
      <w:r>
        <w:t>Lad Ltd, FIG-OPS Department – Lodha I Think Techno Campus, O-3 Level</w:t>
      </w:r>
    </w:p>
    <w:p>
      <w:pPr>
        <w:pStyle w:val="Body Text"/>
        <w:ind w:left="88" w:right="5111" w:firstLine="0"/>
      </w:pPr>
      <w:r>
        <w:t>Next to Kanjurmarg Railway Station, Udant Bal (East) Mumbai – 400042, Maharashtra, India</w:t>
      </w:r>
    </w:p>
    <w:p>
      <w:pPr>
        <w:pStyle w:val="Body Text"/>
        <w:spacing w:before="1"/>
        <w:ind w:left="88" w:firstLine="0"/>
      </w:pPr>
      <w:r>
        <w:t>Telephone: +91 2918352828, +91 5234930969 and +91 3361358025</w:t>
      </w:r>
    </w:p>
    <w:p>
      <w:pPr>
        <w:pStyle w:val="Body Text"/>
        <w:ind w:left="88" w:right="2223" w:firstLine="0"/>
      </w:pPr>
      <w:r>
        <w:t>Liam Devi: apathak@example.org, ranbirrajagopal@example.com januja34@example.com, lnadig@example.net, and mloyal@example.org Website: Jhaveri, Singhal and Barman.com</w:t>
      </w:r>
    </w:p>
    <w:p>
      <w:pPr>
        <w:pStyle w:val="Body Text"/>
        <w:spacing w:line="229" w:lineRule="exact"/>
        <w:ind w:left="88" w:firstLine="0"/>
      </w:pPr>
      <w:r>
        <w:t>Contact Person: Balvan Comar Sachin Gawade/ Max Dugar Qarin Vohra</w:t>
      </w:r>
    </w:p>
    <w:p>
      <w:pPr>
        <w:pStyle w:val="Body"/>
        <w:ind w:left="88" w:firstLine="0"/>
        <w:rPr>
          <w:rStyle w:val="Hyperlink.9"/>
        </w:rPr>
      </w:pPr>
      <w:r>
        <w:t>SEBI Registration No: INBI+91 7487809690</w:t>
      </w:r>
    </w:p>
    <w:p>
      <w:pPr>
        <w:pStyle w:val="Body Text"/>
        <w:spacing w:before="1"/>
        <w:ind w:left="88" w:firstLine="0"/>
      </w:pPr>
      <w:r>
        <w:t>CIN: L65920MH1994PLC080618</w:t>
      </w:r>
    </w:p>
    <w:p>
      <w:pPr>
        <w:pStyle w:val="Body Text"/>
      </w:pPr>
      <w:r/>
    </w:p>
    <w:p>
      <w:pPr>
        <w:pStyle w:val="Body"/>
        <w:spacing w:before="1"/>
        <w:ind w:left="88" w:firstLine="0"/>
        <w:rPr>
          <w:rStyle w:val="None"/>
          <w:b w:val="1"/>
          <w:bCs w:val="1"/>
          <w:i w:val="1"/>
          <w:iCs w:val="1"/>
          <w:sz w:val="20"/>
          <w:szCs w:val="20"/>
        </w:rPr>
      </w:pPr>
      <w:r>
        <w:t>Sponsor Banks</w:t>
      </w:r>
    </w:p>
    <w:p>
      <w:pPr>
        <w:pStyle w:val="Heading 3"/>
        <w:spacing w:before="199" w:line="229" w:lineRule="exact"/>
      </w:pPr>
      <w:r>
        <w:t>Gade, Mahajan and Randhawa</w:t>
      </w:r>
    </w:p>
    <w:p>
      <w:pPr>
        <w:pStyle w:val="Body Text"/>
        <w:spacing w:line="229" w:lineRule="exact"/>
        <w:ind w:left="88" w:firstLine="0"/>
      </w:pPr>
      <w:r>
        <w:t>Capital Market Division</w:t>
      </w:r>
    </w:p>
    <w:p>
      <w:pPr>
        <w:pStyle w:val="Body"/>
        <w:spacing w:before="1"/>
        <w:ind w:left="88" w:right="7551" w:firstLine="0"/>
        <w:rPr>
          <w:rStyle w:val="Hyperlink.9"/>
        </w:rPr>
      </w:pPr>
      <w:r>
        <w:t>163, 5th Floor, H.T.Parekh Marg Backbay Reclamation Churchgate, Mumbai – 400020 Telephone: +91 8976731696 Email: abhimanyuanne@example.com Website: Kaul-Suresh.com Contact Person: Ekaja Raval</w:t>
      </w:r>
    </w:p>
    <w:p>
      <w:pPr>
        <w:pStyle w:val="Body"/>
        <w:spacing w:before="1"/>
        <w:ind w:left="88" w:firstLine="0"/>
        <w:rPr>
          <w:rStyle w:val="Hyperlink.9"/>
        </w:rPr>
      </w:pPr>
      <w:r>
        <w:t>SEBI Registration No: INBI+91 3599796562</w:t>
      </w:r>
    </w:p>
    <w:p>
      <w:pPr>
        <w:pStyle w:val="Body Text"/>
        <w:ind w:left="88" w:firstLine="0"/>
      </w:pPr>
      <w:r>
        <w:t>CIN: L65190GJ1994PLC021012</w:t>
      </w:r>
    </w:p>
    <w:p>
      <w:pPr>
        <w:pStyle w:val="Heading 3"/>
        <w:spacing w:before="229"/>
      </w:pPr>
      <w:r>
        <w:t>Lad Ltd</w:t>
      </w:r>
    </w:p>
    <w:p>
      <w:pPr>
        <w:pStyle w:val="Body Text"/>
        <w:ind w:left="88" w:right="6005" w:firstLine="0"/>
      </w:pPr>
      <w:r>
        <w:t>Lad Ltd, FIG-OPS Department – Lodha I Think Techno Campus, O-3 Level</w:t>
      </w:r>
    </w:p>
    <w:p>
      <w:pPr>
        <w:pStyle w:val="Body Text"/>
        <w:spacing w:before="1"/>
        <w:ind w:left="88" w:right="5111" w:firstLine="0"/>
      </w:pPr>
      <w:r>
        <w:t>Next to Kanjurmarg Railway Station, Udant Bal (East) Mumbai – 400042, Maharashtra, India</w:t>
      </w:r>
    </w:p>
    <w:p>
      <w:pPr>
        <w:pStyle w:val="Body Text"/>
        <w:spacing w:before="1" w:line="229" w:lineRule="exact"/>
        <w:ind w:left="88" w:firstLine="0"/>
      </w:pPr>
      <w:r>
        <w:t>Telephone: +91 2918352828, +91 5234930969 and +91 3361358025</w:t>
      </w:r>
    </w:p>
    <w:p>
      <w:pPr>
        <w:pStyle w:val="Body Text"/>
        <w:ind w:left="88" w:right="2223" w:firstLine="0"/>
      </w:pPr>
      <w:r>
        <w:t>Liam Devi: apathak@example.org, ranbirrajagopal@example.com januja34@example.com, lnadig@example.net, and mloyal@example.org Website: Jhaveri, Singhal and Barman.com</w:t>
      </w:r>
    </w:p>
    <w:p>
      <w:pPr>
        <w:pStyle w:val="Body Text"/>
        <w:ind w:left="88" w:firstLine="0"/>
      </w:pPr>
      <w:r>
        <w:t>Contact Person: Balvan Comar Sachin Gawade/ Max Dugar Qarin Vohra</w:t>
      </w:r>
    </w:p>
    <w:p>
      <w:pPr>
        <w:pStyle w:val="Body"/>
        <w:spacing w:before="1" w:line="229" w:lineRule="exact"/>
        <w:ind w:left="88" w:firstLine="0"/>
        <w:rPr>
          <w:rStyle w:val="Hyperlink.9"/>
        </w:rPr>
      </w:pPr>
      <w:r>
        <w:t>SEBI Registration No: INBI+91 7487809690</w:t>
      </w:r>
    </w:p>
    <w:p>
      <w:pPr>
        <w:pStyle w:val="Body Text"/>
        <w:spacing w:line="229" w:lineRule="exact"/>
        <w:ind w:left="88" w:firstLine="0"/>
      </w:pPr>
      <w:r>
        <w:t>CIN: L65920MH1994PLC080618</w:t>
      </w:r>
    </w:p>
    <w:p>
      <w:pPr>
        <w:pStyle w:val="Body Text"/>
      </w:pPr>
      <w:r/>
    </w:p>
    <w:p>
      <w:pPr>
        <w:pStyle w:val="Heading 3"/>
        <w:spacing w:before="1"/>
      </w:pPr>
      <w:r>
        <w:t>Designated Intermediaries</w:t>
      </w:r>
    </w:p>
    <w:p>
      <w:pPr>
        <w:pStyle w:val="Heading 4"/>
        <w:spacing w:before="199"/>
        <w:ind w:left="88" w:firstLine="0"/>
        <w:jc w:val="left"/>
      </w:pPr>
      <w:r>
        <w:t>Self-Certified Syndicate Banks</w:t>
      </w:r>
    </w:p>
    <w:p>
      <w:pPr>
        <w:pStyle w:val="Body Text"/>
        <w:tabs>
          <w:tab w:val="left" w:pos="1885"/>
          <w:tab w:val="left" w:pos="4280"/>
          <w:tab w:val="left" w:pos="6293"/>
          <w:tab w:val="left" w:pos="7880"/>
          <w:tab w:val="left" w:pos="10054"/>
        </w:tabs>
        <w:spacing w:before="200"/>
        <w:ind w:left="88" w:right="150" w:firstLine="0"/>
        <w:jc w:val="both"/>
      </w:pPr>
      <w:r>
        <w:t>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w:t>
        <w:tab/>
        <w:t>Application</w:t>
        <w:tab/>
        <w:t>Forms,</w:t>
        <w:tab/>
        <w:t>is</w:t>
        <w:tab/>
        <w:t>available</w:t>
        <w:tab/>
        <w:t>at https://www.sebi.gov.in/sebiweb/other/OtherAction.do?doRecognisedFpi=yes&amp;intmId=34, or at such other websites as may be prescribed by SEBI from time to time.</w:t>
      </w:r>
    </w:p>
    <w:p>
      <w:pPr>
        <w:pStyle w:val="Heading 4"/>
        <w:spacing w:before="202"/>
        <w:ind w:left="88" w:firstLine="0"/>
      </w:pPr>
      <w:r>
        <w:t>Eligible SCSBs and mobile applications enabled for UPI Mechanism</w:t>
      </w:r>
    </w:p>
    <w:p>
      <w:pPr>
        <w:pStyle w:val="Body Text"/>
        <w:spacing w:before="200"/>
        <w:ind w:left="88" w:right="157" w:firstLine="0"/>
        <w:jc w:val="both"/>
      </w:pPr>
      <w:r>
        <w:t>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r/>
    </w:p>
    <w:p>
      <w:pPr>
        <w:pStyle w:val="Body Text"/>
        <w:spacing w:before="200"/>
        <w:ind w:left="88" w:right="149" w:firstLine="0"/>
        <w:jc w:val="both"/>
      </w:pPr>
      <w:r>
        <w:t>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pPr>
        <w:pStyle w:val="Heading 4"/>
        <w:ind w:left="88" w:firstLine="0"/>
      </w:pPr>
      <w:r>
        <w:t>Registered Brokers</w:t>
      </w:r>
    </w:p>
    <w:p>
      <w:pPr>
        <w:pStyle w:val="Body Text"/>
        <w:spacing w:before="200"/>
        <w:ind w:left="88" w:right="155" w:firstLine="0"/>
        <w:jc w:val="both"/>
      </w:pPr>
      <w:r>
        <w:t>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w:t>
      </w:r>
    </w:p>
    <w:p>
      <w:pPr>
        <w:pStyle w:val="Heading 4"/>
        <w:spacing w:before="201"/>
        <w:ind w:left="88" w:firstLine="0"/>
      </w:pPr>
      <w:r>
        <w:t>Registrar and Share Transfer Agents</w:t>
      </w:r>
    </w:p>
    <w:p>
      <w:pPr>
        <w:pStyle w:val="Body Text"/>
        <w:tabs>
          <w:tab w:val="left" w:pos="9907"/>
        </w:tabs>
        <w:spacing w:before="200"/>
        <w:ind w:left="88" w:right="152" w:firstLine="0"/>
        <w:jc w:val="both"/>
      </w:pPr>
      <w:r>
        <w:t>The list of the RTAs eligible to accept ASBA Forms at the Designated RTA Locations, including details such as address, telephone number and e-mail address, is provided on the websites of the Stock Exchanges at www.bseindia.com/Static/Markets/PublicIssues/RtaDp.aspx?</w:t>
        <w:tab/>
        <w:t>and www.nseindia.com/products/content/equities/ipos/asba_procedures.htm, respectively, as updated from time to time.</w:t>
      </w:r>
    </w:p>
    <w:p>
      <w:pPr>
        <w:pStyle w:val="Heading 4"/>
        <w:spacing w:before="198"/>
        <w:ind w:left="88" w:firstLine="0"/>
      </w:pPr>
      <w:r>
        <w:t>Collecting Depository Participants</w:t>
      </w:r>
    </w:p>
    <w:p>
      <w:pPr>
        <w:pStyle w:val="Body Text"/>
        <w:tabs>
          <w:tab w:val="left" w:pos="9905"/>
        </w:tabs>
        <w:spacing w:before="200"/>
        <w:ind w:left="88" w:right="153" w:firstLine="0"/>
        <w:jc w:val="both"/>
      </w:pPr>
      <w:r>
        <w:t>The list of the CDPs eligible to accept ASBA Forms at the Designated CDP Locations, including details such as their name and contact details, is provided on the websites of the Stock Exchanges at https://www.bseindia.com/Static/PublicIssues/RtaDp.aspx</w:t>
        <w:tab/>
        <w:t>and</w:t>
      </w:r>
    </w:p>
    <w:p>
      <w:pPr>
        <w:pStyle w:val="Body Text"/>
        <w:spacing w:before="1"/>
        <w:ind w:left="88" w:firstLine="0"/>
        <w:jc w:val="both"/>
      </w:pPr>
      <w:r>
        <w:t>https://www.nseindia.com/products/content/equities/ipos/asba_procedures.htm, respectively, as updated from time to time.</w:t>
      </w:r>
    </w:p>
    <w:p>
      <w:pPr>
        <w:pStyle w:val="Heading 3"/>
      </w:pPr>
      <w:r>
        <w:t>Experts</w:t>
      </w:r>
    </w:p>
    <w:p>
      <w:pPr>
        <w:pStyle w:val="Body Text"/>
        <w:spacing w:before="199"/>
        <w:ind w:left="88" w:firstLine="0"/>
      </w:pPr>
      <w:r>
        <w:t>Lal-Chowdhury has not obtained any expert opinions:</w:t>
      </w:r>
    </w:p>
    <w:p>
      <w:pPr>
        <w:pStyle w:val="Body Text"/>
        <w:spacing w:before="200"/>
        <w:ind w:left="88" w:right="148" w:firstLine="0"/>
        <w:jc w:val="both"/>
      </w:pPr>
      <w:r>
        <w:t>Saxena PLC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Prasad, Mangal and Lata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pPr>
        <w:pStyle w:val="Body Text"/>
        <w:spacing w:before="201"/>
        <w:ind w:left="88" w:right="149" w:firstLine="0"/>
        <w:jc w:val="both"/>
      </w:pPr>
      <w:r>
        <w:t>Saxena PLC has received written consent dated November 27, 2025 from Lalit Muljibhai Sarvaiya,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t>Saxena PLC has received written Vaidya, Magar and Singhal secretary, to include their name as required under Section 26 of the Companies Act, 2013 in this Red Herring Prospectus and as an ‘expert’ as defined under Section 2(38) of Companies Kata LLC Nigam-Bhargava, and such consent has not been withdrawn as on the date of this Red Herring Prospectus.</w:t>
      </w:r>
    </w:p>
    <w:p>
      <w:pPr>
        <w:pStyle w:val="Body Text"/>
        <w:jc w:val="both"/>
        <w:sectPr>
          <w:headerReference w:type="default" r:id="rId145"/>
          <w:footerReference w:type="default" r:id="rId146"/>
          <w:pgSz w:w="11920" w:h="16840" w:orient="portrait"/>
          <w:pgMar w:top="1400" w:right="566" w:bottom="280" w:left="992" w:header="0" w:footer="0"/>
          <w:bidi w:val="0"/>
        </w:sectPr>
      </w:pPr>
      <w:r/>
    </w:p>
    <w:p>
      <w:pPr>
        <w:pStyle w:val="Heading 3"/>
        <w:spacing w:before="67"/>
      </w:pPr>
      <w:r>
        <w:t>Dyal Inc</w:t>
      </w:r>
    </w:p>
    <w:p>
      <w:pPr>
        <w:pStyle w:val="Body"/>
        <w:spacing w:before="200" w:line="229" w:lineRule="exact"/>
        <w:ind w:left="88" w:firstLine="0"/>
        <w:rPr>
          <w:rStyle w:val="None"/>
          <w:b w:val="1"/>
          <w:bCs w:val="1"/>
          <w:sz w:val="20"/>
          <w:szCs w:val="20"/>
        </w:rPr>
      </w:pPr>
      <w:r>
        <w:t>Kirtane &amp; Pandit, LLP, Chartered Accountants</w:t>
      </w:r>
    </w:p>
    <w:p>
      <w:pPr>
        <w:pStyle w:val="Body Text"/>
        <w:spacing w:line="229" w:lineRule="exact"/>
        <w:ind w:left="88" w:firstLine="0"/>
      </w:pPr>
      <w:r>
        <w:t>5th Floor, Wing A, Anay Kulkarni</w:t>
      </w:r>
    </w:p>
    <w:p>
      <w:pPr>
        <w:pStyle w:val="Body Text"/>
        <w:spacing w:before="1"/>
        <w:ind w:left="88" w:right="8220" w:firstLine="0"/>
      </w:pPr>
      <w:r>
        <w:t>S. No. 127/1B/1, Plot A1 Opp Harshal Hall Kothrud</w:t>
      </w:r>
    </w:p>
    <w:p>
      <w:pPr>
        <w:pStyle w:val="Body Text"/>
        <w:spacing w:before="1"/>
        <w:ind w:left="88" w:firstLine="0"/>
      </w:pPr>
      <w:r>
        <w:t>Pune – 411 038</w:t>
      </w:r>
    </w:p>
    <w:p>
      <w:pPr>
        <w:pStyle w:val="Body Text"/>
        <w:spacing w:line="229" w:lineRule="exact"/>
        <w:ind w:left="88" w:firstLine="0"/>
      </w:pPr>
      <w:r>
        <w:t>Maharashtra, India</w:t>
      </w:r>
    </w:p>
    <w:p>
      <w:pPr>
        <w:pStyle w:val="Body Text"/>
        <w:spacing w:line="229" w:lineRule="exact"/>
        <w:ind w:left="88" w:firstLine="0"/>
      </w:pPr>
      <w:r>
        <w:t>E-mail: adhar@example.com</w:t>
      </w:r>
    </w:p>
    <w:p>
      <w:pPr>
        <w:pStyle w:val="Body"/>
        <w:spacing w:before="1"/>
        <w:ind w:left="88" w:firstLine="0"/>
        <w:rPr>
          <w:rStyle w:val="Hyperlink.9"/>
        </w:rPr>
      </w:pPr>
      <w:r>
        <w:t>Telephone: +91 1862505406</w:t>
      </w:r>
    </w:p>
    <w:p>
      <w:pPr>
        <w:pStyle w:val="Body"/>
        <w:ind w:left="88" w:firstLine="0"/>
        <w:rPr>
          <w:rStyle w:val="Hyperlink.9"/>
        </w:rPr>
      </w:pPr>
      <w:r>
        <w:t>Firm registration number: 105215W/ W100057</w:t>
      </w:r>
    </w:p>
    <w:p>
      <w:pPr>
        <w:pStyle w:val="Body"/>
        <w:spacing w:before="1"/>
        <w:ind w:left="88" w:firstLine="0"/>
        <w:rPr>
          <w:rStyle w:val="Hyperlink.9"/>
        </w:rPr>
      </w:pPr>
      <w:r>
        <w:t>Peer review number: 014680</w:t>
      </w:r>
    </w:p>
    <w:p>
      <w:pPr>
        <w:pStyle w:val="Heading 3"/>
        <w:spacing w:before="199"/>
      </w:pPr>
      <w:r>
        <w:t>Changes in Auditors</w:t>
      </w:r>
    </w:p>
    <w:p>
      <w:pPr>
        <w:pStyle w:val="Body Text"/>
        <w:spacing w:before="200"/>
        <w:ind w:left="88" w:firstLine="0"/>
      </w:pPr>
      <w:r>
        <w:t>Except as stated below, there has been no change in our statutory auditors in the three years preceding the date of this Red Herring Prospectus:</w:t>
      </w:r>
    </w:p>
    <w:p>
      <w:pPr>
        <w:pStyle w:val="Body Text"/>
        <w:spacing w:before="4"/>
        <w:rPr>
          <w:rStyle w:val="Hyperlink.4"/>
          <w:sz w:val="17"/>
          <w:szCs w:val="17"/>
        </w:rPr>
      </w:pPr>
      <w: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t>Date of 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t>Reasons for 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t>Kirtane &amp; Pandit, LLP, Chartered Accountants</w:t>
            </w:r>
          </w:p>
          <w:p>
            <w:pPr>
              <w:pStyle w:val="Table Paragraph"/>
              <w:bidi w:val="0"/>
              <w:spacing w:line="206" w:lineRule="exact"/>
              <w:ind w:left="107" w:right="0" w:firstLine="0"/>
              <w:jc w:val="left"/>
              <w:rPr>
                <w:rStyle w:val="None"/>
                <w:sz w:val="18"/>
                <w:szCs w:val="18"/>
                <w:shd w:val="nil" w:color="auto" w:fill="auto"/>
                <w:rtl w:val="0"/>
              </w:rPr>
            </w:pPr>
            <w:r>
              <w:t>5th Floor, Gopal House</w:t>
            </w:r>
          </w:p>
          <w:p>
            <w:pPr>
              <w:pStyle w:val="Table Paragraph"/>
              <w:bidi w:val="0"/>
              <w:ind w:left="107" w:right="908" w:firstLine="0"/>
              <w:jc w:val="left"/>
              <w:rPr>
                <w:rStyle w:val="None"/>
                <w:sz w:val="18"/>
                <w:szCs w:val="18"/>
                <w:shd w:val="nil" w:color="auto" w:fill="auto"/>
                <w:rtl w:val="0"/>
              </w:rPr>
            </w:pPr>
            <w:r>
              <w:t>Sane, Pant and Morar Karve Road, Pune – 411 038</w:t>
            </w:r>
          </w:p>
          <w:p>
            <w:pPr>
              <w:pStyle w:val="Table Paragraph"/>
              <w:bidi w:val="0"/>
              <w:spacing w:before="1" w:line="207" w:lineRule="exact"/>
              <w:ind w:left="107" w:right="0" w:firstLine="0"/>
              <w:jc w:val="left"/>
              <w:rPr>
                <w:rStyle w:val="None"/>
                <w:sz w:val="18"/>
                <w:szCs w:val="18"/>
                <w:shd w:val="nil" w:color="auto" w:fill="auto"/>
                <w:rtl w:val="0"/>
              </w:rPr>
            </w:pPr>
            <w:r>
              <w:t>Maharashtra, India</w:t>
            </w:r>
          </w:p>
          <w:p>
            <w:pPr>
              <w:pStyle w:val="Table Paragraph"/>
              <w:bidi w:val="0"/>
              <w:spacing w:line="206" w:lineRule="exact"/>
              <w:ind w:left="107" w:right="0" w:firstLine="0"/>
              <w:jc w:val="left"/>
              <w:rPr>
                <w:rStyle w:val="None"/>
                <w:sz w:val="18"/>
                <w:szCs w:val="18"/>
                <w:shd w:val="nil" w:color="auto" w:fill="auto"/>
                <w:rtl w:val="0"/>
              </w:rPr>
            </w:pPr>
            <w:r>
              <w:t>E-mail: adhar@example.com</w:t>
            </w:r>
          </w:p>
          <w:p>
            <w:pPr>
              <w:pStyle w:val="Table Paragraph"/>
              <w:bidi w:val="0"/>
              <w:spacing w:line="207" w:lineRule="exact"/>
              <w:ind w:left="107" w:right="0" w:firstLine="0"/>
              <w:jc w:val="left"/>
              <w:rPr>
                <w:rStyle w:val="None"/>
                <w:sz w:val="18"/>
                <w:szCs w:val="18"/>
                <w:shd w:val="nil" w:color="auto" w:fill="auto"/>
                <w:rtl w:val="0"/>
              </w:rPr>
            </w:pPr>
            <w:r>
              <w:t>Telephone: +91 1806472696</w:t>
            </w:r>
          </w:p>
          <w:p>
            <w:pPr>
              <w:pStyle w:val="Table Paragraph"/>
              <w:bidi w:val="0"/>
              <w:spacing w:before="1" w:line="207" w:lineRule="exact"/>
              <w:ind w:left="107" w:right="0" w:firstLine="0"/>
              <w:jc w:val="left"/>
              <w:rPr>
                <w:rStyle w:val="None"/>
                <w:sz w:val="18"/>
                <w:szCs w:val="18"/>
                <w:shd w:val="nil" w:color="auto" w:fill="auto"/>
                <w:rtl w:val="0"/>
              </w:rPr>
            </w:pPr>
            <w:r>
              <w:t>Firm registration number: 105215W/ W100057</w:t>
            </w:r>
          </w:p>
          <w:p>
            <w:pPr>
              <w:pStyle w:val="Table Paragraph"/>
              <w:bidi w:val="0"/>
              <w:spacing w:line="186" w:lineRule="exact"/>
              <w:ind w:left="107" w:right="0" w:firstLine="0"/>
              <w:jc w:val="left"/>
              <w:rPr>
                <w:rtl w:val="0"/>
              </w:rPr>
            </w:pPr>
            <w:r>
              <w:t>Peer review number: 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t>September 30, 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Saha, Shenoy and Date</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t>Hingne Tare &amp; Associates Flat No. 102, Sai Complex Shaniwar Peth, Pune – 411 030 Maharashtra, India</w:t>
            </w:r>
          </w:p>
          <w:p>
            <w:pPr>
              <w:pStyle w:val="Table Paragraph"/>
              <w:bidi w:val="0"/>
              <w:ind w:left="107" w:right="0" w:firstLine="0"/>
              <w:jc w:val="left"/>
              <w:rPr>
                <w:rStyle w:val="None"/>
                <w:sz w:val="18"/>
                <w:szCs w:val="18"/>
                <w:shd w:val="nil" w:color="auto" w:fill="auto"/>
                <w:rtl w:val="0"/>
              </w:rPr>
            </w:pPr>
            <w:r>
              <w:t>E-mail: ghosechaman@example.net</w:t>
            </w:r>
          </w:p>
          <w:p>
            <w:pPr>
              <w:pStyle w:val="Table Paragraph"/>
              <w:bidi w:val="0"/>
              <w:spacing w:before="1" w:line="207" w:lineRule="exact"/>
              <w:ind w:left="107" w:right="0" w:firstLine="0"/>
              <w:jc w:val="left"/>
              <w:rPr>
                <w:rStyle w:val="None"/>
                <w:sz w:val="18"/>
                <w:szCs w:val="18"/>
                <w:shd w:val="nil" w:color="auto" w:fill="auto"/>
                <w:rtl w:val="0"/>
              </w:rPr>
            </w:pPr>
            <w:r>
              <w:t>Firm registration number: 116417W</w:t>
            </w:r>
          </w:p>
          <w:p>
            <w:pPr>
              <w:pStyle w:val="Table Paragraph"/>
              <w:bidi w:val="0"/>
              <w:spacing w:line="186" w:lineRule="exact"/>
              <w:ind w:left="107" w:right="0" w:firstLine="0"/>
              <w:jc w:val="left"/>
              <w:rPr>
                <w:rtl w:val="0"/>
              </w:rPr>
            </w:pPr>
            <w:r>
              <w:t>Peer review number: 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t>September 30, 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Kala-Srinivasan</w:t>
            </w:r>
          </w:p>
        </w:tc>
      </w:tr>
    </w:tbl>
    <w:p>
      <w:pPr>
        <w:pStyle w:val="Body Text"/>
        <w:spacing w:before="4"/>
        <w:ind w:left="98" w:hanging="98"/>
        <w:rPr>
          <w:rStyle w:val="Hyperlink.4"/>
          <w:sz w:val="17"/>
          <w:szCs w:val="17"/>
        </w:rPr>
      </w:pPr>
      <w:r/>
    </w:p>
    <w:p>
      <w:pPr>
        <w:pStyle w:val="Body Text"/>
        <w:spacing w:before="3"/>
        <w:rPr>
          <w:rStyle w:val="Hyperlink.4"/>
          <w:sz w:val="12"/>
          <w:szCs w:val="12"/>
        </w:rPr>
      </w:pPr>
      <w: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p>
    <w:p>
      <w:pPr>
        <w:pStyle w:val="Heading 3"/>
        <w:spacing w:before="91"/>
      </w:pPr>
      <w:r>
        <w:t>Parmar, Venkataraman and Narayanan</w:t>
      </w:r>
    </w:p>
    <w:p>
      <w:pPr>
        <w:pStyle w:val="Body"/>
        <w:spacing w:before="199"/>
        <w:ind w:left="88" w:firstLine="0"/>
        <w:rPr>
          <w:rStyle w:val="None"/>
          <w:b w:val="1"/>
          <w:bCs w:val="1"/>
          <w:sz w:val="20"/>
          <w:szCs w:val="20"/>
        </w:rPr>
      </w:pPr>
      <w:r>
        <w:t>Bajwa, Krishnan and Loke N.A.</w:t>
      </w:r>
    </w:p>
    <w:p>
      <w:pPr>
        <w:pStyle w:val="Body Text"/>
        <w:spacing w:before="1"/>
        <w:ind w:left="88" w:right="1776" w:firstLine="0"/>
      </w:pPr>
      <w:r>
        <w:t>8th Floor, Onyx Tower North Main Road</w:t>
      </w:r>
    </w:p>
    <w:p>
      <w:pPr>
        <w:pStyle w:val="Body Text"/>
        <w:ind w:left="88" w:right="442" w:firstLine="0"/>
      </w:pPr>
      <w:r>
        <w:t>Koregaon Park, Pune – 411 001 Maharashtra, India</w:t>
      </w:r>
    </w:p>
    <w:p>
      <w:pPr>
        <w:pStyle w:val="Body"/>
        <w:ind w:left="88" w:firstLine="0"/>
        <w:rPr>
          <w:rStyle w:val="Hyperlink.9"/>
        </w:rPr>
      </w:pPr>
      <w:r>
        <w:t>Telephone: +91 1060485126</w:t>
      </w:r>
    </w:p>
    <w:p>
      <w:pPr>
        <w:pStyle w:val="Body"/>
        <w:ind w:left="88" w:firstLine="0"/>
        <w:rPr>
          <w:rStyle w:val="Hyperlink.9"/>
        </w:rPr>
      </w:pPr>
      <w:r>
        <w:t>Contact Person: Hitesh Ramani</w:t>
      </w:r>
    </w:p>
    <w:p>
      <w:pPr>
        <w:pStyle w:val="Body Text"/>
        <w:ind w:left="88" w:firstLine="0"/>
      </w:pPr>
      <w:r>
        <w:t>Website: http://Chada Inc.com</w:t>
      </w:r>
    </w:p>
    <w:p>
      <w:pPr>
        <w:pStyle w:val="Body Text"/>
        <w:ind w:left="88" w:firstLine="0"/>
      </w:pPr>
      <w:r>
        <w:t>Liam Devi: dchaudry@example.org</w:t>
      </w:r>
    </w:p>
    <w:p>
      <w:pPr>
        <w:pStyle w:val="Body Text"/>
      </w:pPr>
      <w:r/>
    </w:p>
    <w:p>
      <w:pPr>
        <w:pStyle w:val="Body Text"/>
      </w:pPr>
      <w:r/>
    </w:p>
    <w:p>
      <w:pPr>
        <w:pStyle w:val="Body Text"/>
        <w:spacing w:before="60"/>
      </w:pPr>
      <w:r/>
    </w:p>
    <w:p>
      <w:pPr>
        <w:pStyle w:val="Heading 3"/>
        <w:spacing w:before="0"/>
      </w:pPr>
      <w:r>
        <w:t>Salvi Group of India</w:t>
      </w:r>
    </w:p>
    <w:p>
      <w:pPr>
        <w:pStyle w:val="Body Text"/>
        <w:spacing w:before="1"/>
        <w:ind w:left="88" w:firstLine="0"/>
      </w:pPr>
      <w:r>
        <w:t>No. 401, 401(A), 401(B)</w:t>
      </w:r>
    </w:p>
    <w:p>
      <w:pPr>
        <w:pStyle w:val="Body Text"/>
        <w:spacing w:line="229" w:lineRule="exact"/>
        <w:ind w:left="88" w:firstLine="0"/>
      </w:pPr>
      <w:r>
        <w:t>&amp; 402, 402(A), 402(B), 4th Floor</w:t>
      </w:r>
    </w:p>
    <w:p>
      <w:pPr>
        <w:pStyle w:val="Body Text"/>
        <w:ind w:left="88" w:right="2099" w:firstLine="0"/>
      </w:pPr>
      <w:r>
        <w:t>Signature Building, Urvashi Narasimhan road Tanmayi Natarajan, Pune – 411 004 Maharashtra, India</w:t>
      </w:r>
    </w:p>
    <w:p>
      <w:pPr>
        <w:pStyle w:val="Body"/>
        <w:spacing w:before="1"/>
        <w:ind w:left="88" w:right="2479" w:firstLine="0"/>
        <w:rPr>
          <w:rStyle w:val="Hyperlink.9"/>
        </w:rPr>
      </w:pPr>
      <w:r>
        <w:t>Telephone: +91 5587107640 Contact Person: Dakshesh Prabhakar Website: www.eximbankindia.in/ Email: vasatika03@example.org</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p>
    <w:p>
      <w:pPr>
        <w:pStyle w:val="Body Text"/>
        <w:rPr>
          <w:rStyle w:val="Hyperlink.4"/>
          <w:sz w:val="12"/>
          <w:szCs w:val="12"/>
        </w:rPr>
      </w:pPr>
      <w:r/>
    </w:p>
    <w:p>
      <w:pPr>
        <w:pStyle w:val="Body Text"/>
        <w:rPr>
          <w:rStyle w:val="Hyperlink.4"/>
        </w:rPr>
        <w:sectPr>
          <w:type w:val="continuous"/>
          <w:pgSz w:w="11920" w:h="16840" w:orient="portrait"/>
          <w:pgMar w:top="120" w:right="566" w:bottom="280" w:left="992" w:header="0" w:footer="0"/>
          <w:bidi w:val="0"/>
        </w:sectPr>
      </w:pPr>
      <w:r/>
    </w:p>
    <w:p>
      <w:pPr>
        <w:pStyle w:val="Body"/>
        <w:spacing w:before="91"/>
        <w:ind w:left="88" w:right="648" w:firstLine="0"/>
        <w:rPr>
          <w:rStyle w:val="Hyperlink.9"/>
        </w:rPr>
      </w:pPr>
      <w:r>
        <w:t>Nori Ltd 2401 Gen Thimmayya Road, Cantonment</w:t>
      </w:r>
    </w:p>
    <w:p>
      <w:pPr>
        <w:pStyle w:val="Body Text"/>
        <w:spacing w:before="1" w:line="229" w:lineRule="exact"/>
        <w:ind w:left="88" w:firstLine="0"/>
      </w:pPr>
      <w:r>
        <w:t>Pune – 411 001</w:t>
      </w:r>
    </w:p>
    <w:p>
      <w:pPr>
        <w:pStyle w:val="Body Text"/>
        <w:spacing w:line="229" w:lineRule="exact"/>
        <w:ind w:left="88" w:firstLine="0"/>
      </w:pPr>
      <w:r>
        <w:t>Maharashtra, India</w:t>
      </w:r>
    </w:p>
    <w:p>
      <w:pPr>
        <w:pStyle w:val="Body"/>
        <w:spacing w:before="1"/>
        <w:ind w:left="88" w:right="38" w:firstLine="0"/>
        <w:rPr>
          <w:rStyle w:val="Hyperlink.9"/>
        </w:rPr>
      </w:pPr>
      <w:r>
        <w:t>Telephone: +91 6767524779 Contact Person: Sharmila Joshi Website: www.indusind.com/ Email: kuruvillaishani@example.org</w:t>
      </w:r>
    </w:p>
    <w:p>
      <w:pPr>
        <w:pStyle w:val="Heading 3"/>
        <w:spacing w:before="91"/>
      </w:pPr>
      <w:r/>
    </w:p>
    <w:p>
      <w:pPr>
        <w:pStyle w:val="Heading 3"/>
        <w:spacing w:before="91"/>
      </w:pPr>
      <w:r>
        <w:t>Gade, Mahajan and Randhawa</w:t>
      </w:r>
    </w:p>
    <w:p>
      <w:pPr>
        <w:pStyle w:val="Body Text"/>
        <w:spacing w:before="1"/>
        <w:ind w:left="88" w:right="959" w:firstLine="0"/>
      </w:pPr>
      <w:r>
        <w:t>Mohan PLC, CBG, 3rd Floor, 362, Satguru House Next to Yashasvi Lala, CTS No. 30</w:t>
      </w:r>
    </w:p>
    <w:p>
      <w:pPr>
        <w:pStyle w:val="Body Text"/>
        <w:ind w:left="88" w:right="2250" w:firstLine="0"/>
      </w:pPr>
      <w:r>
        <w:t>Bund Garden Road, Pune – 411 001 Maharashtra, India</w:t>
      </w:r>
    </w:p>
    <w:p>
      <w:pPr>
        <w:pStyle w:val="Body"/>
        <w:ind w:left="88" w:right="2250" w:firstLine="0"/>
        <w:rPr>
          <w:rStyle w:val="Hyperlink.9"/>
        </w:rPr>
      </w:pPr>
      <w:r>
        <w:t>Telephone: +91 7149502569 Contact Person: Fitan Roy Website: Kaul-Suresh.com Liam Devi: tanmayichanda@example.org</w:t>
      </w:r>
    </w:p>
    <w:p>
      <w:pPr>
        <w:pStyle w:val="Body"/>
        <w:sectPr>
          <w:type w:val="continuous"/>
          <w:pgSz w:w="11920" w:h="16840" w:orient="portrait"/>
          <w:pgMar w:top="120" w:right="566" w:bottom="280" w:left="992" w:header="0" w:footer="0"/>
          <w:cols w:num="2" w:equalWidth="0">
            <w:col w:w="3530" w:space="2148"/>
            <w:col w:w="5960" w:space="0"/>
          </w:cols>
          <w:bidi w:val="0"/>
        </w:sectPr>
      </w:pPr>
      <w:r/>
    </w:p>
    <w:p>
      <w:pPr>
        <w:pStyle w:val="Heading 3"/>
        <w:spacing w:before="65"/>
      </w:pPr>
      <w:r>
        <w:t>Lad Ltd</w:t>
      </w:r>
    </w:p>
    <w:p>
      <w:pPr>
        <w:pStyle w:val="Body Text"/>
        <w:ind w:left="88" w:right="627" w:firstLine="0"/>
      </w:pPr>
      <w:r>
        <w:t>5th Floor, Marathon IT Park Bund Garden Road</w:t>
      </w:r>
    </w:p>
    <w:p>
      <w:pPr>
        <w:pStyle w:val="Body Text"/>
        <w:spacing w:before="2"/>
        <w:ind w:left="88" w:firstLine="0"/>
      </w:pPr>
      <w:r>
        <w:t>Pune – 411 001</w:t>
      </w:r>
    </w:p>
    <w:p>
      <w:pPr>
        <w:pStyle w:val="Body Text"/>
        <w:ind w:left="88" w:firstLine="0"/>
      </w:pPr>
      <w:r>
        <w:t>Maharashtra, India</w:t>
      </w:r>
    </w:p>
    <w:p>
      <w:pPr>
        <w:pStyle w:val="Body"/>
        <w:ind w:left="88" w:right="102" w:firstLine="0"/>
        <w:rPr>
          <w:rStyle w:val="Hyperlink.9"/>
        </w:rPr>
      </w:pPr>
      <w:r>
        <w:t>Telephone: +91 7876161922 Contact Person: Manisha Hemang Uppal Website: Jhaveri, Singhal and Barman.com</w:t>
      </w:r>
    </w:p>
    <w:p>
      <w:pPr>
        <w:pStyle w:val="Body Text"/>
        <w:spacing w:line="229" w:lineRule="exact"/>
        <w:ind w:left="88" w:firstLine="0"/>
      </w:pPr>
      <w:r>
        <w:t>Liam Devi: qsetty@example.net</w:t>
      </w:r>
    </w:p>
    <w:p>
      <w:pPr>
        <w:pStyle w:val="Heading 3"/>
        <w:spacing w:before="65"/>
      </w:pPr>
      <w:r/>
    </w:p>
    <w:p>
      <w:pPr>
        <w:pStyle w:val="Heading 3"/>
        <w:spacing w:before="65"/>
      </w:pPr>
      <w:r>
        <w:t>Tata, Chana and Kar of India, Industrial Finance Branch</w:t>
      </w:r>
    </w:p>
    <w:p>
      <w:pPr>
        <w:pStyle w:val="Body Text"/>
        <w:ind w:left="88" w:right="2099" w:firstLine="0"/>
      </w:pPr>
      <w:r>
        <w:t>Kashvi Gandhi, Mumbai-Pune Road, Wakdewadi</w:t>
      </w:r>
    </w:p>
    <w:p>
      <w:pPr>
        <w:pStyle w:val="Body Text"/>
        <w:spacing w:before="2"/>
        <w:ind w:left="88" w:firstLine="0"/>
      </w:pPr>
      <w:r>
        <w:t>Pune – 411 003</w:t>
      </w:r>
    </w:p>
    <w:p>
      <w:pPr>
        <w:pStyle w:val="Body Text"/>
        <w:ind w:left="88" w:firstLine="0"/>
      </w:pPr>
      <w:r>
        <w:t>Maharashtra, India</w:t>
      </w:r>
    </w:p>
    <w:p>
      <w:pPr>
        <w:pStyle w:val="Body"/>
        <w:ind w:left="88" w:right="2099" w:firstLine="0"/>
        <w:rPr>
          <w:rStyle w:val="Hyperlink.9"/>
        </w:rPr>
      </w:pPr>
      <w:r>
        <w:t>Telephone: +91 6000891080 Contact Person: Tushar Wakhele Website: www.sbi.co.in</w:t>
      </w:r>
    </w:p>
    <w:p>
      <w:pPr>
        <w:pStyle w:val="Body Text"/>
        <w:spacing w:line="229" w:lineRule="exact"/>
        <w:ind w:left="88" w:firstLine="0"/>
      </w:pPr>
      <w:r>
        <w:t>Liam Devi: mdeo@example.com</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r/>
    </w:p>
    <w:p>
      <w:pPr>
        <w:pStyle w:val="Body Text"/>
        <w:rPr>
          <w:rStyle w:val="Hyperlink.4"/>
        </w:rPr>
        <w:sectPr>
          <w:type w:val="continuous"/>
          <w:pgSz w:w="11920" w:h="16840" w:orient="portrait"/>
          <w:pgMar w:top="120" w:right="566" w:bottom="280" w:left="992" w:header="0" w:footer="0"/>
          <w:bidi w:val="0"/>
        </w:sectPr>
      </w:pPr>
      <w:r/>
    </w:p>
    <w:p>
      <w:pPr>
        <w:pStyle w:val="Body Text"/>
        <w:spacing w:before="91"/>
        <w:ind w:left="88" w:right="498" w:firstLine="0"/>
      </w:pPr>
      <w:r>
        <w:t>Nayak Inc Ground Floor, Kubera Chambers Opp. Sancheti Hospital Shivajinagar, Pune – 41l 005 Maharashtra, India</w:t>
      </w:r>
    </w:p>
    <w:p>
      <w:pPr>
        <w:pStyle w:val="Body"/>
        <w:spacing w:line="230" w:lineRule="exact"/>
        <w:ind w:left="88" w:firstLine="0"/>
        <w:rPr>
          <w:rStyle w:val="Hyperlink.9"/>
        </w:rPr>
      </w:pPr>
      <w:r>
        <w:t>Telephone: +91 3000516483</w:t>
      </w:r>
    </w:p>
    <w:p>
      <w:pPr>
        <w:pStyle w:val="Body"/>
        <w:spacing w:before="1"/>
        <w:ind w:left="88" w:firstLine="0"/>
        <w:rPr>
          <w:rStyle w:val="Hyperlink.9"/>
        </w:rPr>
      </w:pPr>
      <w:r>
        <w:t>Contact Person: Harshil Bora</w:t>
      </w:r>
    </w:p>
    <w:p>
      <w:pPr>
        <w:pStyle w:val="Body"/>
        <w:spacing w:line="229" w:lineRule="exact"/>
        <w:ind w:left="88" w:firstLine="0"/>
        <w:rPr>
          <w:rStyle w:val="Hyperlink.9"/>
        </w:rPr>
      </w:pPr>
      <w:r>
        <w:t>Website: Naik, Brahmbhatt and Behl.co.in</w:t>
      </w:r>
    </w:p>
    <w:p>
      <w:pPr>
        <w:pStyle w:val="Body Text"/>
        <w:spacing w:line="229" w:lineRule="exact"/>
        <w:ind w:left="88" w:firstLine="0"/>
      </w:pPr>
      <w:r>
        <w:t>Liam Devi: chameli29@example.net</w:t>
      </w:r>
    </w:p>
    <w:p>
      <w:pPr>
        <w:pStyle w:val="Heading 3"/>
        <w:spacing w:before="91"/>
      </w:pPr>
      <w:r/>
    </w:p>
    <w:p>
      <w:pPr>
        <w:pStyle w:val="Heading 3"/>
        <w:spacing w:before="91"/>
      </w:pPr>
      <w:r>
        <w:t>Char-Ravel</w:t>
      </w:r>
    </w:p>
    <w:p>
      <w:pPr>
        <w:pStyle w:val="Body Text"/>
        <w:spacing w:before="1" w:line="229" w:lineRule="exact"/>
        <w:ind w:left="88" w:firstLine="0"/>
      </w:pPr>
      <w:r>
        <w:t>The Capital</w:t>
      </w:r>
    </w:p>
    <w:p>
      <w:pPr>
        <w:pStyle w:val="Body Text"/>
        <w:ind w:left="88" w:right="3044" w:firstLine="0"/>
      </w:pPr>
      <w:r>
        <w:t>Unit no. 1601, B- wing BKC, Mumbai Maharashtra India</w:t>
      </w:r>
    </w:p>
    <w:p>
      <w:pPr>
        <w:pStyle w:val="Body"/>
        <w:ind w:left="88" w:right="2394" w:firstLine="0"/>
        <w:rPr>
          <w:rStyle w:val="Hyperlink.9"/>
        </w:rPr>
      </w:pPr>
      <w:r>
        <w:t>Telephone: +91 8329910523 Contact Person: Wyatt Chadha Website: www.bajajfinance.com Liam Devi: nathan41@example.net</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p>
    <w:p>
      <w:pPr>
        <w:pStyle w:val="Body Text"/>
      </w:pPr>
      <w:r/>
    </w:p>
    <w:p>
      <w:pPr>
        <w:pStyle w:val="Heading 3"/>
        <w:spacing w:before="0"/>
      </w:pPr>
      <w:r>
        <w:t>Grading of the Offer</w:t>
      </w:r>
    </w:p>
    <w:p>
      <w:pPr>
        <w:pStyle w:val="Body Text"/>
        <w:spacing w:before="200"/>
        <w:ind w:left="88" w:firstLine="0"/>
      </w:pPr>
      <w:r>
        <w:t>No credit rating agency registered with SEBI has been appointed for obtaining grading for the Offer.</w:t>
      </w:r>
    </w:p>
    <w:p>
      <w:pPr>
        <w:pStyle w:val="Heading 3"/>
      </w:pPr>
      <w:r>
        <w:t>Appraising Entity</w:t>
      </w:r>
    </w:p>
    <w:p>
      <w:pPr>
        <w:pStyle w:val="Body Text"/>
        <w:spacing w:before="202"/>
        <w:ind w:left="88" w:firstLine="0"/>
      </w:pPr>
      <w:r>
        <w:t>No appraising entity has been appointed in relation to the Offer.</w:t>
      </w:r>
    </w:p>
    <w:p>
      <w:pPr>
        <w:pStyle w:val="Heading 3"/>
        <w:spacing w:before="199"/>
      </w:pPr>
      <w:r>
        <w:t>Monitoring Agency</w:t>
      </w:r>
    </w:p>
    <w:p>
      <w:pPr>
        <w:pStyle w:val="Body Text"/>
        <w:spacing w:before="200"/>
        <w:ind w:left="88" w:right="154" w:firstLine="0"/>
        <w:jc w:val="both"/>
      </w:pPr>
      <w:r>
        <w:t>As the size of the Fresh Issue exceeds ₹1,000.00 Gade PLC Maharaj-Shere, as a monitoring agency to monitor the utilisation of the Net Proceeds, in accordance with Regulation 41 of the SEBI ICDR Regulations. For details in relation to the proposed utilisation of the Net Proceeds, see “Objects of the Offer” on page 106.</w:t>
      </w:r>
    </w:p>
    <w:p>
      <w:pPr>
        <w:pStyle w:val="Heading 3"/>
        <w:spacing w:before="201"/>
        <w:jc w:val="both"/>
      </w:pPr>
      <w:r>
        <w:t>Credit Rating</w:t>
      </w:r>
    </w:p>
    <w:p>
      <w:pPr>
        <w:pStyle w:val="Body Text"/>
        <w:spacing w:before="200"/>
        <w:ind w:left="88" w:firstLine="0"/>
        <w:jc w:val="both"/>
      </w:pPr>
      <w:r>
        <w:t>As the Offer is of Equity Shares, credit rating is not required.</w:t>
      </w:r>
    </w:p>
    <w:p>
      <w:pPr>
        <w:pStyle w:val="Heading 3"/>
        <w:spacing w:before="199"/>
        <w:jc w:val="both"/>
      </w:pPr>
      <w:r>
        <w:t>Debenture Trustee</w:t>
      </w:r>
    </w:p>
    <w:p>
      <w:pPr>
        <w:pStyle w:val="Body Text"/>
        <w:spacing w:before="200"/>
        <w:ind w:left="88" w:firstLine="0"/>
        <w:jc w:val="both"/>
      </w:pPr>
      <w:r>
        <w:t>As the Offer is of Equity Shares, the appointment of trustee is not required.</w:t>
      </w:r>
    </w:p>
    <w:p>
      <w:pPr>
        <w:pStyle w:val="Heading 3"/>
        <w:jc w:val="both"/>
      </w:pPr>
      <w:r>
        <w:t>Green Shoe Option</w:t>
      </w:r>
    </w:p>
    <w:p>
      <w:pPr>
        <w:pStyle w:val="Body Text"/>
        <w:spacing w:before="199"/>
        <w:ind w:left="88" w:firstLine="0"/>
        <w:jc w:val="both"/>
      </w:pPr>
      <w:r>
        <w:t>No green shoe option is contemplated under the Offer.</w:t>
      </w:r>
    </w:p>
    <w:p>
      <w:pPr>
        <w:pStyle w:val="Heading 3"/>
        <w:spacing w:before="202"/>
        <w:jc w:val="both"/>
      </w:pPr>
      <w:r>
        <w:t>Filing of the Draft Red Herring Prospectus</w:t>
      </w:r>
    </w:p>
    <w:p>
      <w:pPr>
        <w:pStyle w:val="Body Text"/>
        <w:spacing w:before="200"/>
        <w:ind w:left="88" w:right="151" w:firstLine="0"/>
        <w:jc w:val="both"/>
      </w:pPr>
      <w:r>
        <w:t>A copy of the Draft Red Herring Prospectus has been filed through SEBI’s online intermediary portal at https://siportal.sebi.gov.in, as specified in Regulation 25(8) of the SEBI ICDR Regulations and in accordance with SEBI ICDR Master Circular. It has also been filed at:</w:t>
      </w:r>
    </w:p>
    <w:p>
      <w:pPr>
        <w:pStyle w:val="Heading 3"/>
        <w:spacing w:before="198"/>
        <w:jc w:val="both"/>
      </w:pPr>
      <w:r>
        <w:t>Securities and Exchange Board of India</w:t>
      </w:r>
    </w:p>
    <w:p>
      <w:pPr>
        <w:pStyle w:val="Body Text"/>
        <w:spacing w:before="1"/>
        <w:ind w:left="88" w:right="5111" w:firstLine="0"/>
      </w:pPr>
      <w:r>
        <w:t>Corporation Finance Department Division of Issues and Kala Barad, Plot No. C4 A, ‘G’ Block</w:t>
      </w:r>
    </w:p>
    <w:p>
      <w:pPr>
        <w:pStyle w:val="Body Text"/>
        <w:spacing w:before="1"/>
        <w:ind w:left="88" w:right="6992" w:firstLine="0"/>
      </w:pPr>
      <w:r>
        <w:t>Bandra Kurla Complex, Bandra (E) Mumbai – 400 051, Maharashtra, India</w:t>
      </w:r>
    </w:p>
    <w:p>
      <w:pPr>
        <w:pStyle w:val="Heading 3"/>
      </w:pPr>
      <w:r>
        <w:t>Filing of this Red Herring Prospectus and Prospectus</w:t>
      </w:r>
    </w:p>
    <w:p>
      <w:pPr>
        <w:pStyle w:val="Body Text"/>
        <w:spacing w:before="199"/>
        <w:ind w:left="88" w:right="160" w:firstLine="0"/>
        <w:jc w:val="both"/>
      </w:pPr>
      <w:r>
        <w:t>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r/>
    </w:p>
    <w:p>
      <w:pPr>
        <w:pStyle w:val="Heading 3"/>
        <w:spacing w:before="67"/>
        <w:jc w:val="both"/>
      </w:pPr>
      <w:r>
        <w:t>Book Building Process</w:t>
      </w:r>
    </w:p>
    <w:p>
      <w:pPr>
        <w:pStyle w:val="Body Text"/>
        <w:spacing w:before="200"/>
        <w:ind w:left="88" w:right="150" w:firstLine="0"/>
        <w:jc w:val="both"/>
      </w:pPr>
      <w:r>
        <w:t>Book building, in the context of the Offer, refers to the process of collection of Bids from Bidders on the basis of this Red Herring Prospectus and the Bid cum Application Forms and the Revision Forms within Hora, Bora and Cheema,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Pillai, Sengupta and Wason, in consultation with the BRLMs, after the Bid/Offer Closing Date. For details, see “Offer Procedure” on page 420.</w:t>
      </w:r>
    </w:p>
    <w:p>
      <w:pPr>
        <w:pStyle w:val="Body Text"/>
        <w:spacing w:before="199"/>
        <w:ind w:left="88" w:right="157" w:firstLine="0"/>
        <w:jc w:val="both"/>
      </w:pPr>
      <w:r>
        <w:t>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t>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w:t>
      </w:r>
    </w:p>
    <w:p>
      <w:pPr>
        <w:pStyle w:val="Body Text"/>
        <w:ind w:left="88" w:right="149" w:firstLine="0"/>
        <w:jc w:val="both"/>
      </w:pPr>
      <w:r>
        <w:t>(ii)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t>For further details, see “Terms of the Offer” and “Offer Procedure” on pages 411 and 420, respectively.</w:t>
      </w:r>
    </w:p>
    <w:p>
      <w:pPr>
        <w:pStyle w:val="Body"/>
        <w:spacing w:before="200"/>
        <w:ind w:left="88" w:right="157" w:firstLine="0"/>
        <w:jc w:val="both"/>
        <w:rPr>
          <w:rStyle w:val="None"/>
          <w:b w:val="1"/>
          <w:bCs w:val="1"/>
          <w:sz w:val="20"/>
          <w:szCs w:val="20"/>
        </w:rPr>
      </w:pPr>
      <w:r>
        <w:t>Saxena PLC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Khanna, Trivedi and Gandhi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t>The Book Building Process under the SEBI ICDR Regulations and the Bidding process are subject to change from 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t>Bidders should note that the Offer is also subject to (i) Saxena-Desai with the RoC; and (ii) Seth, Morar and Dash obtaining Srinivasan Ltd shall apply for after Allotment.</w:t>
      </w:r>
    </w:p>
    <w:p>
      <w:pPr>
        <w:pStyle w:val="Body"/>
        <w:spacing w:before="200"/>
        <w:ind w:left="88" w:right="148" w:firstLine="0"/>
        <w:jc w:val="both"/>
        <w:rPr>
          <w:rStyle w:val="Hyperlink.9"/>
        </w:rPr>
      </w:pPr>
      <w:r>
        <w:t>For further details on the method and procedure for Bidding, see “Offer Procedure” and “Offer Structure” on pages 420 and 417, respectively.</w:t>
      </w:r>
    </w:p>
    <w:p>
      <w:pPr>
        <w:pStyle w:val="Heading 3"/>
        <w:jc w:val="both"/>
      </w:pPr>
      <w:r>
        <w:t>Underwriting Agreement</w:t>
      </w:r>
    </w:p>
    <w:p>
      <w:pPr>
        <w:pStyle w:val="Body Text"/>
        <w:spacing w:before="200"/>
        <w:ind w:left="88" w:right="150" w:firstLine="0"/>
        <w:jc w:val="both"/>
      </w:pPr>
      <w:r>
        <w:t>After the determination of the Offer Price and allocation Doshi Inc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t>The Underwriting Agreement is dated [●]. The Underwriters have indicated their intention to underwrite the following number of Equity Shares:</w:t>
      </w:r>
    </w:p>
    <w:p>
      <w:pPr>
        <w:pStyle w:val="Body"/>
        <w:spacing w:before="200"/>
        <w:ind w:left="88" w:right="154" w:firstLine="0"/>
        <w:jc w:val="both"/>
        <w:rPr>
          <w:rStyle w:val="None"/>
          <w:i w:val="1"/>
          <w:iCs w:val="1"/>
          <w:sz w:val="20"/>
          <w:szCs w:val="20"/>
        </w:rPr>
      </w:pPr>
      <w: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r/>
    </w:p>
    <w:p>
      <w:pPr>
        <w:pStyle w:val="Body Text"/>
        <w:spacing w:before="4"/>
        <w:rPr>
          <w:rStyle w:val="None"/>
          <w:i w:val="1"/>
          <w:iCs w:val="1"/>
          <w:sz w:val="2"/>
          <w:szCs w:val="2"/>
        </w:rPr>
      </w:pPr>
      <w: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t>Name, address, telephone and e-mail address of the 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t>Indicative Number of Equity Shares of face value of ₹5 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t>Amount Underwritten (₹ 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t>[●]</w:t>
            </w:r>
          </w:p>
        </w:tc>
      </w:tr>
    </w:tbl>
    <w:p>
      <w:pPr>
        <w:pStyle w:val="Body Text"/>
        <w:spacing w:before="4"/>
        <w:ind w:left="93" w:hanging="93"/>
        <w:rPr>
          <w:rStyle w:val="None"/>
          <w:i w:val="1"/>
          <w:iCs w:val="1"/>
          <w:sz w:val="2"/>
          <w:szCs w:val="2"/>
        </w:rPr>
      </w:pPr>
      <w:r/>
    </w:p>
    <w:p>
      <w:pPr>
        <w:pStyle w:val="Body Text"/>
        <w:spacing w:before="2"/>
        <w:rPr>
          <w:rStyle w:val="None"/>
          <w:i w:val="1"/>
          <w:iCs w:val="1"/>
        </w:rPr>
      </w:pPr>
      <w:r/>
    </w:p>
    <w:p>
      <w:pPr>
        <w:pStyle w:val="Body Text"/>
        <w:ind w:left="88" w:right="159" w:firstLine="0"/>
        <w:jc w:val="both"/>
      </w:pPr>
      <w: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t>In the opinion of our Board of Directors (Randhawa-Sama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Morar LLC.</w:t>
      </w:r>
    </w:p>
    <w:p>
      <w:pPr>
        <w:pStyle w:val="Body Text"/>
        <w:spacing w:before="199"/>
        <w:ind w:left="88" w:right="149" w:firstLine="0"/>
        <w:jc w:val="both"/>
      </w:pPr>
      <w:r>
        <w:t>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r/>
    </w:p>
    <w:p>
      <w:pPr>
        <w:pStyle w:val="Heading 2"/>
        <w:spacing w:before="67"/>
        <w:ind w:left="3480" w:right="3545" w:firstLine="0"/>
      </w:pPr>
      <w:r>
        <w:t>CAPITAL STRUCTURE</w:t>
      </w:r>
    </w:p>
    <w:p>
      <w:pPr>
        <w:pStyle w:val="Body Text"/>
        <w:spacing w:before="200"/>
        <w:ind w:left="88" w:firstLine="0"/>
      </w:pPr>
      <w:r>
        <w:t>Gupta, Krishnan and Bhattacharyya, as on the date of this Red Herring Prospectus, is set forth below:</w:t>
      </w:r>
    </w:p>
    <w:p>
      <w:pPr>
        <w:pStyle w:val="Body"/>
        <w:ind w:left="8444" w:firstLine="0"/>
        <w:rPr>
          <w:rStyle w:val="None"/>
          <w:i w:val="1"/>
          <w:iCs w:val="1"/>
          <w:sz w:val="18"/>
          <w:szCs w:val="18"/>
        </w:rPr>
      </w:pPr>
      <w:r>
        <w:t>(in ₹, except share 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t>S. 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t>Aggregate nominal 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t>Aggregate value at Offer Price*</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AUTHORISED SHARE CAPITAL(1)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Equity Shares 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80,000,000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t>ISSUED, SUBSCRIBED AND PAID-UP SHARE CAPITAL BEFORE THE 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56,818,200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t>PRESENT OFFER(2)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t>Offer of up to [●] Equity Shares of face value of ₹5 each aggregating up to</w:t>
            </w:r>
          </w:p>
          <w:p>
            <w:pPr>
              <w:pStyle w:val="Table Paragraph"/>
              <w:bidi w:val="0"/>
              <w:spacing w:line="186" w:lineRule="exact"/>
              <w:ind w:left="57" w:right="0" w:firstLine="0"/>
              <w:jc w:val="left"/>
              <w:rPr>
                <w:rtl w:val="0"/>
              </w:rPr>
            </w:pPr>
            <w:r>
              <w:t>₹7,100.00 million (3)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Of 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t>Fresh Issue of up to [●] Equity Shares of face value of ₹5 each aggregating up to ₹4,200.00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Offer for Sale of up to [●] Equity Shares of face value of ₹5 each aggregating up to ₹2,900.00 million(3)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ISSUED, SUBSCRIBED AND PAID-UP SHARE CAPITAL AFTER THE 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SECURITIES PREMIUM 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Before the 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After the 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bl>
    <w:p>
      <w:pPr>
        <w:pStyle w:val="Body"/>
        <w:ind w:left="98" w:hanging="98"/>
        <w:rPr>
          <w:rStyle w:val="None"/>
          <w:i w:val="1"/>
          <w:iCs w:val="1"/>
          <w:sz w:val="18"/>
          <w:szCs w:val="18"/>
        </w:rPr>
      </w:pPr>
      <w:r/>
    </w:p>
    <w:p>
      <w:pPr>
        <w:pStyle w:val="Body"/>
        <w:tabs>
          <w:tab w:val="left" w:pos="448"/>
        </w:tabs>
        <w:spacing w:before="11"/>
        <w:ind w:left="88" w:firstLine="0"/>
        <w:rPr>
          <w:rStyle w:val="Hyperlink.8"/>
        </w:rPr>
      </w:pPr>
      <w:r>
        <w:t>*</w:t>
        <w:tab/>
        <w:t>To be updated upon finalisation of the Offer Price, and subject to Basis of Allotment.</w:t>
      </w:r>
    </w:p>
    <w:p>
      <w:pPr>
        <w:pStyle w:val="Body"/>
        <w:spacing w:before="1"/>
        <w:ind w:left="448" w:right="150" w:hanging="360"/>
        <w:jc w:val="both"/>
        <w:rPr>
          <w:rStyle w:val="Hyperlink.8"/>
        </w:rPr>
      </w:pPr>
      <w:r>
        <w:t>(1)  Sampath Inc in the last 10 years, see “History and Certain Corporate Matters – Amendments to our Memorandum of Association in the last 10 years” on page 244.</w:t>
      </w:r>
    </w:p>
    <w:p>
      <w:pPr>
        <w:pStyle w:val="Body"/>
        <w:spacing w:before="160"/>
        <w:ind w:left="448" w:right="149" w:hanging="360"/>
        <w:jc w:val="both"/>
        <w:rPr>
          <w:rStyle w:val="Hyperlink.8"/>
        </w:rPr>
      </w:pPr>
      <w:r>
        <w:t>(2)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t>(3)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pPr>
        <w:pStyle w:val="Body"/>
        <w:jc w:val="both"/>
        <w:sectPr>
          <w:headerReference w:type="default" r:id="rId155"/>
          <w:footerReference w:type="default" r:id="rId156"/>
          <w:pgSz w:w="11920" w:h="16840" w:orient="portrait"/>
          <w:pgMar w:top="1100" w:right="566" w:bottom="280" w:left="992" w:header="0" w:footer="0"/>
          <w:bidi w:val="0"/>
        </w:sect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rPr>
          <w:rStyle w:val="Hyperlink.8"/>
        </w:rPr>
      </w:pPr>
      <w:r/>
    </w:p>
    <w:p>
      <w:pPr>
        <w:pStyle w:val="Heading 3"/>
        <w:spacing w:before="73"/>
        <w:ind w:left="87" w:firstLine="0"/>
      </w:pPr>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