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SpotLight Open RAN Dataset Documentation</w:t>
      </w:r>
    </w:p>
    <w:p>
      <w:pPr>
        <w:jc w:val="center"/>
      </w:pPr>
      <w:r>
        <w:rPr>
          <w:i/>
          <w:sz w:val="22"/>
        </w:rPr>
        <w:t>For the college project: LSTM Autoencoder-Based Persistent and Transient Anomaly Classification in Open RAN KPIs</w:t>
      </w:r>
    </w:p>
    <w:p>
      <w:pPr>
        <w:pStyle w:val="Heading1"/>
      </w:pPr>
      <w:r>
        <w:t>1. Dataset Links</w:t>
      </w:r>
    </w:p>
    <w:p>
      <w:r>
        <w:rPr>
          <w:b/>
        </w:rPr>
        <w:t xml:space="preserve">Google Drive dataset: </w:t>
      </w:r>
      <w:r>
        <w:t>https://drive.google.com/drive/folders/1x7WnU6q9EodacUdh3iXRmi9FWrMD3rME?usp=sharing</w:t>
      </w:r>
    </w:p>
    <w:p>
      <w:r>
        <w:rPr>
          <w:b/>
        </w:rPr>
        <w:t xml:space="preserve">Official GitHub repository: </w:t>
      </w:r>
      <w:r>
        <w:t>https://github.com/netsys-edinburgh/SpotLight</w:t>
      </w:r>
    </w:p>
    <w:p>
      <w:r>
        <w:rPr>
          <w:b/>
        </w:rPr>
        <w:t xml:space="preserve">Research paper: </w:t>
      </w:r>
      <w:r>
        <w:t>https://doi.org/10.1145/3636534.3649380</w:t>
      </w:r>
    </w:p>
    <w:p>
      <w:pPr>
        <w:pStyle w:val="Heading1"/>
      </w:pPr>
      <w:r>
        <w:t>2. Introduction</w:t>
      </w:r>
    </w:p>
    <w:p>
      <w:r>
        <w:t>SpotLight is a dataset intended for anomaly detection in Open Radio Access Network (Open RAN) systems. It contains baseline and anomalous KPI measurements from an indoor 5G testbed. The dataset can be used to study how network performance indicators behave during normal operation and under deliberately introduced anomalous conditions.</w:t>
      </w:r>
    </w:p>
    <w:p>
      <w:pPr>
        <w:pStyle w:val="Heading1"/>
      </w:pPr>
      <w:r>
        <w:t>3. Dataset Structure</w:t>
      </w:r>
    </w:p>
    <w:p>
      <w:r>
        <w:t>In the downloaded archives provided for this project, the Anomaly folder contains MAC, MIXED, NETWORK, PDCP, and RADIO subfolders. The Baseline folder contains 1UE, 5UE, and 7UE-Ping subfolders. These folder names are based on the screenshots of the downloaded dataset.</w:t>
      </w:r>
    </w:p>
    <w:tbl>
      <w:tblPr>
        <w:tblStyle w:val="LightShading-Accent1"/>
        <w:tblW w:type="auto" w:w="0"/>
        <w:jc w:val="center"/>
        <w:tblLook w:firstColumn="1" w:firstRow="1" w:lastColumn="0" w:lastRow="0" w:noHBand="0" w:noVBand="1" w:val="04A0"/>
      </w:tblPr>
      <w:tblGrid>
        <w:gridCol w:w="4968"/>
        <w:gridCol w:w="4968"/>
      </w:tblGrid>
      <w:tr>
        <w:tc>
          <w:tcPr>
            <w:tcW w:type="dxa" w:w="4968"/>
          </w:tcPr>
          <w:p>
            <w:r>
              <w:t>Folder</w:t>
            </w:r>
          </w:p>
        </w:tc>
        <w:tc>
          <w:tcPr>
            <w:tcW w:type="dxa" w:w="4968"/>
          </w:tcPr>
          <w:p>
            <w:r>
              <w:t>Meaning</w:t>
            </w:r>
          </w:p>
        </w:tc>
      </w:tr>
      <w:tr>
        <w:tc>
          <w:tcPr>
            <w:tcW w:type="dxa" w:w="4968"/>
            <w:vAlign w:val="center"/>
          </w:tcPr>
          <w:p>
            <w:r>
              <w:t>Baseline</w:t>
            </w:r>
          </w:p>
        </w:tc>
        <w:tc>
          <w:tcPr>
            <w:tcW w:type="dxa" w:w="4968"/>
            <w:vAlign w:val="center"/>
          </w:tcPr>
          <w:p>
            <w:r>
              <w:t>Measurements representing normal operation for the included traffic scenarios.</w:t>
            </w:r>
          </w:p>
        </w:tc>
      </w:tr>
      <w:tr>
        <w:tc>
          <w:tcPr>
            <w:tcW w:type="dxa" w:w="4968"/>
            <w:vAlign w:val="center"/>
          </w:tcPr>
          <w:p>
            <w:r>
              <w:t>Anomaly</w:t>
            </w:r>
          </w:p>
        </w:tc>
        <w:tc>
          <w:tcPr>
            <w:tcW w:type="dxa" w:w="4968"/>
            <w:vAlign w:val="center"/>
          </w:tcPr>
          <w:p>
            <w:r>
              <w:t>Measurements from scenarios containing anomalous or stressed network behavior.</w:t>
            </w:r>
          </w:p>
        </w:tc>
      </w:tr>
      <w:tr>
        <w:tc>
          <w:tcPr>
            <w:tcW w:type="dxa" w:w="4968"/>
            <w:vAlign w:val="center"/>
          </w:tcPr>
          <w:p>
            <w:r>
              <w:t>MAC</w:t>
            </w:r>
          </w:p>
        </w:tc>
        <w:tc>
          <w:tcPr>
            <w:tcW w:type="dxa" w:w="4968"/>
            <w:vAlign w:val="center"/>
          </w:tcPr>
          <w:p>
            <w:r>
              <w:t>Anomaly category associated with the Medium Access Control (MAC) scheduler.</w:t>
            </w:r>
          </w:p>
        </w:tc>
      </w:tr>
      <w:tr>
        <w:tc>
          <w:tcPr>
            <w:tcW w:type="dxa" w:w="4968"/>
            <w:vAlign w:val="center"/>
          </w:tcPr>
          <w:p>
            <w:r>
              <w:t>MIXED</w:t>
            </w:r>
          </w:p>
        </w:tc>
        <w:tc>
          <w:tcPr>
            <w:tcW w:type="dxa" w:w="4968"/>
            <w:vAlign w:val="center"/>
          </w:tcPr>
          <w:p>
            <w:r>
              <w:t>Scenarios combining multiple anomaly types.</w:t>
            </w:r>
          </w:p>
        </w:tc>
      </w:tr>
      <w:tr>
        <w:tc>
          <w:tcPr>
            <w:tcW w:type="dxa" w:w="4968"/>
            <w:vAlign w:val="center"/>
          </w:tcPr>
          <w:p>
            <w:r>
              <w:t>NETWORK</w:t>
            </w:r>
          </w:p>
        </w:tc>
        <w:tc>
          <w:tcPr>
            <w:tcW w:type="dxa" w:w="4968"/>
            <w:vAlign w:val="center"/>
          </w:tcPr>
          <w:p>
            <w:r>
              <w:t>Anomaly category associated with network/fronthaul behavior.</w:t>
            </w:r>
          </w:p>
        </w:tc>
      </w:tr>
      <w:tr>
        <w:tc>
          <w:tcPr>
            <w:tcW w:type="dxa" w:w="4968"/>
            <w:vAlign w:val="center"/>
          </w:tcPr>
          <w:p>
            <w:r>
              <w:t>PDCP</w:t>
            </w:r>
          </w:p>
        </w:tc>
        <w:tc>
          <w:tcPr>
            <w:tcW w:type="dxa" w:w="4968"/>
            <w:vAlign w:val="center"/>
          </w:tcPr>
          <w:p>
            <w:r>
              <w:t>Anomaly category associated with the Packet Data Convergence Protocol (PDCP) processing.</w:t>
            </w:r>
          </w:p>
        </w:tc>
      </w:tr>
      <w:tr>
        <w:tc>
          <w:tcPr>
            <w:tcW w:type="dxa" w:w="4968"/>
            <w:vAlign w:val="center"/>
          </w:tcPr>
          <w:p>
            <w:r>
              <w:t>RADIO</w:t>
            </w:r>
          </w:p>
        </w:tc>
        <w:tc>
          <w:tcPr>
            <w:tcW w:type="dxa" w:w="4968"/>
            <w:vAlign w:val="center"/>
          </w:tcPr>
          <w:p>
            <w:r>
              <w:t>Radio/physical-layer interference scenario.</w:t>
            </w:r>
          </w:p>
        </w:tc>
      </w:tr>
      <w:tr>
        <w:tc>
          <w:tcPr>
            <w:tcW w:type="dxa" w:w="4968"/>
            <w:vAlign w:val="center"/>
          </w:tcPr>
          <w:p>
            <w:r>
              <w:t>1UE</w:t>
            </w:r>
          </w:p>
        </w:tc>
        <w:tc>
          <w:tcPr>
            <w:tcW w:type="dxa" w:w="4968"/>
            <w:vAlign w:val="center"/>
          </w:tcPr>
          <w:p>
            <w:r>
              <w:t>Scenario involving one User Equipment (UE).</w:t>
            </w:r>
          </w:p>
        </w:tc>
      </w:tr>
      <w:tr>
        <w:tc>
          <w:tcPr>
            <w:tcW w:type="dxa" w:w="4968"/>
            <w:vAlign w:val="center"/>
          </w:tcPr>
          <w:p>
            <w:r>
              <w:t>5UE</w:t>
            </w:r>
          </w:p>
        </w:tc>
        <w:tc>
          <w:tcPr>
            <w:tcW w:type="dxa" w:w="4968"/>
            <w:vAlign w:val="center"/>
          </w:tcPr>
          <w:p>
            <w:r>
              <w:t>Scenario involving five UEs.</w:t>
            </w:r>
          </w:p>
        </w:tc>
      </w:tr>
      <w:tr>
        <w:tc>
          <w:tcPr>
            <w:tcW w:type="dxa" w:w="4968"/>
            <w:vAlign w:val="center"/>
          </w:tcPr>
          <w:p>
            <w:r>
              <w:t>7UE-Ping</w:t>
            </w:r>
          </w:p>
        </w:tc>
        <w:tc>
          <w:tcPr>
            <w:tcW w:type="dxa" w:w="4968"/>
            <w:vAlign w:val="center"/>
          </w:tcPr>
          <w:p>
            <w:r>
              <w:t>Scenario involving seven UEs generating ping traffic.</w:t>
            </w:r>
          </w:p>
        </w:tc>
      </w:tr>
    </w:tbl>
    <w:p>
      <w:pPr>
        <w:pStyle w:val="Heading1"/>
      </w:pPr>
      <w:r>
        <w:t>4. What Are KPIs?</w:t>
      </w:r>
    </w:p>
    <w:p>
      <w:r>
        <w:t>KPI stands for Key Performance Indicator. In a mobile network, KPIs are measurements used to understand network behavior and performance. Depending on the file and schema, the dataset can include radio, platform, and network measurements. Examples discussed in the SpotLight documentation and paper include signal quality, resource use, block-error indicators, thread/platform behavior, fronthaul traffic, and timing measurements. Check the supplied schema files to confirm the exact column names and units in each file.</w:t>
      </w:r>
    </w:p>
    <w:p>
      <w:pPr>
        <w:pStyle w:val="Heading1"/>
      </w:pPr>
      <w:r>
        <w:t>5. Purpose of the Dataset in This Project</w:t>
      </w:r>
    </w:p>
    <w:p>
      <w:r>
        <w:t>The aim is to train an LSTM Autoencoder to learn patterns in normal KPI time series and then detect windows that differ significantly from those learned patterns. Baseline data can be used for training, while anomalous data can be used for testing and evaluation. Data should be inspected and split carefully to avoid mixing overlapping time windows from the same run across training and test sets.</w:t>
      </w:r>
    </w:p>
    <w:p>
      <w:pPr>
        <w:pStyle w:val="Heading1"/>
      </w:pPr>
      <w:r>
        <w:t>6. Proposed Workflow</w:t>
      </w:r>
    </w:p>
    <w:p>
      <w:pPr>
        <w:pStyle w:val="ListNumber"/>
      </w:pPr>
      <w:r>
        <w:t>Inspect the file formats, timestamps, KPI columns, and any label files.</w:t>
      </w:r>
    </w:p>
    <w:p>
      <w:pPr>
        <w:pStyle w:val="ListNumber"/>
      </w:pPr>
      <w:r>
        <w:t>Clean the data and handle missing or invalid values.</w:t>
      </w:r>
    </w:p>
    <w:p>
      <w:pPr>
        <w:pStyle w:val="ListNumber"/>
      </w:pPr>
      <w:r>
        <w:t>Align relevant KPI measurements by timestamp when combining files.</w:t>
      </w:r>
    </w:p>
    <w:p>
      <w:pPr>
        <w:pStyle w:val="ListNumber"/>
      </w:pPr>
      <w:r>
        <w:t>Normalize KPI features; fit the scaler on training data only.</w:t>
      </w:r>
    </w:p>
    <w:p>
      <w:pPr>
        <w:pStyle w:val="ListNumber"/>
      </w:pPr>
      <w:r>
        <w:t>Create fixed-length sliding windows from the time series.</w:t>
      </w:r>
    </w:p>
    <w:p>
      <w:pPr>
        <w:pStyle w:val="ListNumber"/>
      </w:pPr>
      <w:r>
        <w:t>Train the LSTM Autoencoder primarily on baseline/normal windows.</w:t>
      </w:r>
    </w:p>
    <w:p>
      <w:pPr>
        <w:pStyle w:val="ListNumber"/>
      </w:pPr>
      <w:r>
        <w:t>Calculate reconstruction error on validation and test windows.</w:t>
      </w:r>
    </w:p>
    <w:p>
      <w:pPr>
        <w:pStyle w:val="ListNumber"/>
      </w:pPr>
      <w:r>
        <w:t>Choose an anomaly threshold using validation data.</w:t>
      </w:r>
    </w:p>
    <w:p>
      <w:pPr>
        <w:pStyle w:val="ListNumber"/>
      </w:pPr>
      <w:r>
        <w:t>Evaluate detection on baseline and anomaly scenarios.</w:t>
      </w:r>
    </w:p>
    <w:p>
      <w:pPr>
        <w:pStyle w:val="ListNumber"/>
      </w:pPr>
      <w:r>
        <w:t>Analyse consecutive anomalous windows to distinguish transient from persistent events.</w:t>
      </w:r>
    </w:p>
    <w:p>
      <w:pPr>
        <w:pStyle w:val="Heading1"/>
      </w:pPr>
      <w:r>
        <w:t>7. Transient and Persistent Anomalies</w:t>
      </w:r>
    </w:p>
    <w:p>
      <w:r>
        <w:t>A transient anomaly is an abnormal event that lasts for a short time and then recovers. A persistent anomaly continues over multiple time windows. The project can use the duration of consecutive anomalous windows to make this distinction. The duration threshold should be justified using the data, validation experiments, or network requirements rather than chosen without explanation.</w:t>
      </w:r>
    </w:p>
    <w:p>
      <w:r>
        <w:t>Important: do not assume the dataset directly supplies transient/persistent ground-truth labels. Inspect the original label files first. If those labels do not distinguish the two classes, define and document a duration-based rule and evaluate its limitations.</w:t>
      </w:r>
    </w:p>
    <w:p>
      <w:pPr>
        <w:pStyle w:val="Heading1"/>
      </w:pPr>
      <w:r>
        <w:t>8. Evaluation Metrics</w:t>
      </w:r>
    </w:p>
    <w:p>
      <w:r>
        <w:t>Recommended metrics include precision, recall, F1-score, false-positive rate, and detection delay for anomaly detection. For transient-versus-persistent classification, report per-class precision/recall/F1 and a confusion matrix where reliable reference labels are available. Compare the LSTM Autoencoder against a simple threshold or another baseline method if time permits.</w:t>
      </w:r>
    </w:p>
    <w:p>
      <w:pPr>
        <w:pStyle w:val="Heading1"/>
      </w:pPr>
      <w:r>
        <w:t>9. References</w:t>
      </w:r>
    </w:p>
    <w:p>
      <w:r>
        <w:t>SpotLight official GitHub repository: https://github.com/netsys-edinburgh/SpotLight</w:t>
      </w:r>
    </w:p>
    <w:p>
      <w:r>
        <w:t>SpotLight dataset Google Drive: https://drive.google.com/drive/folders/1x7WnU6q9EodacUdh3iXRmi9FWrMD3rME?usp=sharing</w:t>
      </w:r>
    </w:p>
    <w:p>
      <w:r>
        <w:t>Research paper DOI: https://doi.org/10.1145/3636534.3649380</w:t>
      </w:r>
    </w:p>
    <w:p>
      <w:r>
        <w:t>Before submitting, verify the exact dataset columns, units, label definitions, and usage terms from the official repository and files you downloaded.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