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Diagramme de cas d'utilisation global — Plateforme INSFP</w:t>
      </w:r>
    </w:p>
    <w:p>
      <w:pPr>
        <w:spacing w:after="160"/>
      </w:pPr>
      <w:r>
        <w:rPr>
          <w:color w:val="555555"/>
          <w:sz w:val="20"/>
          <w:szCs w:val="20"/>
        </w:rPr>
        <w:t xml:space="preserve">Diagramme unique regroupant l'ensemble des acteurs (Administration, Enseignant, Stagiaire, API Gemini) et de tous les cas d'utilisation du systeme, organises par espace fonctionnel. Les acteurs heritent de l'acteur generique « Utilisateur » ; les relations « include » et « extend » sont indiquees en pointilles.</w:t>
      </w:r>
    </w:p>
    <w:p>
      <w:pPr>
        <w:jc w:val="center"/>
      </w:pPr>
      <w:r>
        <w:drawing>
          <wp:inline distT="0" distB="0" distL="0" distR="0">
            <wp:extent cx="2647950" cy="9144000"/>
            <wp:effectExtent t="0" r="0" b="0" l="0"/>
            <wp:docPr id="1" name="UseCaseINSFP" descr="Use case global INSFP" title="Diagramme de cas d'utilis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i/>
          <w:iCs/>
          <w:sz w:val="20"/>
          <w:szCs w:val="20"/>
        </w:rPr>
        <w:t xml:space="preserve">Figure 1 — Diagramme de cas d'utilisation global complet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d07bce610cca59b970e2d367159c179b1e75a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2026-06-23T10:17:03.991Z</dcterms:created>
  <dcterms:modified xsi:type="dcterms:W3CDTF">2026-06-23T10:17:03.992Z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