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sz w:val="32"/>
          <w:szCs w:val="32"/>
        </w:rPr>
      </w:pPr>
      <w:r>
        <w:rPr>
          <w:rFonts w:hint="eastAsia" w:ascii="仿宋" w:hAnsi="仿宋" w:eastAsia="仿宋"/>
          <w:b/>
          <w:sz w:val="32"/>
          <w:szCs w:val="32"/>
        </w:rPr>
        <w:t>北京沃丰时代数据科技有限公司</w:t>
      </w:r>
    </w:p>
    <w:p>
      <w:pPr>
        <w:jc w:val="center"/>
        <w:rPr>
          <w:rFonts w:ascii="仿宋" w:hAnsi="仿宋" w:eastAsia="仿宋"/>
          <w:b/>
          <w:sz w:val="32"/>
          <w:szCs w:val="32"/>
        </w:rPr>
      </w:pPr>
      <w:r>
        <w:rPr>
          <w:rFonts w:hint="eastAsia" w:ascii="仿宋" w:hAnsi="仿宋" w:eastAsia="仿宋"/>
          <w:b/>
          <w:sz w:val="32"/>
          <w:szCs w:val="32"/>
        </w:rPr>
        <w:t>供应商安全管理规定</w:t>
      </w:r>
    </w:p>
    <w:p>
      <w:pPr>
        <w:rPr>
          <w:rFonts w:ascii="仿宋" w:hAnsi="仿宋" w:eastAsia="仿宋"/>
          <w:b/>
          <w:sz w:val="32"/>
          <w:szCs w:val="32"/>
        </w:rPr>
      </w:pPr>
    </w:p>
    <w:p>
      <w:pPr>
        <w:rPr>
          <w:rFonts w:ascii="仿宋" w:hAnsi="仿宋" w:eastAsia="仿宋"/>
        </w:rPr>
      </w:pPr>
    </w:p>
    <w:p>
      <w:pPr>
        <w:ind w:firstLine="281" w:firstLineChars="100"/>
        <w:rPr>
          <w:rFonts w:ascii="仿宋" w:hAnsi="仿宋" w:eastAsia="仿宋"/>
          <w:b/>
          <w:sz w:val="28"/>
          <w:szCs w:val="21"/>
        </w:rPr>
      </w:pPr>
      <w:r>
        <w:rPr>
          <w:rFonts w:hint="eastAsia" w:ascii="仿宋" w:hAnsi="仿宋" w:eastAsia="仿宋"/>
          <w:b/>
          <w:sz w:val="28"/>
          <w:szCs w:val="21"/>
        </w:rPr>
        <w:t>文档信息：</w:t>
      </w:r>
    </w:p>
    <w:tbl>
      <w:tblPr>
        <w:tblStyle w:val="9"/>
        <w:tblW w:w="8217" w:type="dxa"/>
        <w:jc w:val="center"/>
        <w:tblLayout w:type="autofit"/>
        <w:tblCellMar>
          <w:top w:w="0" w:type="dxa"/>
          <w:left w:w="108" w:type="dxa"/>
          <w:bottom w:w="0" w:type="dxa"/>
          <w:right w:w="108" w:type="dxa"/>
        </w:tblCellMar>
      </w:tblPr>
      <w:tblGrid>
        <w:gridCol w:w="1418"/>
        <w:gridCol w:w="2693"/>
        <w:gridCol w:w="1418"/>
        <w:gridCol w:w="2688"/>
      </w:tblGrid>
      <w:tr>
        <w:trPr>
          <w:trHeight w:val="439" w:hRule="atLeast"/>
          <w:jc w:val="center"/>
        </w:trPr>
        <w:tc>
          <w:tcPr>
            <w:tcW w:w="1418"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szCs w:val="21"/>
              </w:rPr>
              <w:t>文档名称</w:t>
            </w:r>
          </w:p>
        </w:tc>
        <w:tc>
          <w:tcPr>
            <w:tcW w:w="6799" w:type="dxa"/>
            <w:gridSpan w:val="3"/>
            <w:tcBorders>
              <w:top w:val="single" w:color="auto" w:sz="4" w:space="0"/>
              <w:left w:val="nil"/>
              <w:bottom w:val="single" w:color="auto" w:sz="4" w:space="0"/>
              <w:right w:val="single" w:color="000000" w:sz="4" w:space="0"/>
            </w:tcBorders>
            <w:shd w:val="clear" w:color="auto" w:fill="auto"/>
            <w:noWrap/>
            <w:vAlign w:val="center"/>
          </w:tcPr>
          <w:p>
            <w:pPr>
              <w:jc w:val="left"/>
              <w:rPr>
                <w:rFonts w:ascii="仿宋" w:hAnsi="仿宋" w:eastAsia="仿宋"/>
                <w:szCs w:val="21"/>
              </w:rPr>
            </w:pPr>
            <w:r>
              <w:rPr>
                <w:rFonts w:hint="eastAsia" w:ascii="仿宋" w:hAnsi="仿宋" w:eastAsia="仿宋"/>
                <w:szCs w:val="21"/>
              </w:rPr>
              <w:t>供应商安全管理规定</w:t>
            </w:r>
          </w:p>
        </w:tc>
      </w:tr>
      <w:tr>
        <w:trPr>
          <w:trHeight w:val="439" w:hRule="atLeast"/>
          <w:jc w:val="center"/>
        </w:trPr>
        <w:tc>
          <w:tcPr>
            <w:tcW w:w="1418"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szCs w:val="21"/>
              </w:rPr>
              <w:t>文档编号</w:t>
            </w:r>
          </w:p>
        </w:tc>
        <w:tc>
          <w:tcPr>
            <w:tcW w:w="6799" w:type="dxa"/>
            <w:gridSpan w:val="3"/>
            <w:tcBorders>
              <w:top w:val="single" w:color="auto" w:sz="4" w:space="0"/>
              <w:left w:val="nil"/>
              <w:bottom w:val="single" w:color="auto" w:sz="4" w:space="0"/>
              <w:right w:val="single" w:color="000000" w:sz="4" w:space="0"/>
            </w:tcBorders>
            <w:shd w:val="clear" w:color="auto" w:fill="auto"/>
            <w:noWrap/>
            <w:vAlign w:val="center"/>
          </w:tcPr>
          <w:p>
            <w:pPr>
              <w:rPr>
                <w:rFonts w:ascii="仿宋" w:hAnsi="仿宋" w:eastAsia="仿宋"/>
                <w:szCs w:val="21"/>
              </w:rPr>
            </w:pPr>
            <w:r>
              <w:rPr>
                <w:rFonts w:hint="eastAsia" w:ascii="仿宋" w:hAnsi="仿宋" w:eastAsia="仿宋"/>
                <w:szCs w:val="21"/>
              </w:rPr>
              <w:t>I</w:t>
            </w:r>
            <w:r>
              <w:rPr>
                <w:rFonts w:ascii="仿宋" w:hAnsi="仿宋" w:eastAsia="仿宋"/>
                <w:szCs w:val="21"/>
              </w:rPr>
              <w:t>SMS</w:t>
            </w:r>
            <w:r>
              <w:rPr>
                <w:rFonts w:hint="eastAsia" w:ascii="仿宋" w:hAnsi="仿宋" w:eastAsia="仿宋"/>
                <w:szCs w:val="21"/>
              </w:rPr>
              <w:t>-L</w:t>
            </w:r>
            <w:r>
              <w:rPr>
                <w:rFonts w:ascii="仿宋" w:hAnsi="仿宋" w:eastAsia="仿宋"/>
                <w:szCs w:val="21"/>
              </w:rPr>
              <w:t>3-08</w:t>
            </w:r>
          </w:p>
        </w:tc>
      </w:tr>
      <w:tr>
        <w:trPr>
          <w:trHeight w:val="439" w:hRule="atLeast"/>
          <w:jc w:val="center"/>
        </w:trPr>
        <w:tc>
          <w:tcPr>
            <w:tcW w:w="1418"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szCs w:val="21"/>
              </w:rPr>
              <w:t>文档密级</w:t>
            </w:r>
          </w:p>
        </w:tc>
        <w:tc>
          <w:tcPr>
            <w:tcW w:w="2693" w:type="dxa"/>
            <w:tcBorders>
              <w:top w:val="nil"/>
              <w:left w:val="nil"/>
              <w:bottom w:val="single" w:color="auto" w:sz="4" w:space="0"/>
              <w:right w:val="single" w:color="auto" w:sz="4" w:space="0"/>
            </w:tcBorders>
            <w:shd w:val="clear" w:color="auto" w:fill="auto"/>
            <w:noWrap/>
            <w:vAlign w:val="center"/>
          </w:tcPr>
          <w:p>
            <w:pPr>
              <w:jc w:val="left"/>
              <w:rPr>
                <w:rFonts w:ascii="仿宋" w:hAnsi="仿宋" w:eastAsia="仿宋"/>
                <w:szCs w:val="21"/>
              </w:rPr>
            </w:pPr>
            <w:r>
              <w:rPr>
                <w:rFonts w:hint="eastAsia" w:ascii="仿宋" w:hAnsi="仿宋" w:eastAsia="仿宋"/>
                <w:szCs w:val="21"/>
              </w:rPr>
              <w:t>内部</w:t>
            </w:r>
          </w:p>
        </w:tc>
        <w:tc>
          <w:tcPr>
            <w:tcW w:w="1418" w:type="dxa"/>
            <w:tcBorders>
              <w:top w:val="nil"/>
              <w:left w:val="nil"/>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szCs w:val="21"/>
              </w:rPr>
              <w:t>发布范围</w:t>
            </w:r>
          </w:p>
        </w:tc>
        <w:tc>
          <w:tcPr>
            <w:tcW w:w="2688" w:type="dxa"/>
            <w:tcBorders>
              <w:top w:val="nil"/>
              <w:left w:val="nil"/>
              <w:bottom w:val="single" w:color="auto" w:sz="4" w:space="0"/>
              <w:right w:val="single" w:color="auto" w:sz="4" w:space="0"/>
            </w:tcBorders>
            <w:shd w:val="clear" w:color="auto" w:fill="auto"/>
            <w:noWrap/>
            <w:vAlign w:val="center"/>
          </w:tcPr>
          <w:p>
            <w:pPr>
              <w:jc w:val="left"/>
              <w:rPr>
                <w:rFonts w:ascii="仿宋" w:hAnsi="仿宋" w:eastAsia="仿宋"/>
                <w:szCs w:val="21"/>
              </w:rPr>
            </w:pPr>
            <w:r>
              <w:rPr>
                <w:rFonts w:hint="eastAsia" w:ascii="仿宋" w:hAnsi="仿宋" w:eastAsia="仿宋"/>
                <w:szCs w:val="21"/>
              </w:rPr>
              <w:t>公司内部</w:t>
            </w:r>
          </w:p>
        </w:tc>
      </w:tr>
      <w:tr>
        <w:trPr>
          <w:trHeight w:val="439" w:hRule="atLeast"/>
          <w:jc w:val="center"/>
        </w:trPr>
        <w:tc>
          <w:tcPr>
            <w:tcW w:w="1418"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rPr>
              <w:t>编制人</w:t>
            </w:r>
          </w:p>
        </w:tc>
        <w:tc>
          <w:tcPr>
            <w:tcW w:w="2693" w:type="dxa"/>
            <w:tcBorders>
              <w:top w:val="nil"/>
              <w:left w:val="nil"/>
              <w:bottom w:val="single" w:color="auto" w:sz="4" w:space="0"/>
              <w:right w:val="single" w:color="auto" w:sz="4" w:space="0"/>
            </w:tcBorders>
            <w:shd w:val="clear" w:color="auto" w:fill="auto"/>
            <w:noWrap/>
            <w:vAlign w:val="center"/>
          </w:tcPr>
          <w:p>
            <w:pPr>
              <w:jc w:val="left"/>
              <w:rPr>
                <w:rFonts w:ascii="仿宋" w:hAnsi="仿宋" w:eastAsia="仿宋"/>
                <w:szCs w:val="21"/>
              </w:rPr>
            </w:pPr>
            <w:r>
              <w:rPr>
                <w:rFonts w:hint="eastAsia" w:ascii="仿宋" w:hAnsi="仿宋" w:eastAsia="仿宋"/>
                <w:szCs w:val="21"/>
              </w:rPr>
              <w:t>刘金涛</w:t>
            </w:r>
          </w:p>
        </w:tc>
        <w:tc>
          <w:tcPr>
            <w:tcW w:w="1418" w:type="dxa"/>
            <w:tcBorders>
              <w:top w:val="nil"/>
              <w:left w:val="nil"/>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rPr>
              <w:t>编制日期</w:t>
            </w:r>
          </w:p>
        </w:tc>
        <w:tc>
          <w:tcPr>
            <w:tcW w:w="2688" w:type="dxa"/>
            <w:tcBorders>
              <w:top w:val="nil"/>
              <w:left w:val="nil"/>
              <w:bottom w:val="single" w:color="auto" w:sz="4" w:space="0"/>
              <w:right w:val="single" w:color="auto" w:sz="4" w:space="0"/>
            </w:tcBorders>
            <w:shd w:val="clear" w:color="auto" w:fill="auto"/>
            <w:noWrap/>
            <w:vAlign w:val="center"/>
          </w:tcPr>
          <w:p>
            <w:pPr>
              <w:jc w:val="left"/>
              <w:rPr>
                <w:rFonts w:ascii="仿宋" w:hAnsi="仿宋" w:eastAsia="仿宋"/>
                <w:szCs w:val="21"/>
              </w:rPr>
            </w:pPr>
            <w:r>
              <w:rPr>
                <w:rFonts w:hint="eastAsia" w:ascii="仿宋" w:hAnsi="仿宋" w:eastAsia="仿宋"/>
              </w:rPr>
              <w:t>201</w:t>
            </w:r>
            <w:r>
              <w:rPr>
                <w:rFonts w:ascii="仿宋" w:hAnsi="仿宋" w:eastAsia="仿宋"/>
              </w:rPr>
              <w:t>8</w:t>
            </w:r>
            <w:r>
              <w:rPr>
                <w:rFonts w:hint="eastAsia" w:ascii="仿宋" w:hAnsi="仿宋" w:eastAsia="仿宋"/>
              </w:rPr>
              <w:t>-</w:t>
            </w:r>
            <w:r>
              <w:rPr>
                <w:rFonts w:ascii="仿宋" w:hAnsi="仿宋" w:eastAsia="仿宋"/>
              </w:rPr>
              <w:t>12</w:t>
            </w:r>
            <w:r>
              <w:rPr>
                <w:rFonts w:hint="eastAsia" w:ascii="仿宋" w:hAnsi="仿宋" w:eastAsia="仿宋"/>
              </w:rPr>
              <w:t>-</w:t>
            </w:r>
            <w:r>
              <w:rPr>
                <w:rFonts w:ascii="仿宋" w:hAnsi="仿宋" w:eastAsia="仿宋"/>
              </w:rPr>
              <w:t>3</w:t>
            </w:r>
          </w:p>
        </w:tc>
      </w:tr>
      <w:tr>
        <w:trPr>
          <w:trHeight w:val="439" w:hRule="atLeast"/>
          <w:jc w:val="center"/>
        </w:trPr>
        <w:tc>
          <w:tcPr>
            <w:tcW w:w="1418"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rPr>
              <w:t>评审人</w:t>
            </w:r>
          </w:p>
        </w:tc>
        <w:tc>
          <w:tcPr>
            <w:tcW w:w="2693" w:type="dxa"/>
            <w:tcBorders>
              <w:top w:val="nil"/>
              <w:left w:val="nil"/>
              <w:bottom w:val="single" w:color="auto" w:sz="4" w:space="0"/>
              <w:right w:val="single" w:color="auto" w:sz="4" w:space="0"/>
            </w:tcBorders>
            <w:shd w:val="clear" w:color="auto" w:fill="auto"/>
            <w:noWrap/>
            <w:vAlign w:val="center"/>
          </w:tcPr>
          <w:p>
            <w:pPr>
              <w:jc w:val="left"/>
              <w:rPr>
                <w:rFonts w:ascii="仿宋" w:hAnsi="仿宋" w:eastAsia="仿宋"/>
                <w:szCs w:val="21"/>
              </w:rPr>
            </w:pPr>
            <w:r>
              <w:rPr>
                <w:rFonts w:hint="eastAsia" w:ascii="仿宋" w:hAnsi="仿宋" w:eastAsia="仿宋"/>
                <w:szCs w:val="21"/>
              </w:rPr>
              <w:t>周毅</w:t>
            </w:r>
          </w:p>
        </w:tc>
        <w:tc>
          <w:tcPr>
            <w:tcW w:w="1418" w:type="dxa"/>
            <w:tcBorders>
              <w:top w:val="nil"/>
              <w:left w:val="nil"/>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rPr>
              <w:t>评审日期</w:t>
            </w:r>
          </w:p>
        </w:tc>
        <w:tc>
          <w:tcPr>
            <w:tcW w:w="2688" w:type="dxa"/>
            <w:tcBorders>
              <w:top w:val="nil"/>
              <w:left w:val="nil"/>
              <w:bottom w:val="single" w:color="auto" w:sz="4" w:space="0"/>
              <w:right w:val="single" w:color="auto" w:sz="4" w:space="0"/>
            </w:tcBorders>
            <w:shd w:val="clear" w:color="auto" w:fill="auto"/>
            <w:noWrap/>
            <w:vAlign w:val="center"/>
          </w:tcPr>
          <w:p>
            <w:pPr>
              <w:jc w:val="left"/>
              <w:rPr>
                <w:rFonts w:ascii="仿宋" w:hAnsi="仿宋" w:eastAsia="仿宋"/>
                <w:szCs w:val="21"/>
              </w:rPr>
            </w:pPr>
            <w:r>
              <w:rPr>
                <w:rFonts w:ascii="仿宋" w:hAnsi="仿宋" w:eastAsia="仿宋"/>
              </w:rPr>
              <w:t>2023-03-23</w:t>
            </w:r>
          </w:p>
        </w:tc>
      </w:tr>
      <w:tr>
        <w:trPr>
          <w:trHeight w:val="439" w:hRule="atLeast"/>
          <w:jc w:val="center"/>
        </w:trPr>
        <w:tc>
          <w:tcPr>
            <w:tcW w:w="1418"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rPr>
              <w:t>批准人</w:t>
            </w:r>
          </w:p>
        </w:tc>
        <w:tc>
          <w:tcPr>
            <w:tcW w:w="2693" w:type="dxa"/>
            <w:tcBorders>
              <w:top w:val="nil"/>
              <w:left w:val="nil"/>
              <w:bottom w:val="single" w:color="auto" w:sz="4" w:space="0"/>
              <w:right w:val="single" w:color="auto" w:sz="4" w:space="0"/>
            </w:tcBorders>
            <w:shd w:val="clear" w:color="auto" w:fill="auto"/>
            <w:noWrap/>
            <w:vAlign w:val="center"/>
          </w:tcPr>
          <w:p>
            <w:pPr>
              <w:jc w:val="left"/>
              <w:rPr>
                <w:rFonts w:ascii="仿宋" w:hAnsi="仿宋" w:eastAsia="仿宋"/>
                <w:szCs w:val="21"/>
              </w:rPr>
            </w:pPr>
            <w:r>
              <w:rPr>
                <w:rFonts w:hint="eastAsia" w:ascii="仿宋" w:hAnsi="仿宋" w:eastAsia="仿宋"/>
                <w:szCs w:val="21"/>
              </w:rPr>
              <w:t>张磊</w:t>
            </w:r>
          </w:p>
        </w:tc>
        <w:tc>
          <w:tcPr>
            <w:tcW w:w="1418" w:type="dxa"/>
            <w:tcBorders>
              <w:top w:val="nil"/>
              <w:left w:val="nil"/>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rPr>
              <w:t>批准日期</w:t>
            </w:r>
          </w:p>
        </w:tc>
        <w:tc>
          <w:tcPr>
            <w:tcW w:w="2688" w:type="dxa"/>
            <w:tcBorders>
              <w:top w:val="nil"/>
              <w:left w:val="nil"/>
              <w:bottom w:val="single" w:color="auto" w:sz="4" w:space="0"/>
              <w:right w:val="single" w:color="auto" w:sz="4" w:space="0"/>
            </w:tcBorders>
            <w:shd w:val="clear" w:color="auto" w:fill="auto"/>
            <w:noWrap/>
            <w:vAlign w:val="center"/>
          </w:tcPr>
          <w:p>
            <w:pPr>
              <w:jc w:val="left"/>
              <w:rPr>
                <w:rFonts w:ascii="仿宋" w:hAnsi="仿宋" w:eastAsia="仿宋"/>
                <w:szCs w:val="21"/>
              </w:rPr>
            </w:pPr>
            <w:r>
              <w:rPr>
                <w:rFonts w:ascii="仿宋" w:hAnsi="仿宋" w:eastAsia="仿宋"/>
              </w:rPr>
              <w:t>2023-04-23</w:t>
            </w:r>
          </w:p>
        </w:tc>
      </w:tr>
    </w:tbl>
    <w:p>
      <w:pPr>
        <w:ind w:firstLine="420"/>
        <w:rPr>
          <w:rFonts w:ascii="仿宋" w:hAnsi="仿宋" w:eastAsia="仿宋"/>
          <w:szCs w:val="21"/>
        </w:rPr>
      </w:pPr>
    </w:p>
    <w:p>
      <w:pPr>
        <w:ind w:firstLine="281" w:firstLineChars="100"/>
        <w:rPr>
          <w:rFonts w:ascii="仿宋" w:hAnsi="仿宋" w:eastAsia="仿宋"/>
          <w:b/>
          <w:sz w:val="28"/>
          <w:szCs w:val="21"/>
        </w:rPr>
      </w:pPr>
      <w:r>
        <w:rPr>
          <w:rFonts w:hint="eastAsia" w:ascii="仿宋" w:hAnsi="仿宋" w:eastAsia="仿宋"/>
          <w:b/>
          <w:sz w:val="28"/>
          <w:szCs w:val="21"/>
        </w:rPr>
        <w:t>修订历史记录：</w:t>
      </w:r>
    </w:p>
    <w:tbl>
      <w:tblPr>
        <w:tblStyle w:val="9"/>
        <w:tblW w:w="10060" w:type="dxa"/>
        <w:jc w:val="center"/>
        <w:tblLayout w:type="fixed"/>
        <w:tblCellMar>
          <w:top w:w="0" w:type="dxa"/>
          <w:left w:w="108" w:type="dxa"/>
          <w:bottom w:w="0" w:type="dxa"/>
          <w:right w:w="108" w:type="dxa"/>
        </w:tblCellMar>
      </w:tblPr>
      <w:tblGrid>
        <w:gridCol w:w="1413"/>
        <w:gridCol w:w="1559"/>
        <w:gridCol w:w="3402"/>
        <w:gridCol w:w="1843"/>
        <w:gridCol w:w="1843"/>
      </w:tblGrid>
      <w:tr>
        <w:trPr>
          <w:trHeight w:val="439" w:hRule="atLeast"/>
          <w:jc w:val="center"/>
        </w:trPr>
        <w:tc>
          <w:tcPr>
            <w:tcW w:w="1413"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szCs w:val="21"/>
              </w:rPr>
              <w:t>版本</w:t>
            </w:r>
          </w:p>
        </w:tc>
        <w:tc>
          <w:tcPr>
            <w:tcW w:w="1559"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szCs w:val="21"/>
              </w:rPr>
              <w:t>状态</w:t>
            </w:r>
          </w:p>
        </w:tc>
        <w:tc>
          <w:tcPr>
            <w:tcW w:w="3402"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szCs w:val="21"/>
              </w:rPr>
              <w:t>修订内容说明</w:t>
            </w:r>
          </w:p>
        </w:tc>
        <w:tc>
          <w:tcPr>
            <w:tcW w:w="1843" w:type="dxa"/>
            <w:tcBorders>
              <w:top w:val="single" w:color="auto" w:sz="4" w:space="0"/>
              <w:left w:val="nil"/>
              <w:bottom w:val="single" w:color="auto" w:sz="4" w:space="0"/>
              <w:right w:val="single" w:color="auto" w:sz="4" w:space="0"/>
            </w:tcBorders>
          </w:tcPr>
          <w:p>
            <w:pPr>
              <w:jc w:val="center"/>
              <w:rPr>
                <w:rFonts w:ascii="仿宋" w:hAnsi="仿宋" w:eastAsia="仿宋"/>
                <w:b/>
                <w:szCs w:val="21"/>
              </w:rPr>
            </w:pPr>
            <w:r>
              <w:rPr>
                <w:rFonts w:hint="eastAsia" w:ascii="仿宋" w:hAnsi="仿宋" w:eastAsia="仿宋"/>
                <w:b/>
                <w:szCs w:val="21"/>
              </w:rPr>
              <w:t>修订日期</w:t>
            </w:r>
          </w:p>
        </w:tc>
        <w:tc>
          <w:tcPr>
            <w:tcW w:w="1843"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b/>
                <w:szCs w:val="21"/>
              </w:rPr>
            </w:pPr>
            <w:r>
              <w:rPr>
                <w:rFonts w:hint="eastAsia" w:ascii="仿宋" w:hAnsi="仿宋" w:eastAsia="仿宋"/>
                <w:b/>
                <w:szCs w:val="21"/>
              </w:rPr>
              <w:t>编制人</w:t>
            </w:r>
          </w:p>
        </w:tc>
      </w:tr>
      <w:tr>
        <w:trPr>
          <w:trHeight w:val="439"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szCs w:val="21"/>
              </w:rPr>
            </w:pPr>
            <w:r>
              <w:rPr>
                <w:rFonts w:ascii="仿宋" w:hAnsi="仿宋" w:eastAsia="仿宋"/>
                <w:szCs w:val="21"/>
              </w:rPr>
              <w:t>V1.0</w:t>
            </w:r>
          </w:p>
        </w:tc>
        <w:tc>
          <w:tcPr>
            <w:tcW w:w="1559" w:type="dxa"/>
            <w:tcBorders>
              <w:top w:val="nil"/>
              <w:left w:val="nil"/>
              <w:bottom w:val="single" w:color="auto" w:sz="4" w:space="0"/>
              <w:right w:val="single" w:color="auto" w:sz="4" w:space="0"/>
            </w:tcBorders>
            <w:shd w:val="clear" w:color="auto" w:fill="auto"/>
            <w:noWrap/>
            <w:vAlign w:val="center"/>
          </w:tcPr>
          <w:p>
            <w:pPr>
              <w:jc w:val="center"/>
              <w:rPr>
                <w:rFonts w:ascii="仿宋" w:hAnsi="仿宋" w:eastAsia="仿宋"/>
                <w:szCs w:val="21"/>
              </w:rPr>
            </w:pPr>
            <w:r>
              <w:rPr>
                <w:rFonts w:hint="eastAsia" w:ascii="仿宋" w:hAnsi="仿宋" w:eastAsia="仿宋"/>
                <w:szCs w:val="21"/>
              </w:rPr>
              <w:t>新建</w:t>
            </w:r>
          </w:p>
        </w:tc>
        <w:tc>
          <w:tcPr>
            <w:tcW w:w="3402" w:type="dxa"/>
            <w:tcBorders>
              <w:top w:val="nil"/>
              <w:left w:val="nil"/>
              <w:bottom w:val="single" w:color="auto" w:sz="4" w:space="0"/>
              <w:right w:val="single" w:color="auto" w:sz="4" w:space="0"/>
            </w:tcBorders>
            <w:shd w:val="clear" w:color="auto" w:fill="auto"/>
            <w:noWrap/>
            <w:vAlign w:val="center"/>
          </w:tcPr>
          <w:p>
            <w:pPr>
              <w:ind w:firstLine="480"/>
              <w:jc w:val="center"/>
              <w:rPr>
                <w:rFonts w:hint="eastAsia" w:ascii="仿宋" w:hAnsi="仿宋" w:eastAsia="仿宋"/>
                <w:szCs w:val="21"/>
                <w:lang w:val="en-US" w:eastAsia="zh-CN"/>
              </w:rPr>
            </w:pPr>
            <w:r>
              <w:rPr>
                <w:rFonts w:hint="eastAsia" w:ascii="仿宋" w:hAnsi="仿宋" w:eastAsia="仿宋"/>
                <w:szCs w:val="21"/>
                <w:lang w:val="en-US" w:eastAsia="zh-CN"/>
              </w:rPr>
              <w:t>新增</w:t>
            </w:r>
            <w:bookmarkStart w:id="10" w:name="_GoBack"/>
            <w:bookmarkEnd w:id="10"/>
          </w:p>
        </w:tc>
        <w:tc>
          <w:tcPr>
            <w:tcW w:w="1843" w:type="dxa"/>
            <w:tcBorders>
              <w:top w:val="single" w:color="auto" w:sz="4" w:space="0"/>
              <w:left w:val="nil"/>
              <w:bottom w:val="single" w:color="auto" w:sz="4" w:space="0"/>
              <w:right w:val="single" w:color="auto" w:sz="4" w:space="0"/>
            </w:tcBorders>
          </w:tcPr>
          <w:p>
            <w:pPr>
              <w:jc w:val="center"/>
              <w:rPr>
                <w:rFonts w:ascii="仿宋" w:hAnsi="仿宋" w:eastAsia="仿宋"/>
                <w:szCs w:val="21"/>
              </w:rPr>
            </w:pPr>
            <w:r>
              <w:rPr>
                <w:rFonts w:hint="eastAsia" w:ascii="仿宋" w:hAnsi="仿宋" w:eastAsia="仿宋"/>
              </w:rPr>
              <w:t>201</w:t>
            </w:r>
            <w:r>
              <w:rPr>
                <w:rFonts w:ascii="仿宋" w:hAnsi="仿宋" w:eastAsia="仿宋"/>
              </w:rPr>
              <w:t>8</w:t>
            </w:r>
            <w:r>
              <w:rPr>
                <w:rFonts w:hint="eastAsia" w:ascii="仿宋" w:hAnsi="仿宋" w:eastAsia="仿宋"/>
              </w:rPr>
              <w:t>-</w:t>
            </w:r>
            <w:r>
              <w:rPr>
                <w:rFonts w:ascii="仿宋" w:hAnsi="仿宋" w:eastAsia="仿宋"/>
              </w:rPr>
              <w:t>12</w:t>
            </w:r>
            <w:r>
              <w:rPr>
                <w:rFonts w:hint="eastAsia" w:ascii="仿宋" w:hAnsi="仿宋" w:eastAsia="仿宋"/>
              </w:rPr>
              <w:t>-</w:t>
            </w:r>
            <w:r>
              <w:rPr>
                <w:rFonts w:ascii="仿宋" w:hAnsi="仿宋" w:eastAsia="仿宋"/>
              </w:rPr>
              <w:t>3</w:t>
            </w:r>
          </w:p>
        </w:tc>
        <w:tc>
          <w:tcPr>
            <w:tcW w:w="1843"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szCs w:val="21"/>
              </w:rPr>
            </w:pPr>
            <w:r>
              <w:rPr>
                <w:rFonts w:hint="eastAsia" w:ascii="仿宋" w:hAnsi="仿宋" w:eastAsia="仿宋"/>
                <w:szCs w:val="21"/>
              </w:rPr>
              <w:t>刘金涛</w:t>
            </w:r>
          </w:p>
        </w:tc>
      </w:tr>
      <w:tr>
        <w:trPr>
          <w:trHeight w:val="439"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center"/>
          </w:tcPr>
          <w:p>
            <w:pPr>
              <w:ind w:firstLine="360" w:firstLineChars="150"/>
              <w:rPr>
                <w:rFonts w:ascii="仿宋" w:hAnsi="仿宋" w:eastAsia="仿宋"/>
                <w:szCs w:val="21"/>
              </w:rPr>
            </w:pPr>
            <w:r>
              <w:rPr>
                <w:rFonts w:ascii="仿宋" w:hAnsi="仿宋" w:eastAsia="仿宋"/>
                <w:szCs w:val="21"/>
              </w:rPr>
              <w:t>V1.1</w:t>
            </w:r>
          </w:p>
        </w:tc>
        <w:tc>
          <w:tcPr>
            <w:tcW w:w="1559" w:type="dxa"/>
            <w:tcBorders>
              <w:top w:val="nil"/>
              <w:left w:val="nil"/>
              <w:bottom w:val="single" w:color="auto" w:sz="4" w:space="0"/>
              <w:right w:val="single" w:color="auto" w:sz="4" w:space="0"/>
            </w:tcBorders>
            <w:shd w:val="clear" w:color="auto" w:fill="auto"/>
            <w:noWrap/>
            <w:vAlign w:val="center"/>
          </w:tcPr>
          <w:p>
            <w:pPr>
              <w:ind w:firstLine="480"/>
              <w:rPr>
                <w:rFonts w:ascii="仿宋" w:hAnsi="仿宋" w:eastAsia="仿宋"/>
                <w:szCs w:val="21"/>
              </w:rPr>
            </w:pPr>
            <w:r>
              <w:rPr>
                <w:rFonts w:hint="eastAsia" w:ascii="仿宋" w:hAnsi="仿宋" w:eastAsia="仿宋"/>
                <w:szCs w:val="21"/>
              </w:rPr>
              <w:t>修订</w:t>
            </w:r>
          </w:p>
        </w:tc>
        <w:tc>
          <w:tcPr>
            <w:tcW w:w="3402" w:type="dxa"/>
            <w:tcBorders>
              <w:top w:val="nil"/>
              <w:left w:val="nil"/>
              <w:bottom w:val="single" w:color="auto" w:sz="4" w:space="0"/>
              <w:right w:val="single" w:color="auto" w:sz="4" w:space="0"/>
            </w:tcBorders>
            <w:shd w:val="clear" w:color="auto" w:fill="auto"/>
            <w:noWrap/>
            <w:vAlign w:val="center"/>
          </w:tcPr>
          <w:p>
            <w:pPr>
              <w:ind w:firstLine="480"/>
              <w:jc w:val="center"/>
              <w:rPr>
                <w:rFonts w:ascii="仿宋" w:hAnsi="仿宋" w:eastAsia="仿宋"/>
                <w:szCs w:val="21"/>
              </w:rPr>
            </w:pPr>
            <w:r>
              <w:rPr>
                <w:rFonts w:hint="eastAsia" w:ascii="仿宋" w:hAnsi="仿宋" w:eastAsia="仿宋"/>
                <w:szCs w:val="21"/>
              </w:rPr>
              <w:t>修订文档信息</w:t>
            </w:r>
          </w:p>
        </w:tc>
        <w:tc>
          <w:tcPr>
            <w:tcW w:w="1843" w:type="dxa"/>
            <w:tcBorders>
              <w:top w:val="single" w:color="auto" w:sz="4" w:space="0"/>
              <w:left w:val="nil"/>
              <w:bottom w:val="single" w:color="auto" w:sz="4" w:space="0"/>
              <w:right w:val="single" w:color="auto" w:sz="4" w:space="0"/>
            </w:tcBorders>
            <w:vAlign w:val="center"/>
          </w:tcPr>
          <w:p>
            <w:pPr>
              <w:jc w:val="center"/>
              <w:rPr>
                <w:rFonts w:ascii="仿宋" w:hAnsi="仿宋" w:eastAsia="仿宋"/>
                <w:szCs w:val="21"/>
              </w:rPr>
            </w:pPr>
            <w:r>
              <w:rPr>
                <w:rFonts w:ascii="仿宋" w:hAnsi="仿宋" w:eastAsia="仿宋"/>
              </w:rPr>
              <w:t>2023-04-23</w:t>
            </w:r>
          </w:p>
        </w:tc>
        <w:tc>
          <w:tcPr>
            <w:tcW w:w="1843"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szCs w:val="21"/>
              </w:rPr>
            </w:pPr>
            <w:r>
              <w:rPr>
                <w:rFonts w:hint="eastAsia" w:ascii="仿宋" w:hAnsi="仿宋" w:eastAsia="仿宋"/>
                <w:szCs w:val="21"/>
              </w:rPr>
              <w:t>张帆</w:t>
            </w:r>
          </w:p>
        </w:tc>
      </w:tr>
      <w:tr>
        <w:trPr>
          <w:trHeight w:val="439"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center"/>
          </w:tcPr>
          <w:p>
            <w:pPr>
              <w:ind w:firstLine="480"/>
              <w:jc w:val="center"/>
              <w:rPr>
                <w:rFonts w:ascii="仿宋" w:hAnsi="仿宋" w:eastAsia="仿宋"/>
                <w:szCs w:val="21"/>
              </w:rPr>
            </w:pPr>
          </w:p>
        </w:tc>
        <w:tc>
          <w:tcPr>
            <w:tcW w:w="1559" w:type="dxa"/>
            <w:tcBorders>
              <w:top w:val="nil"/>
              <w:left w:val="nil"/>
              <w:bottom w:val="single" w:color="auto" w:sz="4" w:space="0"/>
              <w:right w:val="single" w:color="auto" w:sz="4" w:space="0"/>
            </w:tcBorders>
            <w:shd w:val="clear" w:color="auto" w:fill="auto"/>
            <w:noWrap/>
            <w:vAlign w:val="center"/>
          </w:tcPr>
          <w:p>
            <w:pPr>
              <w:ind w:firstLine="480"/>
              <w:jc w:val="center"/>
              <w:rPr>
                <w:rFonts w:ascii="仿宋" w:hAnsi="仿宋" w:eastAsia="仿宋"/>
                <w:szCs w:val="21"/>
              </w:rPr>
            </w:pPr>
          </w:p>
        </w:tc>
        <w:tc>
          <w:tcPr>
            <w:tcW w:w="3402" w:type="dxa"/>
            <w:tcBorders>
              <w:top w:val="nil"/>
              <w:left w:val="nil"/>
              <w:bottom w:val="single" w:color="auto" w:sz="4" w:space="0"/>
              <w:right w:val="single" w:color="auto" w:sz="4" w:space="0"/>
            </w:tcBorders>
            <w:shd w:val="clear" w:color="auto" w:fill="auto"/>
            <w:noWrap/>
            <w:vAlign w:val="center"/>
          </w:tcPr>
          <w:p>
            <w:pPr>
              <w:ind w:firstLine="480"/>
              <w:jc w:val="center"/>
              <w:rPr>
                <w:rFonts w:ascii="仿宋" w:hAnsi="仿宋" w:eastAsia="仿宋"/>
                <w:szCs w:val="21"/>
              </w:rPr>
            </w:pPr>
          </w:p>
        </w:tc>
        <w:tc>
          <w:tcPr>
            <w:tcW w:w="1843" w:type="dxa"/>
            <w:tcBorders>
              <w:top w:val="single" w:color="auto" w:sz="4" w:space="0"/>
              <w:left w:val="nil"/>
              <w:bottom w:val="single" w:color="auto" w:sz="4" w:space="0"/>
              <w:right w:val="single" w:color="auto" w:sz="4" w:space="0"/>
            </w:tcBorders>
          </w:tcPr>
          <w:p>
            <w:pPr>
              <w:jc w:val="center"/>
              <w:rPr>
                <w:rFonts w:ascii="仿宋" w:hAnsi="仿宋" w:eastAsia="仿宋"/>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szCs w:val="21"/>
              </w:rPr>
            </w:pPr>
          </w:p>
        </w:tc>
      </w:tr>
      <w:tr>
        <w:trPr>
          <w:trHeight w:val="439"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center"/>
          </w:tcPr>
          <w:p>
            <w:pPr>
              <w:ind w:firstLine="480"/>
              <w:jc w:val="center"/>
              <w:rPr>
                <w:rFonts w:ascii="仿宋" w:hAnsi="仿宋" w:eastAsia="仿宋"/>
                <w:szCs w:val="21"/>
              </w:rPr>
            </w:pPr>
          </w:p>
        </w:tc>
        <w:tc>
          <w:tcPr>
            <w:tcW w:w="1559" w:type="dxa"/>
            <w:tcBorders>
              <w:top w:val="nil"/>
              <w:left w:val="nil"/>
              <w:bottom w:val="single" w:color="auto" w:sz="4" w:space="0"/>
              <w:right w:val="single" w:color="auto" w:sz="4" w:space="0"/>
            </w:tcBorders>
            <w:shd w:val="clear" w:color="auto" w:fill="auto"/>
            <w:noWrap/>
            <w:vAlign w:val="center"/>
          </w:tcPr>
          <w:p>
            <w:pPr>
              <w:ind w:firstLine="480"/>
              <w:jc w:val="center"/>
              <w:rPr>
                <w:rFonts w:ascii="仿宋" w:hAnsi="仿宋" w:eastAsia="仿宋"/>
                <w:szCs w:val="21"/>
              </w:rPr>
            </w:pPr>
          </w:p>
        </w:tc>
        <w:tc>
          <w:tcPr>
            <w:tcW w:w="3402" w:type="dxa"/>
            <w:tcBorders>
              <w:top w:val="nil"/>
              <w:left w:val="nil"/>
              <w:bottom w:val="single" w:color="auto" w:sz="4" w:space="0"/>
              <w:right w:val="single" w:color="auto" w:sz="4" w:space="0"/>
            </w:tcBorders>
            <w:shd w:val="clear" w:color="auto" w:fill="auto"/>
            <w:noWrap/>
            <w:vAlign w:val="center"/>
          </w:tcPr>
          <w:p>
            <w:pPr>
              <w:ind w:firstLine="480"/>
              <w:jc w:val="center"/>
              <w:rPr>
                <w:rFonts w:ascii="仿宋" w:hAnsi="仿宋" w:eastAsia="仿宋"/>
                <w:szCs w:val="21"/>
              </w:rPr>
            </w:pPr>
          </w:p>
        </w:tc>
        <w:tc>
          <w:tcPr>
            <w:tcW w:w="1843" w:type="dxa"/>
            <w:tcBorders>
              <w:top w:val="single" w:color="auto" w:sz="4" w:space="0"/>
              <w:left w:val="nil"/>
              <w:bottom w:val="single" w:color="auto" w:sz="4" w:space="0"/>
              <w:right w:val="single" w:color="auto" w:sz="4" w:space="0"/>
            </w:tcBorders>
          </w:tcPr>
          <w:p>
            <w:pPr>
              <w:jc w:val="center"/>
              <w:rPr>
                <w:rFonts w:ascii="仿宋" w:hAnsi="仿宋" w:eastAsia="仿宋"/>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szCs w:val="21"/>
              </w:rPr>
            </w:pPr>
          </w:p>
        </w:tc>
      </w:tr>
      <w:tr>
        <w:trPr>
          <w:trHeight w:val="439" w:hRule="atLeast"/>
          <w:jc w:val="center"/>
        </w:trPr>
        <w:tc>
          <w:tcPr>
            <w:tcW w:w="1413" w:type="dxa"/>
            <w:tcBorders>
              <w:top w:val="nil"/>
              <w:left w:val="single" w:color="auto" w:sz="4" w:space="0"/>
              <w:bottom w:val="single" w:color="auto" w:sz="4" w:space="0"/>
              <w:right w:val="single" w:color="auto" w:sz="4" w:space="0"/>
            </w:tcBorders>
            <w:shd w:val="clear" w:color="auto" w:fill="auto"/>
            <w:noWrap/>
            <w:vAlign w:val="center"/>
          </w:tcPr>
          <w:p>
            <w:pPr>
              <w:ind w:firstLine="480"/>
              <w:jc w:val="center"/>
              <w:rPr>
                <w:rFonts w:ascii="仿宋" w:hAnsi="仿宋" w:eastAsia="仿宋"/>
                <w:szCs w:val="21"/>
              </w:rPr>
            </w:pPr>
          </w:p>
        </w:tc>
        <w:tc>
          <w:tcPr>
            <w:tcW w:w="1559" w:type="dxa"/>
            <w:tcBorders>
              <w:top w:val="nil"/>
              <w:left w:val="nil"/>
              <w:bottom w:val="single" w:color="auto" w:sz="4" w:space="0"/>
              <w:right w:val="single" w:color="auto" w:sz="4" w:space="0"/>
            </w:tcBorders>
            <w:shd w:val="clear" w:color="auto" w:fill="auto"/>
            <w:noWrap/>
            <w:vAlign w:val="center"/>
          </w:tcPr>
          <w:p>
            <w:pPr>
              <w:ind w:firstLine="480"/>
              <w:jc w:val="center"/>
              <w:rPr>
                <w:rFonts w:ascii="仿宋" w:hAnsi="仿宋" w:eastAsia="仿宋"/>
                <w:szCs w:val="21"/>
              </w:rPr>
            </w:pPr>
          </w:p>
        </w:tc>
        <w:tc>
          <w:tcPr>
            <w:tcW w:w="3402" w:type="dxa"/>
            <w:tcBorders>
              <w:top w:val="nil"/>
              <w:left w:val="nil"/>
              <w:bottom w:val="single" w:color="auto" w:sz="4" w:space="0"/>
              <w:right w:val="single" w:color="auto" w:sz="4" w:space="0"/>
            </w:tcBorders>
            <w:shd w:val="clear" w:color="auto" w:fill="auto"/>
            <w:noWrap/>
            <w:vAlign w:val="center"/>
          </w:tcPr>
          <w:p>
            <w:pPr>
              <w:ind w:firstLine="480"/>
              <w:jc w:val="center"/>
              <w:rPr>
                <w:rFonts w:ascii="仿宋" w:hAnsi="仿宋" w:eastAsia="仿宋"/>
                <w:szCs w:val="21"/>
              </w:rPr>
            </w:pPr>
          </w:p>
        </w:tc>
        <w:tc>
          <w:tcPr>
            <w:tcW w:w="1843" w:type="dxa"/>
            <w:tcBorders>
              <w:top w:val="single" w:color="auto" w:sz="4" w:space="0"/>
              <w:left w:val="nil"/>
              <w:bottom w:val="single" w:color="auto" w:sz="4" w:space="0"/>
              <w:right w:val="single" w:color="auto" w:sz="4" w:space="0"/>
            </w:tcBorders>
          </w:tcPr>
          <w:p>
            <w:pPr>
              <w:jc w:val="center"/>
              <w:rPr>
                <w:rFonts w:ascii="仿宋" w:hAnsi="仿宋" w:eastAsia="仿宋"/>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szCs w:val="21"/>
              </w:rPr>
            </w:pPr>
          </w:p>
        </w:tc>
      </w:tr>
    </w:tbl>
    <w:p>
      <w:pPr>
        <w:rPr>
          <w:rFonts w:ascii="仿宋" w:hAnsi="仿宋" w:eastAsia="仿宋"/>
        </w:rPr>
      </w:pPr>
    </w:p>
    <w:p>
      <w:pPr>
        <w:widowControl/>
        <w:jc w:val="left"/>
        <w:rPr>
          <w:rFonts w:ascii="仿宋" w:hAnsi="仿宋" w:eastAsia="仿宋"/>
          <w:b/>
          <w:kern w:val="28"/>
          <w:sz w:val="28"/>
          <w:szCs w:val="28"/>
          <w:lang w:val="en-GB"/>
        </w:rPr>
      </w:pPr>
      <w:bookmarkStart w:id="0" w:name="_Toc219549671"/>
      <w:bookmarkStart w:id="1" w:name="_Toc166903416"/>
      <w:r>
        <w:rPr>
          <w:rFonts w:ascii="仿宋" w:hAnsi="仿宋" w:eastAsia="仿宋"/>
          <w:szCs w:val="28"/>
          <w:lang w:val="en-GB"/>
        </w:rPr>
        <w:br w:type="page"/>
      </w:r>
    </w:p>
    <w:p>
      <w:pPr>
        <w:pStyle w:val="23"/>
        <w:pageBreakBefore/>
        <w:numPr>
          <w:ilvl w:val="0"/>
          <w:numId w:val="1"/>
        </w:numPr>
        <w:spacing w:before="0" w:after="0" w:line="360" w:lineRule="auto"/>
        <w:ind w:left="1361"/>
        <w:jc w:val="center"/>
        <w:rPr>
          <w:rFonts w:ascii="仿宋" w:hAnsi="仿宋" w:eastAsia="仿宋"/>
          <w:szCs w:val="28"/>
          <w:lang w:val="en-GB" w:eastAsia="zh-CN"/>
        </w:rPr>
        <w:sectPr>
          <w:headerReference r:id="rId5" w:type="default"/>
          <w:footerReference r:id="rId6" w:type="default"/>
          <w:footerReference r:id="rId7" w:type="even"/>
          <w:pgSz w:w="11906" w:h="16838"/>
          <w:pgMar w:top="1701" w:right="1588" w:bottom="1588" w:left="1588" w:header="851" w:footer="1077" w:gutter="0"/>
          <w:pgNumType w:start="1"/>
          <w:cols w:space="425" w:num="1"/>
          <w:docGrid w:type="lines" w:linePitch="312" w:charSpace="0"/>
        </w:sectPr>
      </w:pPr>
    </w:p>
    <w:p>
      <w:pPr>
        <w:pStyle w:val="23"/>
        <w:pageBreakBefore/>
        <w:numPr>
          <w:ilvl w:val="0"/>
          <w:numId w:val="1"/>
        </w:numPr>
        <w:spacing w:before="0" w:after="0" w:line="360" w:lineRule="auto"/>
        <w:ind w:left="1361"/>
        <w:jc w:val="center"/>
        <w:rPr>
          <w:rFonts w:ascii="仿宋" w:hAnsi="仿宋" w:eastAsia="仿宋"/>
          <w:szCs w:val="28"/>
          <w:lang w:val="en-GB" w:eastAsia="zh-CN"/>
        </w:rPr>
      </w:pPr>
      <w:r>
        <w:rPr>
          <w:rFonts w:ascii="仿宋" w:hAnsi="仿宋" w:eastAsia="仿宋"/>
          <w:szCs w:val="28"/>
          <w:lang w:val="en-GB" w:eastAsia="zh-CN"/>
        </w:rPr>
        <w:t>总则</w:t>
      </w:r>
      <w:bookmarkEnd w:id="0"/>
      <w:bookmarkEnd w:id="1"/>
    </w:p>
    <w:p>
      <w:pPr>
        <w:numPr>
          <w:ilvl w:val="0"/>
          <w:numId w:val="2"/>
        </w:numPr>
        <w:ind w:left="0" w:firstLine="0"/>
        <w:rPr>
          <w:rFonts w:ascii="仿宋" w:hAnsi="仿宋" w:eastAsia="仿宋"/>
          <w:bCs/>
          <w:sz w:val="28"/>
        </w:rPr>
      </w:pPr>
      <w:bookmarkStart w:id="2" w:name="_Toc21942052"/>
      <w:r>
        <w:rPr>
          <w:rFonts w:hint="eastAsia" w:ascii="仿宋" w:hAnsi="仿宋" w:eastAsia="仿宋"/>
          <w:bCs/>
          <w:sz w:val="28"/>
        </w:rPr>
        <w:t>为加强北京沃丰时代数据科技有限公司(以下简称“沃丰时代”或“公司”)的供应商管理，创造公开、公平、公正的良性采购环境，逐步形成优胜劣汰的供应商动态管理机制，提高公司经营服务水平，加强信息共享，降低供应成本，提高采购质量，增强供应安全性及可靠性，特制定本规定。</w:t>
      </w:r>
    </w:p>
    <w:bookmarkEnd w:id="2"/>
    <w:p>
      <w:pPr>
        <w:numPr>
          <w:ilvl w:val="0"/>
          <w:numId w:val="2"/>
        </w:numPr>
        <w:ind w:left="0" w:firstLine="0"/>
        <w:rPr>
          <w:rFonts w:ascii="仿宋" w:hAnsi="仿宋" w:eastAsia="仿宋"/>
          <w:bCs/>
          <w:sz w:val="28"/>
        </w:rPr>
      </w:pPr>
      <w:r>
        <w:rPr>
          <w:rFonts w:hint="eastAsia" w:ascii="仿宋" w:hAnsi="仿宋" w:eastAsia="仿宋"/>
          <w:bCs/>
          <w:sz w:val="28"/>
        </w:rPr>
        <w:t>本规定适用于公司所有采购品类涉及的供应商。包括但不限于技术类采购供应商、行政类采购供应商、市场类采购供应商、服务类采购供应商等。包括集中采购、集中监管采购及分散采购。</w:t>
      </w:r>
    </w:p>
    <w:p>
      <w:pPr>
        <w:pStyle w:val="23"/>
        <w:pageBreakBefore/>
        <w:numPr>
          <w:ilvl w:val="0"/>
          <w:numId w:val="1"/>
        </w:numPr>
        <w:spacing w:before="0" w:after="0" w:line="360" w:lineRule="auto"/>
        <w:ind w:left="1361"/>
        <w:jc w:val="center"/>
        <w:rPr>
          <w:rFonts w:ascii="仿宋" w:hAnsi="仿宋" w:eastAsia="仿宋"/>
          <w:szCs w:val="28"/>
          <w:lang w:val="en-GB" w:eastAsia="zh-CN"/>
        </w:rPr>
      </w:pPr>
      <w:r>
        <w:rPr>
          <w:rFonts w:hint="eastAsia" w:ascii="仿宋" w:hAnsi="仿宋" w:eastAsia="仿宋"/>
          <w:szCs w:val="28"/>
          <w:lang w:val="en-GB" w:eastAsia="zh-CN"/>
        </w:rPr>
        <w:t>定义和分类</w:t>
      </w:r>
    </w:p>
    <w:p>
      <w:pPr>
        <w:numPr>
          <w:ilvl w:val="0"/>
          <w:numId w:val="2"/>
        </w:numPr>
        <w:ind w:left="0" w:firstLine="0"/>
        <w:rPr>
          <w:rFonts w:ascii="仿宋" w:hAnsi="仿宋" w:eastAsia="仿宋"/>
          <w:bCs/>
          <w:sz w:val="28"/>
        </w:rPr>
      </w:pPr>
      <w:r>
        <w:rPr>
          <w:rFonts w:hint="eastAsia" w:ascii="仿宋" w:hAnsi="仿宋" w:eastAsia="仿宋"/>
          <w:bCs/>
          <w:sz w:val="28"/>
        </w:rPr>
        <w:t>供应商：是指通过提供劳务、货物、智力服务等获得资金或者其他报酬的法人或自然人，包括承包商、供货商和服务商。</w:t>
      </w:r>
    </w:p>
    <w:p>
      <w:pPr>
        <w:numPr>
          <w:ilvl w:val="0"/>
          <w:numId w:val="2"/>
        </w:numPr>
        <w:ind w:left="0" w:firstLine="0"/>
        <w:rPr>
          <w:rFonts w:ascii="仿宋" w:hAnsi="仿宋" w:eastAsia="仿宋"/>
          <w:bCs/>
          <w:sz w:val="28"/>
        </w:rPr>
      </w:pPr>
      <w:r>
        <w:rPr>
          <w:rFonts w:hint="eastAsia" w:ascii="仿宋" w:hAnsi="仿宋" w:eastAsia="仿宋"/>
          <w:bCs/>
          <w:sz w:val="28"/>
        </w:rPr>
        <w:t>供应商级别：推荐级、备用级、考核级、淘汰级</w:t>
      </w:r>
    </w:p>
    <w:p>
      <w:pPr>
        <w:numPr>
          <w:ilvl w:val="0"/>
          <w:numId w:val="2"/>
        </w:numPr>
        <w:ind w:left="0" w:firstLine="0"/>
        <w:rPr>
          <w:rFonts w:ascii="仿宋" w:hAnsi="仿宋" w:eastAsia="仿宋"/>
          <w:bCs/>
          <w:sz w:val="28"/>
        </w:rPr>
      </w:pPr>
      <w:r>
        <w:rPr>
          <w:rFonts w:hint="eastAsia" w:ascii="仿宋" w:hAnsi="仿宋" w:eastAsia="仿宋"/>
          <w:bCs/>
          <w:sz w:val="28"/>
        </w:rPr>
        <w:t>合格供应商：指通过公司自行组织实施或委托第三方机构具体实施对登记供应商进行的资质能力评估，评估通过并且记录于公司《合格供应商名录》中的供应商。包括：</w:t>
      </w:r>
    </w:p>
    <w:p>
      <w:pPr>
        <w:pStyle w:val="24"/>
        <w:numPr>
          <w:ilvl w:val="0"/>
          <w:numId w:val="3"/>
        </w:numPr>
        <w:ind w:firstLineChars="0"/>
        <w:rPr>
          <w:rFonts w:ascii="仿宋" w:hAnsi="仿宋" w:eastAsia="仿宋"/>
          <w:bCs/>
          <w:sz w:val="28"/>
        </w:rPr>
      </w:pPr>
      <w:r>
        <w:rPr>
          <w:rFonts w:hint="eastAsia" w:ascii="仿宋" w:hAnsi="仿宋" w:eastAsia="仿宋"/>
          <w:bCs/>
          <w:sz w:val="28"/>
        </w:rPr>
        <w:t>集中采购供应商：《合格供应商》名录中，能够适用于集中采购的供应商。</w:t>
      </w:r>
    </w:p>
    <w:p>
      <w:pPr>
        <w:pStyle w:val="24"/>
        <w:numPr>
          <w:ilvl w:val="0"/>
          <w:numId w:val="3"/>
        </w:numPr>
        <w:ind w:firstLineChars="0"/>
        <w:rPr>
          <w:rFonts w:ascii="仿宋" w:hAnsi="仿宋" w:eastAsia="仿宋"/>
          <w:bCs/>
          <w:sz w:val="28"/>
        </w:rPr>
      </w:pPr>
      <w:r>
        <w:rPr>
          <w:rFonts w:hint="eastAsia" w:ascii="仿宋" w:hAnsi="仿宋" w:eastAsia="仿宋"/>
          <w:bCs/>
          <w:sz w:val="28"/>
        </w:rPr>
        <w:t>集中监管供应商：《合格供应商》名录中，仅适用于集中监管及分散采购的供应商。</w:t>
      </w:r>
    </w:p>
    <w:p>
      <w:pPr>
        <w:pStyle w:val="24"/>
        <w:numPr>
          <w:ilvl w:val="0"/>
          <w:numId w:val="3"/>
        </w:numPr>
        <w:ind w:firstLineChars="0"/>
        <w:rPr>
          <w:rFonts w:ascii="仿宋" w:hAnsi="仿宋" w:eastAsia="仿宋"/>
          <w:bCs/>
          <w:sz w:val="28"/>
        </w:rPr>
      </w:pPr>
      <w:r>
        <w:rPr>
          <w:rFonts w:hint="eastAsia" w:ascii="仿宋" w:hAnsi="仿宋" w:eastAsia="仿宋"/>
          <w:bCs/>
          <w:sz w:val="28"/>
        </w:rPr>
        <w:t>分散采购供应商：指仅适用于分散采购，与公司发生了交易，但未被准入《合格供应商名录》中的供应商，交易发生后需要登记在采购系统中以便进行采购付款及相应的监督及管理。</w:t>
      </w:r>
    </w:p>
    <w:p>
      <w:pPr>
        <w:pStyle w:val="24"/>
        <w:numPr>
          <w:ilvl w:val="0"/>
          <w:numId w:val="3"/>
        </w:numPr>
        <w:ind w:firstLineChars="0"/>
        <w:rPr>
          <w:rFonts w:ascii="仿宋" w:hAnsi="仿宋" w:eastAsia="仿宋"/>
          <w:bCs/>
          <w:sz w:val="28"/>
        </w:rPr>
      </w:pPr>
      <w:r>
        <w:rPr>
          <w:rFonts w:hint="eastAsia" w:ascii="仿宋" w:hAnsi="仿宋" w:eastAsia="仿宋"/>
          <w:bCs/>
          <w:sz w:val="28"/>
        </w:rPr>
        <w:t>黑名单供应商：在采购或合同履约过程中存在违法、违规、严重违约等行为的供应商。</w:t>
      </w:r>
    </w:p>
    <w:p>
      <w:pPr>
        <w:numPr>
          <w:ilvl w:val="0"/>
          <w:numId w:val="2"/>
        </w:numPr>
        <w:ind w:left="0" w:firstLine="0"/>
        <w:rPr>
          <w:rFonts w:ascii="仿宋" w:hAnsi="仿宋" w:eastAsia="仿宋"/>
          <w:bCs/>
          <w:sz w:val="28"/>
        </w:rPr>
      </w:pPr>
      <w:r>
        <w:rPr>
          <w:rFonts w:hint="eastAsia" w:ascii="仿宋" w:hAnsi="仿宋" w:eastAsia="仿宋"/>
          <w:bCs/>
          <w:sz w:val="28"/>
        </w:rPr>
        <w:t>供应商管理原则</w:t>
      </w:r>
    </w:p>
    <w:p>
      <w:pPr>
        <w:pStyle w:val="24"/>
        <w:numPr>
          <w:ilvl w:val="0"/>
          <w:numId w:val="4"/>
        </w:numPr>
        <w:ind w:firstLineChars="0"/>
        <w:rPr>
          <w:rFonts w:ascii="仿宋" w:hAnsi="仿宋" w:eastAsia="仿宋"/>
          <w:bCs/>
          <w:sz w:val="28"/>
        </w:rPr>
      </w:pPr>
      <w:r>
        <w:rPr>
          <w:rFonts w:hint="eastAsia" w:ascii="仿宋" w:hAnsi="仿宋" w:eastAsia="仿宋"/>
          <w:bCs/>
          <w:sz w:val="28"/>
        </w:rPr>
        <w:t xml:space="preserve">公正、真实的反应供应商的信息及能力水平； </w:t>
      </w:r>
    </w:p>
    <w:p>
      <w:pPr>
        <w:pStyle w:val="24"/>
        <w:numPr>
          <w:ilvl w:val="0"/>
          <w:numId w:val="4"/>
        </w:numPr>
        <w:ind w:firstLineChars="0"/>
        <w:rPr>
          <w:rFonts w:ascii="仿宋" w:hAnsi="仿宋" w:eastAsia="仿宋"/>
          <w:bCs/>
          <w:sz w:val="28"/>
        </w:rPr>
      </w:pPr>
      <w:r>
        <w:rPr>
          <w:rFonts w:hint="eastAsia" w:ascii="仿宋" w:hAnsi="仿宋" w:eastAsia="仿宋"/>
          <w:bCs/>
          <w:sz w:val="28"/>
        </w:rPr>
        <w:t xml:space="preserve">客观严谨的评估新供应商的引入； </w:t>
      </w:r>
    </w:p>
    <w:p>
      <w:pPr>
        <w:pStyle w:val="24"/>
        <w:numPr>
          <w:ilvl w:val="0"/>
          <w:numId w:val="4"/>
        </w:numPr>
        <w:ind w:firstLineChars="0"/>
        <w:rPr>
          <w:rFonts w:ascii="仿宋" w:hAnsi="仿宋" w:eastAsia="仿宋"/>
          <w:bCs/>
          <w:sz w:val="28"/>
        </w:rPr>
      </w:pPr>
      <w:r>
        <w:rPr>
          <w:rFonts w:hint="eastAsia" w:ascii="仿宋" w:hAnsi="仿宋" w:eastAsia="仿宋"/>
          <w:bCs/>
          <w:sz w:val="28"/>
        </w:rPr>
        <w:t xml:space="preserve">多维度、多部门参与供应商的管理； </w:t>
      </w:r>
    </w:p>
    <w:p>
      <w:pPr>
        <w:pStyle w:val="24"/>
        <w:numPr>
          <w:ilvl w:val="0"/>
          <w:numId w:val="4"/>
        </w:numPr>
        <w:ind w:firstLineChars="0"/>
        <w:rPr>
          <w:rFonts w:ascii="仿宋" w:hAnsi="仿宋" w:eastAsia="仿宋"/>
          <w:bCs/>
          <w:sz w:val="28"/>
        </w:rPr>
      </w:pPr>
      <w:r>
        <w:rPr>
          <w:rFonts w:hint="eastAsia" w:ascii="仿宋" w:hAnsi="仿宋" w:eastAsia="仿宋"/>
          <w:bCs/>
          <w:sz w:val="28"/>
        </w:rPr>
        <w:t xml:space="preserve">公正、客观的评估供应商的服务能力，奖优罚劣。 </w:t>
      </w:r>
    </w:p>
    <w:p>
      <w:pPr>
        <w:ind w:left="643"/>
        <w:rPr>
          <w:rFonts w:ascii="仿宋" w:hAnsi="仿宋" w:eastAsia="仿宋"/>
          <w:bCs/>
          <w:sz w:val="28"/>
        </w:rPr>
      </w:pPr>
    </w:p>
    <w:p>
      <w:pPr>
        <w:pStyle w:val="23"/>
        <w:numPr>
          <w:ilvl w:val="0"/>
          <w:numId w:val="1"/>
        </w:numPr>
        <w:spacing w:before="0" w:after="0" w:line="360" w:lineRule="auto"/>
        <w:jc w:val="center"/>
        <w:rPr>
          <w:rFonts w:ascii="仿宋" w:hAnsi="仿宋" w:eastAsia="仿宋"/>
          <w:szCs w:val="28"/>
          <w:lang w:val="en-GB" w:eastAsia="zh-CN"/>
        </w:rPr>
      </w:pPr>
      <w:bookmarkStart w:id="3" w:name="_Toc166903417"/>
      <w:bookmarkStart w:id="4" w:name="_Toc219549672"/>
      <w:r>
        <w:rPr>
          <w:rFonts w:ascii="仿宋" w:hAnsi="仿宋" w:eastAsia="仿宋"/>
          <w:szCs w:val="28"/>
          <w:lang w:val="en-GB" w:eastAsia="zh-CN"/>
        </w:rPr>
        <w:t>职责</w:t>
      </w:r>
      <w:bookmarkEnd w:id="3"/>
      <w:bookmarkEnd w:id="4"/>
      <w:r>
        <w:rPr>
          <w:rFonts w:hint="eastAsia" w:ascii="仿宋" w:hAnsi="仿宋" w:eastAsia="仿宋"/>
          <w:szCs w:val="28"/>
          <w:lang w:val="en-GB" w:eastAsia="zh-CN"/>
        </w:rPr>
        <w:t>分工</w:t>
      </w:r>
    </w:p>
    <w:p>
      <w:pPr>
        <w:numPr>
          <w:ilvl w:val="0"/>
          <w:numId w:val="2"/>
        </w:numPr>
        <w:ind w:left="0" w:firstLine="0"/>
        <w:rPr>
          <w:rFonts w:ascii="仿宋" w:hAnsi="仿宋" w:eastAsia="仿宋"/>
          <w:bCs/>
          <w:sz w:val="28"/>
        </w:rPr>
      </w:pPr>
      <w:bookmarkStart w:id="5" w:name="_Toc99877074"/>
      <w:bookmarkEnd w:id="5"/>
      <w:bookmarkStart w:id="6" w:name="_Toc99877020"/>
      <w:bookmarkEnd w:id="6"/>
      <w:bookmarkStart w:id="7" w:name="_Toc99876990"/>
      <w:bookmarkEnd w:id="7"/>
      <w:bookmarkStart w:id="8" w:name="_Toc99877054"/>
      <w:bookmarkEnd w:id="8"/>
      <w:r>
        <w:rPr>
          <w:rFonts w:hint="eastAsia" w:ascii="仿宋" w:hAnsi="仿宋" w:eastAsia="仿宋"/>
          <w:bCs/>
          <w:sz w:val="28"/>
        </w:rPr>
        <w:t>采购部职责</w:t>
      </w:r>
    </w:p>
    <w:p>
      <w:pPr>
        <w:pStyle w:val="24"/>
        <w:numPr>
          <w:ilvl w:val="0"/>
          <w:numId w:val="5"/>
        </w:numPr>
        <w:ind w:firstLineChars="0"/>
        <w:rPr>
          <w:rFonts w:ascii="仿宋" w:hAnsi="仿宋" w:eastAsia="仿宋"/>
          <w:bCs/>
          <w:sz w:val="28"/>
        </w:rPr>
      </w:pPr>
      <w:r>
        <w:rPr>
          <w:rFonts w:hint="eastAsia" w:ascii="仿宋" w:hAnsi="仿宋" w:eastAsia="仿宋"/>
          <w:bCs/>
          <w:sz w:val="28"/>
        </w:rPr>
        <w:t>负责公司供应商管理制度的制定、修改及监督执行；</w:t>
      </w:r>
    </w:p>
    <w:p>
      <w:pPr>
        <w:pStyle w:val="24"/>
        <w:numPr>
          <w:ilvl w:val="0"/>
          <w:numId w:val="5"/>
        </w:numPr>
        <w:ind w:firstLineChars="0"/>
        <w:rPr>
          <w:rFonts w:ascii="仿宋" w:hAnsi="仿宋" w:eastAsia="仿宋"/>
          <w:bCs/>
          <w:sz w:val="28"/>
        </w:rPr>
      </w:pPr>
      <w:r>
        <w:rPr>
          <w:rFonts w:hint="eastAsia" w:ascii="仿宋" w:hAnsi="仿宋" w:eastAsia="仿宋"/>
          <w:bCs/>
          <w:sz w:val="28"/>
        </w:rPr>
        <w:t>定期开展市场行情调查、收集整理市场信息，制订和实施供应商开发计划，建立适合公司特点的商品价格库及《合格供应商名单》；</w:t>
      </w:r>
    </w:p>
    <w:p>
      <w:pPr>
        <w:pStyle w:val="24"/>
        <w:numPr>
          <w:ilvl w:val="0"/>
          <w:numId w:val="5"/>
        </w:numPr>
        <w:ind w:firstLineChars="0"/>
        <w:rPr>
          <w:rFonts w:ascii="仿宋" w:hAnsi="仿宋" w:eastAsia="仿宋"/>
          <w:bCs/>
          <w:sz w:val="28"/>
        </w:rPr>
      </w:pPr>
      <w:r>
        <w:rPr>
          <w:rFonts w:hint="eastAsia" w:ascii="仿宋" w:hAnsi="仿宋" w:eastAsia="仿宋"/>
          <w:bCs/>
          <w:sz w:val="28"/>
        </w:rPr>
        <w:t>对供应商供货、质量、交期和售后服务工作进行监督；</w:t>
      </w:r>
    </w:p>
    <w:p>
      <w:pPr>
        <w:pStyle w:val="24"/>
        <w:numPr>
          <w:ilvl w:val="0"/>
          <w:numId w:val="5"/>
        </w:numPr>
        <w:ind w:firstLineChars="0"/>
        <w:rPr>
          <w:rFonts w:ascii="仿宋" w:hAnsi="仿宋" w:eastAsia="仿宋"/>
          <w:bCs/>
          <w:sz w:val="28"/>
        </w:rPr>
      </w:pPr>
      <w:r>
        <w:rPr>
          <w:rFonts w:hint="eastAsia" w:ascii="仿宋" w:hAnsi="仿宋" w:eastAsia="仿宋"/>
          <w:bCs/>
          <w:sz w:val="28"/>
        </w:rPr>
        <w:t>组织供应商的年度评审，保存调查记录，维护《合格供应商名单》，根据供应商的考核结果进行等级管理；</w:t>
      </w:r>
    </w:p>
    <w:p>
      <w:pPr>
        <w:pStyle w:val="24"/>
        <w:numPr>
          <w:ilvl w:val="0"/>
          <w:numId w:val="5"/>
        </w:numPr>
        <w:ind w:firstLineChars="0"/>
        <w:rPr>
          <w:rFonts w:ascii="仿宋" w:hAnsi="仿宋" w:eastAsia="仿宋"/>
          <w:bCs/>
          <w:sz w:val="28"/>
        </w:rPr>
      </w:pPr>
      <w:r>
        <w:rPr>
          <w:rFonts w:hint="eastAsia" w:ascii="仿宋" w:hAnsi="仿宋" w:eastAsia="仿宋"/>
          <w:bCs/>
          <w:sz w:val="28"/>
        </w:rPr>
        <w:t>负责潜在供应商的拜访和评估工作，选择和推荐潜在供应商；</w:t>
      </w:r>
    </w:p>
    <w:p>
      <w:pPr>
        <w:pStyle w:val="24"/>
        <w:numPr>
          <w:ilvl w:val="0"/>
          <w:numId w:val="5"/>
        </w:numPr>
        <w:ind w:firstLineChars="0"/>
        <w:rPr>
          <w:rFonts w:ascii="仿宋" w:hAnsi="仿宋" w:eastAsia="仿宋"/>
          <w:bCs/>
          <w:sz w:val="28"/>
        </w:rPr>
      </w:pPr>
      <w:r>
        <w:rPr>
          <w:rFonts w:hint="eastAsia" w:ascii="仿宋" w:hAnsi="仿宋" w:eastAsia="仿宋"/>
          <w:bCs/>
          <w:sz w:val="28"/>
        </w:rPr>
        <w:t>参与重要供应商考察、考核工作，提供专业意见；</w:t>
      </w:r>
    </w:p>
    <w:p>
      <w:pPr>
        <w:pStyle w:val="24"/>
        <w:numPr>
          <w:ilvl w:val="0"/>
          <w:numId w:val="5"/>
        </w:numPr>
        <w:ind w:firstLineChars="0"/>
        <w:rPr>
          <w:rFonts w:ascii="仿宋" w:hAnsi="仿宋" w:eastAsia="仿宋"/>
          <w:bCs/>
          <w:sz w:val="28"/>
        </w:rPr>
      </w:pPr>
      <w:r>
        <w:rPr>
          <w:rFonts w:hint="eastAsia" w:ascii="仿宋" w:hAnsi="仿宋" w:eastAsia="仿宋"/>
          <w:bCs/>
          <w:sz w:val="28"/>
        </w:rPr>
        <w:t>对供应商的成本控制进行抽样调查及监督；</w:t>
      </w:r>
    </w:p>
    <w:p>
      <w:pPr>
        <w:pStyle w:val="24"/>
        <w:numPr>
          <w:ilvl w:val="0"/>
          <w:numId w:val="5"/>
        </w:numPr>
        <w:ind w:firstLineChars="0"/>
        <w:rPr>
          <w:rFonts w:ascii="仿宋" w:hAnsi="仿宋" w:eastAsia="仿宋"/>
          <w:bCs/>
          <w:sz w:val="28"/>
        </w:rPr>
      </w:pPr>
      <w:r>
        <w:rPr>
          <w:rFonts w:hint="eastAsia" w:ascii="仿宋" w:hAnsi="仿宋" w:eastAsia="仿宋"/>
          <w:bCs/>
          <w:sz w:val="28"/>
        </w:rPr>
        <w:t>随时抽查及跟踪供应商引入和评估过程中的违规行为，并组织相关部门讨论及执行处理结果。</w:t>
      </w:r>
    </w:p>
    <w:p>
      <w:pPr>
        <w:numPr>
          <w:ilvl w:val="0"/>
          <w:numId w:val="2"/>
        </w:numPr>
        <w:ind w:left="0" w:firstLine="0"/>
        <w:rPr>
          <w:rFonts w:ascii="仿宋" w:hAnsi="仿宋" w:eastAsia="仿宋"/>
          <w:bCs/>
          <w:sz w:val="28"/>
        </w:rPr>
      </w:pPr>
      <w:r>
        <w:rPr>
          <w:rFonts w:hint="eastAsia" w:ascii="仿宋" w:hAnsi="仿宋" w:eastAsia="仿宋"/>
          <w:bCs/>
          <w:sz w:val="28"/>
        </w:rPr>
        <w:t>需求申请部门负责</w:t>
      </w:r>
    </w:p>
    <w:p>
      <w:pPr>
        <w:pStyle w:val="24"/>
        <w:numPr>
          <w:ilvl w:val="0"/>
          <w:numId w:val="6"/>
        </w:numPr>
        <w:ind w:firstLineChars="0"/>
        <w:rPr>
          <w:rFonts w:ascii="仿宋" w:hAnsi="仿宋" w:eastAsia="仿宋"/>
          <w:bCs/>
          <w:sz w:val="28"/>
        </w:rPr>
      </w:pPr>
      <w:r>
        <w:rPr>
          <w:rFonts w:hint="eastAsia" w:ascii="仿宋" w:hAnsi="仿宋" w:eastAsia="仿宋"/>
          <w:bCs/>
          <w:sz w:val="28"/>
        </w:rPr>
        <w:t>协助向采购部提供所申请的产品质量、交货、服务等相关方面信息；</w:t>
      </w:r>
    </w:p>
    <w:p>
      <w:pPr>
        <w:pStyle w:val="24"/>
        <w:numPr>
          <w:ilvl w:val="0"/>
          <w:numId w:val="6"/>
        </w:numPr>
        <w:ind w:firstLineChars="0"/>
        <w:rPr>
          <w:rFonts w:ascii="仿宋" w:hAnsi="仿宋" w:eastAsia="仿宋"/>
          <w:bCs/>
          <w:sz w:val="28"/>
        </w:rPr>
      </w:pPr>
      <w:r>
        <w:rPr>
          <w:rFonts w:hint="eastAsia" w:ascii="仿宋" w:hAnsi="仿宋" w:eastAsia="仿宋"/>
          <w:bCs/>
          <w:sz w:val="28"/>
        </w:rPr>
        <w:t>收集所推荐的新供应商信息及资质，并填写《供应商背景调查表》； 如申请部门为需求方案确认部门，可直接提交至采购部审批 ；</w:t>
      </w:r>
    </w:p>
    <w:p>
      <w:pPr>
        <w:pStyle w:val="24"/>
        <w:numPr>
          <w:ilvl w:val="0"/>
          <w:numId w:val="6"/>
        </w:numPr>
        <w:ind w:firstLineChars="0"/>
        <w:rPr>
          <w:rFonts w:ascii="仿宋" w:hAnsi="仿宋" w:eastAsia="仿宋"/>
          <w:bCs/>
          <w:sz w:val="28"/>
        </w:rPr>
      </w:pPr>
      <w:r>
        <w:rPr>
          <w:rFonts w:hint="eastAsia" w:ascii="仿宋" w:hAnsi="仿宋" w:eastAsia="仿宋"/>
          <w:bCs/>
          <w:sz w:val="28"/>
        </w:rPr>
        <w:t>参与供应商的日常评审及年度评审，按照评估表对供应商当期的工作情况给予评价和建议。需求申请部门负责人需对部门的评价情况进行复核；</w:t>
      </w:r>
    </w:p>
    <w:p>
      <w:pPr>
        <w:pStyle w:val="24"/>
        <w:numPr>
          <w:ilvl w:val="0"/>
          <w:numId w:val="6"/>
        </w:numPr>
        <w:ind w:firstLineChars="0"/>
        <w:rPr>
          <w:rFonts w:ascii="仿宋" w:hAnsi="仿宋" w:eastAsia="仿宋"/>
          <w:bCs/>
          <w:sz w:val="28"/>
        </w:rPr>
      </w:pPr>
      <w:r>
        <w:rPr>
          <w:rFonts w:hint="eastAsia" w:ascii="仿宋" w:hAnsi="仿宋" w:eastAsia="仿宋"/>
          <w:bCs/>
          <w:sz w:val="28"/>
        </w:rPr>
        <w:t>需求申请部门负责人对其部门申请人提交的新供应商的《供应商背景调查表》及相关资料进行审核。如在所有审核环节中发现违规引入新供应商，可以直接驳回，并对自己的审核结果负责；</w:t>
      </w:r>
    </w:p>
    <w:p>
      <w:pPr>
        <w:pStyle w:val="24"/>
        <w:numPr>
          <w:ilvl w:val="0"/>
          <w:numId w:val="6"/>
        </w:numPr>
        <w:ind w:firstLineChars="0"/>
        <w:rPr>
          <w:rFonts w:ascii="仿宋" w:hAnsi="仿宋" w:eastAsia="仿宋"/>
          <w:bCs/>
          <w:sz w:val="28"/>
        </w:rPr>
      </w:pPr>
      <w:r>
        <w:rPr>
          <w:rFonts w:hint="eastAsia" w:ascii="仿宋" w:hAnsi="仿宋" w:eastAsia="仿宋"/>
          <w:bCs/>
          <w:sz w:val="28"/>
        </w:rPr>
        <w:t>参与供应商的年度评审，对需求申请部门提供的评估报告进行复核，同时对于需要改进的供应商提出改进意见，对于淘汰的供应商给予鉴定结果。</w:t>
      </w:r>
    </w:p>
    <w:p>
      <w:pPr>
        <w:tabs>
          <w:tab w:val="left" w:pos="1785"/>
        </w:tabs>
        <w:autoSpaceDE w:val="0"/>
        <w:autoSpaceDN w:val="0"/>
        <w:snapToGrid w:val="0"/>
        <w:rPr>
          <w:rFonts w:ascii="仿宋" w:hAnsi="仿宋" w:eastAsia="仿宋"/>
          <w:color w:val="000000"/>
          <w:kern w:val="0"/>
          <w:sz w:val="28"/>
          <w:szCs w:val="28"/>
        </w:rPr>
      </w:pPr>
    </w:p>
    <w:p>
      <w:pPr>
        <w:pStyle w:val="23"/>
        <w:numPr>
          <w:ilvl w:val="0"/>
          <w:numId w:val="1"/>
        </w:numPr>
        <w:spacing w:before="0" w:after="0" w:line="360" w:lineRule="auto"/>
        <w:jc w:val="center"/>
        <w:rPr>
          <w:rFonts w:ascii="仿宋" w:hAnsi="仿宋" w:eastAsia="仿宋"/>
          <w:szCs w:val="28"/>
          <w:lang w:val="en-GB" w:eastAsia="zh-CN"/>
        </w:rPr>
      </w:pPr>
      <w:r>
        <w:rPr>
          <w:rFonts w:hint="eastAsia" w:ascii="仿宋" w:hAnsi="仿宋" w:eastAsia="仿宋"/>
          <w:szCs w:val="28"/>
          <w:lang w:val="en-GB" w:eastAsia="zh-CN"/>
        </w:rPr>
        <w:t>供应商日常管理</w:t>
      </w:r>
    </w:p>
    <w:p>
      <w:pPr>
        <w:numPr>
          <w:ilvl w:val="0"/>
          <w:numId w:val="2"/>
        </w:numPr>
        <w:ind w:left="0" w:firstLine="0"/>
        <w:rPr>
          <w:rFonts w:ascii="仿宋" w:hAnsi="仿宋" w:eastAsia="仿宋"/>
          <w:bCs/>
          <w:sz w:val="28"/>
        </w:rPr>
      </w:pPr>
      <w:r>
        <w:rPr>
          <w:rFonts w:hint="eastAsia" w:ascii="仿宋" w:hAnsi="仿宋" w:eastAsia="仿宋"/>
          <w:bCs/>
          <w:sz w:val="28"/>
        </w:rPr>
        <w:t>供应商质量监控：采购部对供应商采取例行性审核，包括货品验收、工程质量稽查和服务情况调研，从而推进供应商的自主</w:t>
      </w:r>
    </w:p>
    <w:p>
      <w:pPr>
        <w:numPr>
          <w:ilvl w:val="0"/>
          <w:numId w:val="2"/>
        </w:numPr>
        <w:ind w:left="0" w:firstLine="0"/>
        <w:rPr>
          <w:rFonts w:ascii="仿宋" w:hAnsi="仿宋" w:eastAsia="仿宋"/>
          <w:bCs/>
          <w:sz w:val="28"/>
        </w:rPr>
      </w:pPr>
      <w:r>
        <w:rPr>
          <w:rFonts w:hint="eastAsia" w:ascii="仿宋" w:hAnsi="仿宋" w:eastAsia="仿宋"/>
          <w:bCs/>
          <w:sz w:val="28"/>
        </w:rPr>
        <w:t>供应商异常处理：因供应商无故不能交货、逾期交货或验收不合格的，供应商应按采购协议向公司赔偿，同时采购执行人应及时作出应急处理或申请更换供应商，以减少由此异常给公司造成的损失。</w:t>
      </w:r>
    </w:p>
    <w:p>
      <w:pPr>
        <w:numPr>
          <w:ilvl w:val="0"/>
          <w:numId w:val="2"/>
        </w:numPr>
        <w:ind w:left="0" w:firstLine="0"/>
        <w:rPr>
          <w:rFonts w:ascii="仿宋" w:hAnsi="仿宋" w:eastAsia="仿宋"/>
          <w:bCs/>
          <w:sz w:val="28"/>
        </w:rPr>
      </w:pPr>
      <w:r>
        <w:rPr>
          <w:rFonts w:hint="eastAsia" w:ascii="仿宋" w:hAnsi="仿宋" w:eastAsia="仿宋"/>
          <w:bCs/>
          <w:sz w:val="28"/>
        </w:rPr>
        <w:t>与供应商签订的合同内容需遵循公司相关规章制度。供应商服务合同内容主要包括但不限于以下内容：</w:t>
      </w:r>
    </w:p>
    <w:p>
      <w:pPr>
        <w:numPr>
          <w:ilvl w:val="0"/>
          <w:numId w:val="7"/>
        </w:numPr>
        <w:adjustRightInd w:val="0"/>
        <w:ind w:left="900" w:hanging="333"/>
        <w:jc w:val="left"/>
        <w:textAlignment w:val="baseline"/>
        <w:rPr>
          <w:rFonts w:ascii="仿宋" w:hAnsi="仿宋" w:eastAsia="仿宋" w:cs="Arial"/>
          <w:kern w:val="36"/>
          <w:sz w:val="28"/>
          <w:szCs w:val="28"/>
        </w:rPr>
      </w:pPr>
      <w:r>
        <w:rPr>
          <w:rFonts w:hint="eastAsia" w:ascii="仿宋" w:hAnsi="仿宋" w:eastAsia="仿宋" w:cs="Arial"/>
          <w:kern w:val="36"/>
          <w:sz w:val="28"/>
          <w:szCs w:val="28"/>
        </w:rPr>
        <w:t>明确服务方式：</w:t>
      </w:r>
    </w:p>
    <w:p>
      <w:pPr>
        <w:numPr>
          <w:ilvl w:val="0"/>
          <w:numId w:val="8"/>
        </w:numPr>
        <w:adjustRightInd w:val="0"/>
        <w:ind w:left="1560" w:hanging="709"/>
        <w:jc w:val="left"/>
        <w:textAlignment w:val="baseline"/>
        <w:rPr>
          <w:rFonts w:ascii="仿宋" w:hAnsi="仿宋" w:eastAsia="仿宋" w:cs="Arial"/>
          <w:kern w:val="36"/>
          <w:sz w:val="28"/>
          <w:szCs w:val="28"/>
        </w:rPr>
      </w:pPr>
      <w:r>
        <w:rPr>
          <w:rFonts w:hint="eastAsia" w:ascii="仿宋" w:hAnsi="仿宋" w:eastAsia="仿宋" w:cs="Arial"/>
          <w:kern w:val="36"/>
          <w:sz w:val="28"/>
          <w:szCs w:val="28"/>
        </w:rPr>
        <w:t>现场服务：进入公司现场提供服务；</w:t>
      </w:r>
    </w:p>
    <w:p>
      <w:pPr>
        <w:numPr>
          <w:ilvl w:val="0"/>
          <w:numId w:val="8"/>
        </w:numPr>
        <w:tabs>
          <w:tab w:val="left" w:pos="900"/>
        </w:tabs>
        <w:adjustRightInd w:val="0"/>
        <w:ind w:left="1560" w:hanging="709"/>
        <w:jc w:val="left"/>
        <w:textAlignment w:val="baseline"/>
        <w:rPr>
          <w:rFonts w:ascii="仿宋" w:hAnsi="仿宋" w:eastAsia="仿宋" w:cs="Arial"/>
          <w:kern w:val="36"/>
          <w:sz w:val="28"/>
          <w:szCs w:val="28"/>
        </w:rPr>
      </w:pPr>
      <w:r>
        <w:rPr>
          <w:rFonts w:hint="eastAsia" w:ascii="仿宋" w:hAnsi="仿宋" w:eastAsia="仿宋" w:cs="Arial"/>
          <w:kern w:val="36"/>
          <w:sz w:val="28"/>
          <w:szCs w:val="28"/>
        </w:rPr>
        <w:t>非现场服务：不进入公司现场提供服务；</w:t>
      </w:r>
    </w:p>
    <w:p>
      <w:pPr>
        <w:numPr>
          <w:ilvl w:val="0"/>
          <w:numId w:val="8"/>
        </w:numPr>
        <w:tabs>
          <w:tab w:val="left" w:pos="900"/>
        </w:tabs>
        <w:adjustRightInd w:val="0"/>
        <w:ind w:left="1560" w:hanging="709"/>
        <w:jc w:val="left"/>
        <w:textAlignment w:val="baseline"/>
        <w:rPr>
          <w:rFonts w:ascii="仿宋" w:hAnsi="仿宋" w:eastAsia="仿宋" w:cs="Arial"/>
          <w:kern w:val="36"/>
          <w:sz w:val="28"/>
          <w:szCs w:val="28"/>
        </w:rPr>
      </w:pPr>
      <w:r>
        <w:rPr>
          <w:rFonts w:hint="eastAsia" w:ascii="仿宋" w:hAnsi="仿宋" w:eastAsia="仿宋" w:cs="Arial"/>
          <w:kern w:val="36"/>
          <w:sz w:val="28"/>
          <w:szCs w:val="28"/>
        </w:rPr>
        <w:t>现场服务+非现场服务：视服务需要采取现场服务或非现场服务。</w:t>
      </w:r>
    </w:p>
    <w:p>
      <w:pPr>
        <w:numPr>
          <w:ilvl w:val="0"/>
          <w:numId w:val="7"/>
        </w:numPr>
        <w:adjustRightInd w:val="0"/>
        <w:ind w:left="900" w:hanging="333"/>
        <w:jc w:val="left"/>
        <w:textAlignment w:val="baseline"/>
        <w:rPr>
          <w:rFonts w:ascii="仿宋" w:hAnsi="仿宋" w:eastAsia="仿宋" w:cs="Arial"/>
          <w:kern w:val="36"/>
          <w:sz w:val="28"/>
          <w:szCs w:val="28"/>
        </w:rPr>
      </w:pPr>
      <w:r>
        <w:rPr>
          <w:rFonts w:hint="eastAsia" w:ascii="仿宋" w:hAnsi="仿宋" w:eastAsia="仿宋" w:cs="Arial"/>
          <w:kern w:val="36"/>
          <w:sz w:val="28"/>
          <w:szCs w:val="28"/>
        </w:rPr>
        <w:t>列明提供的服务种类，描述各服务种类的内容。</w:t>
      </w:r>
    </w:p>
    <w:p>
      <w:pPr>
        <w:numPr>
          <w:ilvl w:val="0"/>
          <w:numId w:val="7"/>
        </w:numPr>
        <w:adjustRightInd w:val="0"/>
        <w:ind w:left="900" w:hanging="333"/>
        <w:jc w:val="left"/>
        <w:textAlignment w:val="baseline"/>
        <w:rPr>
          <w:rFonts w:ascii="仿宋" w:hAnsi="仿宋" w:eastAsia="仿宋" w:cs="Arial"/>
          <w:kern w:val="36"/>
          <w:sz w:val="28"/>
          <w:szCs w:val="28"/>
        </w:rPr>
      </w:pPr>
      <w:r>
        <w:rPr>
          <w:rFonts w:hint="eastAsia" w:ascii="仿宋" w:hAnsi="仿宋" w:eastAsia="仿宋" w:cs="Arial"/>
          <w:kern w:val="36"/>
          <w:sz w:val="28"/>
          <w:szCs w:val="28"/>
        </w:rPr>
        <w:t>根据服务方式、服务种类，确定信息安全管理手段：</w:t>
      </w:r>
    </w:p>
    <w:p>
      <w:pPr>
        <w:numPr>
          <w:ilvl w:val="0"/>
          <w:numId w:val="9"/>
        </w:numPr>
        <w:adjustRightInd w:val="0"/>
        <w:ind w:left="1560" w:hanging="709"/>
        <w:jc w:val="left"/>
        <w:textAlignment w:val="baseline"/>
        <w:rPr>
          <w:rFonts w:ascii="仿宋" w:hAnsi="仿宋" w:eastAsia="仿宋" w:cs="Arial"/>
          <w:kern w:val="36"/>
          <w:sz w:val="28"/>
          <w:szCs w:val="28"/>
        </w:rPr>
      </w:pPr>
      <w:r>
        <w:rPr>
          <w:rFonts w:hint="eastAsia" w:ascii="仿宋" w:hAnsi="仿宋" w:eastAsia="仿宋" w:cs="Arial"/>
          <w:kern w:val="36"/>
          <w:sz w:val="28"/>
          <w:szCs w:val="28"/>
        </w:rPr>
        <w:t>物理环境访问权限的设置与说明。</w:t>
      </w:r>
    </w:p>
    <w:p>
      <w:pPr>
        <w:numPr>
          <w:ilvl w:val="0"/>
          <w:numId w:val="9"/>
        </w:numPr>
        <w:adjustRightInd w:val="0"/>
        <w:ind w:left="1560" w:hanging="709"/>
        <w:jc w:val="left"/>
        <w:textAlignment w:val="baseline"/>
        <w:rPr>
          <w:rFonts w:ascii="仿宋" w:hAnsi="仿宋" w:eastAsia="仿宋" w:cs="Arial"/>
          <w:kern w:val="36"/>
          <w:sz w:val="28"/>
          <w:szCs w:val="28"/>
        </w:rPr>
      </w:pPr>
      <w:r>
        <w:rPr>
          <w:rFonts w:hint="eastAsia" w:ascii="仿宋" w:hAnsi="仿宋" w:eastAsia="仿宋" w:cs="Arial"/>
          <w:kern w:val="36"/>
          <w:sz w:val="28"/>
          <w:szCs w:val="28"/>
        </w:rPr>
        <w:t>供应商使用设备的管理，在服务过程中明确对设备的授权方式、监视和撤消用户活动的权限。</w:t>
      </w:r>
    </w:p>
    <w:p>
      <w:pPr>
        <w:numPr>
          <w:ilvl w:val="0"/>
          <w:numId w:val="9"/>
        </w:numPr>
        <w:adjustRightInd w:val="0"/>
        <w:ind w:left="1560" w:hanging="709"/>
        <w:jc w:val="left"/>
        <w:textAlignment w:val="baseline"/>
        <w:rPr>
          <w:rFonts w:ascii="仿宋" w:hAnsi="仿宋" w:eastAsia="仿宋" w:cs="Arial"/>
          <w:kern w:val="36"/>
          <w:sz w:val="28"/>
          <w:szCs w:val="28"/>
        </w:rPr>
      </w:pPr>
      <w:r>
        <w:rPr>
          <w:rFonts w:hint="eastAsia" w:ascii="仿宋" w:hAnsi="仿宋" w:eastAsia="仿宋" w:cs="Arial"/>
          <w:kern w:val="36"/>
          <w:sz w:val="28"/>
          <w:szCs w:val="28"/>
        </w:rPr>
        <w:t>签署保密协议。</w:t>
      </w:r>
    </w:p>
    <w:p>
      <w:pPr>
        <w:numPr>
          <w:ilvl w:val="0"/>
          <w:numId w:val="9"/>
        </w:numPr>
        <w:adjustRightInd w:val="0"/>
        <w:ind w:left="1560" w:hanging="709"/>
        <w:jc w:val="left"/>
        <w:textAlignment w:val="baseline"/>
        <w:rPr>
          <w:rFonts w:ascii="仿宋" w:hAnsi="仿宋" w:eastAsia="仿宋" w:cs="Arial"/>
          <w:kern w:val="36"/>
          <w:sz w:val="28"/>
          <w:szCs w:val="28"/>
        </w:rPr>
      </w:pPr>
      <w:r>
        <w:rPr>
          <w:rFonts w:hint="eastAsia" w:ascii="仿宋" w:hAnsi="仿宋" w:eastAsia="仿宋" w:cs="Arial"/>
          <w:kern w:val="36"/>
          <w:sz w:val="28"/>
          <w:szCs w:val="28"/>
        </w:rPr>
        <w:t>明确服务人员要求：包括人员资格要求、撤换服务人员的规定、安全规范的遵守。</w:t>
      </w:r>
    </w:p>
    <w:p>
      <w:pPr>
        <w:numPr>
          <w:ilvl w:val="0"/>
          <w:numId w:val="9"/>
        </w:numPr>
        <w:adjustRightInd w:val="0"/>
        <w:ind w:left="1560" w:hanging="709"/>
        <w:jc w:val="left"/>
        <w:textAlignment w:val="baseline"/>
        <w:rPr>
          <w:rFonts w:ascii="仿宋" w:hAnsi="仿宋" w:eastAsia="仿宋" w:cs="Arial"/>
          <w:kern w:val="36"/>
          <w:sz w:val="28"/>
          <w:szCs w:val="28"/>
        </w:rPr>
      </w:pPr>
      <w:r>
        <w:rPr>
          <w:rFonts w:hint="eastAsia" w:ascii="仿宋" w:hAnsi="仿宋" w:eastAsia="仿宋" w:cs="Arial"/>
          <w:kern w:val="36"/>
          <w:sz w:val="28"/>
          <w:szCs w:val="28"/>
        </w:rPr>
        <w:t>明确服务水平要求：</w:t>
      </w:r>
    </w:p>
    <w:p>
      <w:pPr>
        <w:numPr>
          <w:ilvl w:val="0"/>
          <w:numId w:val="10"/>
        </w:numPr>
        <w:adjustRightInd w:val="0"/>
        <w:jc w:val="left"/>
        <w:textAlignment w:val="baseline"/>
        <w:rPr>
          <w:rFonts w:ascii="仿宋" w:hAnsi="仿宋" w:eastAsia="仿宋" w:cs="Arial"/>
          <w:kern w:val="36"/>
          <w:sz w:val="28"/>
          <w:szCs w:val="28"/>
        </w:rPr>
      </w:pPr>
      <w:r>
        <w:rPr>
          <w:rFonts w:hint="eastAsia" w:ascii="仿宋" w:hAnsi="仿宋" w:eastAsia="仿宋" w:cs="Arial"/>
          <w:kern w:val="36"/>
          <w:sz w:val="28"/>
          <w:szCs w:val="28"/>
        </w:rPr>
        <w:t>确定服务报告的格式与服务报告被确认的标准；</w:t>
      </w:r>
    </w:p>
    <w:p>
      <w:pPr>
        <w:numPr>
          <w:ilvl w:val="0"/>
          <w:numId w:val="10"/>
        </w:numPr>
        <w:adjustRightInd w:val="0"/>
        <w:jc w:val="left"/>
        <w:textAlignment w:val="baseline"/>
        <w:rPr>
          <w:rFonts w:ascii="仿宋" w:hAnsi="仿宋" w:eastAsia="仿宋" w:cs="Arial"/>
          <w:kern w:val="36"/>
          <w:sz w:val="28"/>
          <w:szCs w:val="28"/>
        </w:rPr>
      </w:pPr>
      <w:r>
        <w:rPr>
          <w:rFonts w:hint="eastAsia" w:ascii="仿宋" w:hAnsi="仿宋" w:eastAsia="仿宋" w:cs="Arial"/>
          <w:kern w:val="36"/>
          <w:sz w:val="28"/>
          <w:szCs w:val="28"/>
        </w:rPr>
        <w:t>供应商服务过程中提供物品的要求，如零备件、消耗品等的数量与质量要求；</w:t>
      </w:r>
    </w:p>
    <w:p>
      <w:pPr>
        <w:numPr>
          <w:ilvl w:val="0"/>
          <w:numId w:val="10"/>
        </w:numPr>
        <w:adjustRightInd w:val="0"/>
        <w:jc w:val="left"/>
        <w:textAlignment w:val="baseline"/>
        <w:rPr>
          <w:rFonts w:ascii="仿宋" w:hAnsi="仿宋" w:eastAsia="仿宋" w:cs="Arial"/>
          <w:kern w:val="36"/>
          <w:sz w:val="28"/>
          <w:szCs w:val="28"/>
        </w:rPr>
      </w:pPr>
      <w:r>
        <w:rPr>
          <w:rFonts w:hint="eastAsia" w:ascii="仿宋" w:hAnsi="仿宋" w:eastAsia="仿宋" w:cs="Arial"/>
          <w:kern w:val="36"/>
          <w:sz w:val="28"/>
          <w:szCs w:val="28"/>
        </w:rPr>
        <w:t>明确供应商服务响应时间的要求与衡量方式；</w:t>
      </w:r>
    </w:p>
    <w:p>
      <w:pPr>
        <w:numPr>
          <w:ilvl w:val="0"/>
          <w:numId w:val="10"/>
        </w:numPr>
        <w:adjustRightInd w:val="0"/>
        <w:jc w:val="left"/>
        <w:textAlignment w:val="baseline"/>
        <w:rPr>
          <w:rFonts w:ascii="仿宋" w:hAnsi="仿宋" w:eastAsia="仿宋" w:cs="Arial"/>
          <w:kern w:val="36"/>
          <w:sz w:val="28"/>
          <w:szCs w:val="28"/>
        </w:rPr>
      </w:pPr>
      <w:r>
        <w:rPr>
          <w:rFonts w:hint="eastAsia" w:ascii="仿宋" w:hAnsi="仿宋" w:eastAsia="仿宋" w:cs="Arial"/>
          <w:kern w:val="36"/>
          <w:sz w:val="28"/>
          <w:szCs w:val="28"/>
        </w:rPr>
        <w:t>列明期望的服务水平与不可接受的服务水平。</w:t>
      </w:r>
    </w:p>
    <w:p>
      <w:pPr>
        <w:numPr>
          <w:ilvl w:val="0"/>
          <w:numId w:val="9"/>
        </w:numPr>
        <w:adjustRightInd w:val="0"/>
        <w:ind w:left="1560" w:hanging="709"/>
        <w:jc w:val="left"/>
        <w:textAlignment w:val="baseline"/>
        <w:rPr>
          <w:rFonts w:ascii="仿宋" w:hAnsi="仿宋" w:eastAsia="仿宋" w:cs="Arial"/>
          <w:kern w:val="36"/>
          <w:sz w:val="28"/>
          <w:szCs w:val="28"/>
        </w:rPr>
      </w:pPr>
      <w:r>
        <w:rPr>
          <w:rFonts w:hint="eastAsia" w:ascii="仿宋" w:hAnsi="仿宋" w:eastAsia="仿宋" w:cs="Arial"/>
          <w:kern w:val="36"/>
          <w:sz w:val="28"/>
          <w:szCs w:val="28"/>
        </w:rPr>
        <w:t>服务过程中异常事件的通报与处理机制：</w:t>
      </w:r>
    </w:p>
    <w:p>
      <w:pPr>
        <w:numPr>
          <w:ilvl w:val="0"/>
          <w:numId w:val="11"/>
        </w:numPr>
        <w:adjustRightInd w:val="0"/>
        <w:jc w:val="left"/>
        <w:textAlignment w:val="baseline"/>
        <w:rPr>
          <w:rFonts w:ascii="仿宋" w:hAnsi="仿宋" w:eastAsia="仿宋" w:cs="Arial"/>
          <w:kern w:val="36"/>
          <w:sz w:val="28"/>
          <w:szCs w:val="28"/>
        </w:rPr>
      </w:pPr>
      <w:r>
        <w:rPr>
          <w:rFonts w:hint="eastAsia" w:ascii="仿宋" w:hAnsi="仿宋" w:eastAsia="仿宋" w:cs="Arial"/>
          <w:kern w:val="36"/>
          <w:sz w:val="28"/>
          <w:szCs w:val="28"/>
        </w:rPr>
        <w:t>确定正常工作程序；</w:t>
      </w:r>
    </w:p>
    <w:p>
      <w:pPr>
        <w:numPr>
          <w:ilvl w:val="0"/>
          <w:numId w:val="11"/>
        </w:numPr>
        <w:adjustRightInd w:val="0"/>
        <w:jc w:val="left"/>
        <w:textAlignment w:val="baseline"/>
        <w:rPr>
          <w:rFonts w:ascii="仿宋" w:hAnsi="仿宋" w:eastAsia="仿宋" w:cs="Arial"/>
          <w:kern w:val="36"/>
          <w:sz w:val="28"/>
          <w:szCs w:val="28"/>
        </w:rPr>
      </w:pPr>
      <w:r>
        <w:rPr>
          <w:rFonts w:hint="eastAsia" w:ascii="仿宋" w:hAnsi="仿宋" w:eastAsia="仿宋" w:cs="Arial"/>
          <w:kern w:val="36"/>
          <w:sz w:val="28"/>
          <w:szCs w:val="28"/>
        </w:rPr>
        <w:t>明确供应商工作过程中的变更授权流程；</w:t>
      </w:r>
    </w:p>
    <w:p>
      <w:pPr>
        <w:numPr>
          <w:ilvl w:val="0"/>
          <w:numId w:val="11"/>
        </w:numPr>
        <w:adjustRightInd w:val="0"/>
        <w:jc w:val="left"/>
        <w:textAlignment w:val="baseline"/>
        <w:rPr>
          <w:rFonts w:ascii="仿宋" w:hAnsi="仿宋" w:eastAsia="仿宋" w:cs="Arial"/>
          <w:kern w:val="36"/>
          <w:sz w:val="28"/>
          <w:szCs w:val="28"/>
        </w:rPr>
      </w:pPr>
      <w:r>
        <w:rPr>
          <w:rFonts w:hint="eastAsia" w:ascii="仿宋" w:hAnsi="仿宋" w:eastAsia="仿宋" w:cs="Arial"/>
          <w:kern w:val="36"/>
          <w:sz w:val="28"/>
          <w:szCs w:val="28"/>
        </w:rPr>
        <w:t>异常情况报告机制，包括报告时间、向谁报告；</w:t>
      </w:r>
    </w:p>
    <w:p>
      <w:pPr>
        <w:numPr>
          <w:ilvl w:val="0"/>
          <w:numId w:val="11"/>
        </w:numPr>
        <w:adjustRightInd w:val="0"/>
        <w:jc w:val="left"/>
        <w:textAlignment w:val="baseline"/>
        <w:rPr>
          <w:rFonts w:ascii="仿宋" w:hAnsi="仿宋" w:eastAsia="仿宋" w:cs="Arial"/>
          <w:kern w:val="36"/>
          <w:sz w:val="28"/>
          <w:szCs w:val="28"/>
        </w:rPr>
      </w:pPr>
      <w:r>
        <w:rPr>
          <w:rFonts w:hint="eastAsia" w:ascii="仿宋" w:hAnsi="仿宋" w:eastAsia="仿宋" w:cs="Arial"/>
          <w:kern w:val="36"/>
          <w:sz w:val="28"/>
          <w:szCs w:val="28"/>
        </w:rPr>
        <w:t>安全事故处理机制，包括如何调查、通知、处理；</w:t>
      </w:r>
    </w:p>
    <w:p>
      <w:pPr>
        <w:numPr>
          <w:ilvl w:val="0"/>
          <w:numId w:val="11"/>
        </w:numPr>
        <w:adjustRightInd w:val="0"/>
        <w:jc w:val="left"/>
        <w:textAlignment w:val="baseline"/>
        <w:rPr>
          <w:rFonts w:ascii="仿宋" w:hAnsi="仿宋" w:eastAsia="仿宋" w:cs="Arial"/>
          <w:kern w:val="36"/>
          <w:sz w:val="28"/>
          <w:szCs w:val="28"/>
        </w:rPr>
      </w:pPr>
      <w:r>
        <w:rPr>
          <w:rFonts w:hint="eastAsia" w:ascii="仿宋" w:hAnsi="仿宋" w:eastAsia="仿宋" w:cs="Arial"/>
          <w:kern w:val="36"/>
          <w:sz w:val="28"/>
          <w:szCs w:val="28"/>
        </w:rPr>
        <w:t>提供处理信息安全事件的联络方式。</w:t>
      </w:r>
    </w:p>
    <w:p>
      <w:pPr>
        <w:numPr>
          <w:ilvl w:val="0"/>
          <w:numId w:val="9"/>
        </w:numPr>
        <w:adjustRightInd w:val="0"/>
        <w:ind w:left="1560" w:hanging="709"/>
        <w:jc w:val="left"/>
        <w:textAlignment w:val="baseline"/>
        <w:rPr>
          <w:rFonts w:ascii="仿宋" w:hAnsi="仿宋" w:eastAsia="仿宋" w:cs="Arial"/>
          <w:kern w:val="36"/>
          <w:sz w:val="28"/>
          <w:szCs w:val="28"/>
        </w:rPr>
      </w:pPr>
      <w:r>
        <w:rPr>
          <w:rFonts w:hint="eastAsia" w:ascii="仿宋" w:hAnsi="仿宋" w:eastAsia="仿宋" w:cs="Arial"/>
          <w:kern w:val="36"/>
          <w:sz w:val="28"/>
          <w:szCs w:val="28"/>
        </w:rPr>
        <w:t>制订供应商所提供服务不能满足服务水平要求的惩罚条款。</w:t>
      </w:r>
    </w:p>
    <w:p>
      <w:pPr>
        <w:numPr>
          <w:ilvl w:val="0"/>
          <w:numId w:val="9"/>
        </w:numPr>
        <w:adjustRightInd w:val="0"/>
        <w:ind w:left="1560" w:hanging="709"/>
        <w:jc w:val="left"/>
        <w:textAlignment w:val="baseline"/>
        <w:rPr>
          <w:rFonts w:ascii="仿宋" w:hAnsi="仿宋" w:eastAsia="仿宋" w:cs="Arial"/>
          <w:kern w:val="36"/>
          <w:sz w:val="28"/>
          <w:szCs w:val="28"/>
        </w:rPr>
      </w:pPr>
      <w:r>
        <w:rPr>
          <w:rFonts w:hint="eastAsia" w:ascii="仿宋" w:hAnsi="仿宋" w:eastAsia="仿宋" w:cs="Arial"/>
          <w:kern w:val="36"/>
          <w:sz w:val="28"/>
          <w:szCs w:val="28"/>
        </w:rPr>
        <w:t>明确检查供应商工作的权利：有权监视、审核、评估服务商所提供服务的状况，并且根据合同予以相应奖惩。</w:t>
      </w:r>
    </w:p>
    <w:p>
      <w:pPr>
        <w:numPr>
          <w:ilvl w:val="0"/>
          <w:numId w:val="2"/>
        </w:numPr>
        <w:ind w:left="0" w:firstLine="0"/>
        <w:rPr>
          <w:rFonts w:ascii="仿宋" w:hAnsi="仿宋" w:eastAsia="仿宋"/>
          <w:bCs/>
          <w:sz w:val="28"/>
        </w:rPr>
      </w:pPr>
      <w:r>
        <w:rPr>
          <w:rFonts w:hint="eastAsia" w:ascii="仿宋" w:hAnsi="仿宋" w:eastAsia="仿宋"/>
          <w:bCs/>
          <w:sz w:val="28"/>
        </w:rPr>
        <w:t>服务管理</w:t>
      </w:r>
    </w:p>
    <w:p>
      <w:pPr>
        <w:numPr>
          <w:ilvl w:val="0"/>
          <w:numId w:val="12"/>
        </w:numPr>
        <w:adjustRightInd w:val="0"/>
        <w:ind w:left="900" w:hanging="333"/>
        <w:jc w:val="left"/>
        <w:textAlignment w:val="baseline"/>
        <w:rPr>
          <w:rFonts w:ascii="仿宋" w:hAnsi="仿宋" w:eastAsia="仿宋" w:cs="Arial"/>
          <w:kern w:val="36"/>
          <w:sz w:val="28"/>
          <w:szCs w:val="28"/>
        </w:rPr>
      </w:pPr>
      <w:r>
        <w:rPr>
          <w:rFonts w:hint="eastAsia" w:ascii="仿宋" w:hAnsi="仿宋" w:eastAsia="仿宋" w:cs="Arial"/>
          <w:kern w:val="36"/>
          <w:sz w:val="28"/>
          <w:szCs w:val="28"/>
        </w:rPr>
        <w:t>现场服务的供应商工作时必须遵守公司人员、设备准入、病毒防护、用户密码管理等相关要求；</w:t>
      </w:r>
    </w:p>
    <w:p>
      <w:pPr>
        <w:numPr>
          <w:ilvl w:val="0"/>
          <w:numId w:val="12"/>
        </w:numPr>
        <w:adjustRightInd w:val="0"/>
        <w:ind w:left="900" w:hanging="333"/>
        <w:jc w:val="left"/>
        <w:textAlignment w:val="baseline"/>
        <w:rPr>
          <w:rFonts w:ascii="仿宋" w:hAnsi="仿宋" w:eastAsia="仿宋" w:cs="Arial"/>
          <w:kern w:val="36"/>
          <w:sz w:val="28"/>
          <w:szCs w:val="28"/>
        </w:rPr>
      </w:pPr>
      <w:r>
        <w:rPr>
          <w:rFonts w:hint="eastAsia" w:ascii="仿宋" w:hAnsi="仿宋" w:eastAsia="仿宋" w:cs="Arial"/>
          <w:kern w:val="36"/>
          <w:sz w:val="28"/>
          <w:szCs w:val="28"/>
        </w:rPr>
        <w:t>非现场服务的供应商通过远程登录的方式开展工作必须遵守公司关于远程登录、网络安全等方面的要求；</w:t>
      </w:r>
    </w:p>
    <w:p>
      <w:pPr>
        <w:numPr>
          <w:ilvl w:val="0"/>
          <w:numId w:val="12"/>
        </w:numPr>
        <w:adjustRightInd w:val="0"/>
        <w:ind w:left="900" w:hanging="333"/>
        <w:jc w:val="left"/>
        <w:textAlignment w:val="baseline"/>
        <w:rPr>
          <w:rFonts w:ascii="仿宋" w:hAnsi="仿宋" w:eastAsia="仿宋" w:cs="Arial"/>
          <w:kern w:val="36"/>
          <w:sz w:val="28"/>
          <w:szCs w:val="28"/>
        </w:rPr>
      </w:pPr>
      <w:r>
        <w:rPr>
          <w:rFonts w:hint="eastAsia" w:ascii="仿宋" w:hAnsi="仿宋" w:eastAsia="仿宋" w:cs="Arial"/>
          <w:kern w:val="36"/>
          <w:sz w:val="28"/>
          <w:szCs w:val="28"/>
        </w:rPr>
        <w:t>供应商在工作过程中，所发现到生产设备的异常，应形成相应的报告，按事件管理进行处理；</w:t>
      </w:r>
    </w:p>
    <w:p>
      <w:pPr>
        <w:numPr>
          <w:ilvl w:val="0"/>
          <w:numId w:val="12"/>
        </w:numPr>
        <w:adjustRightInd w:val="0"/>
        <w:ind w:left="900" w:hanging="333"/>
        <w:jc w:val="left"/>
        <w:textAlignment w:val="baseline"/>
        <w:rPr>
          <w:rFonts w:ascii="仿宋" w:hAnsi="仿宋" w:eastAsia="仿宋" w:cs="Arial"/>
          <w:kern w:val="36"/>
          <w:sz w:val="28"/>
          <w:szCs w:val="28"/>
        </w:rPr>
      </w:pPr>
      <w:r>
        <w:rPr>
          <w:rFonts w:hint="eastAsia" w:ascii="仿宋" w:hAnsi="仿宋" w:eastAsia="仿宋" w:cs="Arial"/>
          <w:kern w:val="36"/>
          <w:sz w:val="28"/>
          <w:szCs w:val="28"/>
        </w:rPr>
        <w:t>供应商在工作过程中，如涉及到对生产设备、系统、数据的变动，也应按变更管理进行处理；</w:t>
      </w:r>
    </w:p>
    <w:p>
      <w:pPr>
        <w:numPr>
          <w:ilvl w:val="0"/>
          <w:numId w:val="12"/>
        </w:numPr>
        <w:adjustRightInd w:val="0"/>
        <w:ind w:left="900" w:hanging="333"/>
        <w:jc w:val="left"/>
        <w:textAlignment w:val="baseline"/>
        <w:rPr>
          <w:rFonts w:ascii="仿宋" w:hAnsi="仿宋" w:eastAsia="仿宋" w:cs="Arial"/>
          <w:kern w:val="36"/>
          <w:sz w:val="28"/>
          <w:szCs w:val="28"/>
        </w:rPr>
      </w:pPr>
      <w:r>
        <w:rPr>
          <w:rFonts w:hint="eastAsia" w:ascii="仿宋" w:hAnsi="仿宋" w:eastAsia="仿宋" w:cs="Arial"/>
          <w:kern w:val="36"/>
          <w:sz w:val="28"/>
          <w:szCs w:val="28"/>
        </w:rPr>
        <w:t>各部门应将公司安全管理策略和程序的更改以及改进安全的新的控制措施及时通知供应商，以便其遵守；</w:t>
      </w:r>
    </w:p>
    <w:p>
      <w:pPr>
        <w:numPr>
          <w:ilvl w:val="0"/>
          <w:numId w:val="12"/>
        </w:numPr>
        <w:adjustRightInd w:val="0"/>
        <w:ind w:left="900" w:hanging="333"/>
        <w:jc w:val="left"/>
        <w:textAlignment w:val="baseline"/>
        <w:rPr>
          <w:rFonts w:ascii="仿宋" w:hAnsi="仿宋" w:eastAsia="仿宋" w:cs="Arial"/>
          <w:kern w:val="36"/>
          <w:sz w:val="28"/>
          <w:szCs w:val="28"/>
        </w:rPr>
      </w:pPr>
      <w:r>
        <w:rPr>
          <w:rFonts w:hint="eastAsia" w:ascii="仿宋" w:hAnsi="仿宋" w:eastAsia="仿宋" w:cs="Arial"/>
          <w:kern w:val="36"/>
          <w:sz w:val="28"/>
          <w:szCs w:val="28"/>
        </w:rPr>
        <w:t>体系各部门对供应商提出的新技术、新产品的采用等应在评估后报公司确认及审批。</w:t>
      </w:r>
    </w:p>
    <w:p>
      <w:pPr>
        <w:numPr>
          <w:ilvl w:val="0"/>
          <w:numId w:val="2"/>
        </w:numPr>
        <w:ind w:left="0" w:firstLine="0"/>
        <w:rPr>
          <w:rFonts w:ascii="仿宋" w:hAnsi="仿宋" w:eastAsia="仿宋"/>
          <w:bCs/>
          <w:sz w:val="28"/>
          <w:szCs w:val="28"/>
        </w:rPr>
      </w:pPr>
      <w:r>
        <w:rPr>
          <w:rFonts w:hint="eastAsia" w:ascii="仿宋" w:hAnsi="仿宋" w:eastAsia="仿宋"/>
          <w:bCs/>
          <w:sz w:val="28"/>
          <w:szCs w:val="28"/>
        </w:rPr>
        <w:t>多重供应商管理：</w:t>
      </w:r>
      <w:r>
        <w:rPr>
          <w:rFonts w:ascii="仿宋" w:hAnsi="仿宋" w:eastAsia="仿宋" w:cs="Arial"/>
          <w:sz w:val="28"/>
          <w:szCs w:val="28"/>
        </w:rPr>
        <w:t>当存在直接供应商和分包供应商时，</w:t>
      </w:r>
      <w:r>
        <w:rPr>
          <w:rFonts w:hint="eastAsia" w:ascii="仿宋" w:hAnsi="仿宋" w:eastAsia="仿宋" w:cs="Arial"/>
          <w:sz w:val="28"/>
          <w:szCs w:val="28"/>
        </w:rPr>
        <w:t>公司</w:t>
      </w:r>
      <w:r>
        <w:rPr>
          <w:rFonts w:ascii="仿宋" w:hAnsi="仿宋" w:eastAsia="仿宋" w:cs="Arial"/>
          <w:sz w:val="28"/>
          <w:szCs w:val="28"/>
        </w:rPr>
        <w:t>只负责管理直接供应商，分包供应商则由直接供应商负责管理；直接供应商应向</w:t>
      </w:r>
      <w:r>
        <w:rPr>
          <w:rFonts w:hint="eastAsia" w:ascii="仿宋" w:hAnsi="仿宋" w:eastAsia="仿宋" w:cs="Arial"/>
          <w:sz w:val="28"/>
          <w:szCs w:val="28"/>
        </w:rPr>
        <w:t>公司</w:t>
      </w:r>
      <w:r>
        <w:rPr>
          <w:rFonts w:ascii="仿宋" w:hAnsi="仿宋" w:eastAsia="仿宋" w:cs="Arial"/>
          <w:sz w:val="28"/>
          <w:szCs w:val="28"/>
        </w:rPr>
        <w:t>提供自己与分包供应商之间关系及责任划分的相关材料，确保分包供应商承诺的各项指标不低于自己承诺的各项指标</w:t>
      </w:r>
      <w:r>
        <w:rPr>
          <w:rFonts w:hint="eastAsia" w:ascii="仿宋" w:hAnsi="仿宋" w:eastAsia="仿宋" w:cs="Arial"/>
          <w:sz w:val="28"/>
          <w:szCs w:val="28"/>
        </w:rPr>
        <w:t>。</w:t>
      </w:r>
    </w:p>
    <w:p>
      <w:pPr>
        <w:rPr>
          <w:rFonts w:ascii="仿宋" w:hAnsi="仿宋" w:eastAsia="仿宋"/>
          <w:bCs/>
          <w:sz w:val="28"/>
        </w:rPr>
      </w:pPr>
    </w:p>
    <w:p>
      <w:pPr>
        <w:pStyle w:val="23"/>
        <w:numPr>
          <w:ilvl w:val="0"/>
          <w:numId w:val="1"/>
        </w:numPr>
        <w:spacing w:before="0" w:after="0" w:line="360" w:lineRule="auto"/>
        <w:jc w:val="center"/>
        <w:rPr>
          <w:rFonts w:ascii="仿宋" w:hAnsi="仿宋" w:eastAsia="仿宋"/>
          <w:szCs w:val="28"/>
          <w:lang w:val="en-GB" w:eastAsia="zh-CN"/>
        </w:rPr>
      </w:pPr>
      <w:r>
        <w:rPr>
          <w:rFonts w:hint="eastAsia" w:ascii="仿宋" w:hAnsi="仿宋" w:eastAsia="仿宋"/>
          <w:szCs w:val="28"/>
          <w:lang w:val="en-GB" w:eastAsia="zh-CN"/>
        </w:rPr>
        <w:t>供应商的日常评估</w:t>
      </w:r>
    </w:p>
    <w:p>
      <w:pPr>
        <w:numPr>
          <w:ilvl w:val="0"/>
          <w:numId w:val="2"/>
        </w:numPr>
        <w:ind w:left="0" w:firstLine="0"/>
        <w:rPr>
          <w:rFonts w:ascii="仿宋" w:hAnsi="仿宋" w:eastAsia="仿宋"/>
          <w:bCs/>
          <w:sz w:val="28"/>
        </w:rPr>
      </w:pPr>
      <w:r>
        <w:rPr>
          <w:rFonts w:hint="eastAsia" w:ascii="仿宋" w:hAnsi="仿宋" w:eastAsia="仿宋"/>
          <w:bCs/>
          <w:sz w:val="28"/>
        </w:rPr>
        <w:t>评估部门：供应商的日常评估由采购部 、需求申请部门组成评价小组，实际组成部门视具体项目而定。</w:t>
      </w:r>
    </w:p>
    <w:p>
      <w:pPr>
        <w:numPr>
          <w:ilvl w:val="0"/>
          <w:numId w:val="2"/>
        </w:numPr>
        <w:ind w:left="0" w:firstLine="0"/>
        <w:rPr>
          <w:rFonts w:ascii="仿宋" w:hAnsi="仿宋" w:eastAsia="仿宋"/>
          <w:bCs/>
          <w:sz w:val="28"/>
        </w:rPr>
      </w:pPr>
      <w:r>
        <w:rPr>
          <w:rFonts w:hint="eastAsia" w:ascii="仿宋" w:hAnsi="仿宋" w:eastAsia="仿宋"/>
          <w:bCs/>
          <w:sz w:val="28"/>
        </w:rPr>
        <w:t>评估内容：评估小组从品质、交付服务价格等几个方面进行评价，采用数据收集的方式进行。</w:t>
      </w:r>
    </w:p>
    <w:p>
      <w:pPr>
        <w:numPr>
          <w:ilvl w:val="0"/>
          <w:numId w:val="2"/>
        </w:numPr>
        <w:ind w:left="0" w:firstLine="0"/>
        <w:rPr>
          <w:rFonts w:ascii="仿宋" w:hAnsi="仿宋" w:eastAsia="仿宋"/>
          <w:bCs/>
          <w:sz w:val="28"/>
        </w:rPr>
      </w:pPr>
      <w:r>
        <w:rPr>
          <w:rFonts w:hint="eastAsia" w:ascii="仿宋" w:hAnsi="仿宋" w:eastAsia="仿宋"/>
          <w:bCs/>
          <w:sz w:val="28"/>
        </w:rPr>
        <w:t>评估周期：供应商日常评估在每个项目完结时进行一次。</w:t>
      </w:r>
    </w:p>
    <w:p>
      <w:pPr>
        <w:numPr>
          <w:ilvl w:val="0"/>
          <w:numId w:val="2"/>
        </w:numPr>
        <w:ind w:left="0" w:firstLine="0"/>
        <w:rPr>
          <w:rFonts w:ascii="仿宋" w:hAnsi="仿宋" w:eastAsia="仿宋"/>
          <w:bCs/>
          <w:sz w:val="28"/>
        </w:rPr>
      </w:pPr>
      <w:r>
        <w:rPr>
          <w:rFonts w:hint="eastAsia" w:ascii="仿宋" w:hAnsi="仿宋" w:eastAsia="仿宋"/>
          <w:bCs/>
          <w:sz w:val="28"/>
        </w:rPr>
        <w:t>评分标准及考核处理结果：可参考下方供应商年度考核结果处理细则。</w:t>
      </w:r>
    </w:p>
    <w:p>
      <w:pPr>
        <w:numPr>
          <w:ilvl w:val="0"/>
          <w:numId w:val="2"/>
        </w:numPr>
        <w:ind w:left="0" w:firstLine="0"/>
        <w:rPr>
          <w:rFonts w:ascii="仿宋" w:hAnsi="仿宋" w:eastAsia="仿宋"/>
          <w:bCs/>
          <w:sz w:val="28"/>
        </w:rPr>
      </w:pPr>
      <w:r>
        <w:rPr>
          <w:rFonts w:hint="eastAsia" w:ascii="仿宋" w:hAnsi="仿宋" w:eastAsia="仿宋"/>
          <w:bCs/>
          <w:sz w:val="28"/>
        </w:rPr>
        <w:t>日常评估的评价信息，作为后续供应商年度评价的输入及依据。</w:t>
      </w:r>
    </w:p>
    <w:p>
      <w:pPr>
        <w:pStyle w:val="21"/>
        <w:spacing w:line="360" w:lineRule="auto"/>
        <w:rPr>
          <w:rFonts w:ascii="仿宋" w:hAnsi="仿宋"/>
          <w:sz w:val="28"/>
          <w:szCs w:val="28"/>
        </w:rPr>
      </w:pPr>
    </w:p>
    <w:p>
      <w:pPr>
        <w:pStyle w:val="23"/>
        <w:numPr>
          <w:ilvl w:val="0"/>
          <w:numId w:val="1"/>
        </w:numPr>
        <w:spacing w:before="0" w:after="0" w:line="360" w:lineRule="auto"/>
        <w:jc w:val="center"/>
        <w:rPr>
          <w:rFonts w:ascii="仿宋" w:hAnsi="仿宋" w:eastAsia="仿宋"/>
          <w:szCs w:val="28"/>
          <w:lang w:val="en-GB" w:eastAsia="zh-CN"/>
        </w:rPr>
      </w:pPr>
      <w:bookmarkStart w:id="9" w:name="_Toc219549682"/>
      <w:r>
        <w:rPr>
          <w:rFonts w:ascii="仿宋" w:hAnsi="仿宋" w:eastAsia="仿宋"/>
          <w:szCs w:val="28"/>
          <w:lang w:val="en-GB" w:eastAsia="zh-CN"/>
        </w:rPr>
        <w:t xml:space="preserve"> </w:t>
      </w:r>
      <w:bookmarkEnd w:id="9"/>
      <w:r>
        <w:rPr>
          <w:rFonts w:hint="eastAsia" w:ascii="仿宋" w:hAnsi="仿宋" w:eastAsia="仿宋"/>
          <w:szCs w:val="28"/>
          <w:lang w:val="en-GB" w:eastAsia="zh-CN"/>
        </w:rPr>
        <w:t>供应商的年度考核和评估</w:t>
      </w:r>
    </w:p>
    <w:p>
      <w:pPr>
        <w:numPr>
          <w:ilvl w:val="0"/>
          <w:numId w:val="2"/>
        </w:numPr>
        <w:ind w:left="0" w:firstLine="0"/>
        <w:rPr>
          <w:rFonts w:ascii="仿宋" w:hAnsi="仿宋" w:eastAsia="仿宋"/>
          <w:bCs/>
          <w:sz w:val="28"/>
        </w:rPr>
      </w:pPr>
      <w:r>
        <w:rPr>
          <w:rFonts w:hint="eastAsia" w:ascii="仿宋" w:hAnsi="仿宋" w:eastAsia="仿宋"/>
          <w:bCs/>
          <w:sz w:val="28"/>
        </w:rPr>
        <w:t>每年第四季度，由采购部组织相关部门，对《合格供应商名单》 （集中采购和集中监管部分的供应商）进行评审。结合供应商的实际货情况及其信用记录，从品质、交期、价格、服务等几个方面对供应商进行考核和评估。</w:t>
      </w:r>
    </w:p>
    <w:p>
      <w:pPr>
        <w:numPr>
          <w:ilvl w:val="0"/>
          <w:numId w:val="2"/>
        </w:numPr>
        <w:ind w:left="0" w:firstLine="0"/>
        <w:rPr>
          <w:rFonts w:ascii="仿宋" w:hAnsi="仿宋" w:eastAsia="仿宋"/>
          <w:bCs/>
          <w:sz w:val="28"/>
        </w:rPr>
      </w:pPr>
      <w:r>
        <w:rPr>
          <w:rFonts w:hint="eastAsia" w:ascii="仿宋" w:hAnsi="仿宋" w:eastAsia="仿宋"/>
          <w:bCs/>
          <w:sz w:val="28"/>
        </w:rPr>
        <w:t>集中采购部分的评估 ，由采购部制定评估内容及对应分值</w:t>
      </w:r>
    </w:p>
    <w:p>
      <w:pPr>
        <w:numPr>
          <w:ilvl w:val="0"/>
          <w:numId w:val="2"/>
        </w:numPr>
        <w:ind w:left="0" w:firstLine="0"/>
        <w:rPr>
          <w:rFonts w:ascii="仿宋" w:hAnsi="仿宋" w:eastAsia="仿宋"/>
          <w:bCs/>
          <w:sz w:val="28"/>
        </w:rPr>
      </w:pPr>
      <w:r>
        <w:rPr>
          <w:rFonts w:hint="eastAsia" w:ascii="仿宋" w:hAnsi="仿宋" w:eastAsia="仿宋"/>
          <w:bCs/>
          <w:sz w:val="28"/>
        </w:rPr>
        <w:t>集中监管部分的评估，需求部门可以根据各类供应商产品及服务特点，在不违反大原则前提下，对相应评估细项编制更精准的评估内容，最终评估内容需要采购部复核通过，方可执行 。</w:t>
      </w:r>
    </w:p>
    <w:p>
      <w:pPr>
        <w:numPr>
          <w:ilvl w:val="0"/>
          <w:numId w:val="2"/>
        </w:numPr>
        <w:ind w:left="0" w:firstLine="0"/>
        <w:rPr>
          <w:rFonts w:ascii="仿宋" w:hAnsi="仿宋" w:eastAsia="仿宋"/>
          <w:bCs/>
          <w:sz w:val="28"/>
        </w:rPr>
      </w:pPr>
      <w:r>
        <w:rPr>
          <w:rFonts w:hint="eastAsia" w:ascii="仿宋" w:hAnsi="仿宋" w:eastAsia="仿宋"/>
          <w:bCs/>
          <w:sz w:val="28"/>
        </w:rPr>
        <w:t>每年对评价排名后5%的供应商进行淘汰。考核和评估后，形成新的《合格供应商名单》，经采购经理审批后传递到相关部门执行。</w:t>
      </w:r>
    </w:p>
    <w:p>
      <w:pPr>
        <w:numPr>
          <w:ilvl w:val="0"/>
          <w:numId w:val="2"/>
        </w:numPr>
        <w:ind w:left="0" w:firstLine="0"/>
        <w:rPr>
          <w:rFonts w:ascii="仿宋" w:hAnsi="仿宋" w:eastAsia="仿宋"/>
          <w:bCs/>
          <w:sz w:val="28"/>
        </w:rPr>
        <w:sectPr>
          <w:footerReference r:id="rId8" w:type="default"/>
          <w:pgSz w:w="11906" w:h="16838"/>
          <w:pgMar w:top="1701" w:right="1588" w:bottom="1588" w:left="1588" w:header="851" w:footer="1077" w:gutter="0"/>
          <w:pgNumType w:start="1"/>
          <w:cols w:space="425" w:num="1"/>
          <w:docGrid w:type="lines" w:linePitch="312" w:charSpace="0"/>
        </w:sectPr>
      </w:pPr>
      <w:r>
        <w:rPr>
          <w:rFonts w:hint="eastAsia" w:ascii="仿宋" w:hAnsi="仿宋" w:eastAsia="仿宋"/>
          <w:bCs/>
          <w:sz w:val="28"/>
        </w:rPr>
        <w:t>分散采购部分的评估，由各使用部门自行组织对供应商的评估，部门负责人对部门的评价情况进行复核，最终评估结果及建议需发送给采购部备案。</w:t>
      </w:r>
    </w:p>
    <w:p>
      <w:pPr>
        <w:widowControl/>
        <w:jc w:val="left"/>
        <w:outlineLvl w:val="0"/>
        <w:rPr>
          <w:rFonts w:ascii="仿宋" w:hAnsi="仿宋" w:eastAsia="仿宋"/>
          <w:b/>
          <w:bCs/>
          <w:sz w:val="28"/>
        </w:rPr>
      </w:pPr>
      <w:r>
        <w:rPr>
          <w:rFonts w:hint="eastAsia" w:ascii="仿宋" w:hAnsi="仿宋" w:eastAsia="仿宋"/>
          <w:b/>
          <w:bCs/>
          <w:sz w:val="28"/>
        </w:rPr>
        <w:t>附件一：参与供应商评审的部门职责</w:t>
      </w:r>
    </w:p>
    <w:p>
      <w:pPr>
        <w:autoSpaceDE w:val="0"/>
        <w:autoSpaceDN w:val="0"/>
        <w:adjustRightInd w:val="0"/>
        <w:jc w:val="left"/>
        <w:rPr>
          <w:rFonts w:ascii="宋体" w:cs="宋体" w:hAnsiTheme="minorHAnsi"/>
          <w:color w:val="000000"/>
          <w:kern w:val="0"/>
        </w:rPr>
      </w:pPr>
    </w:p>
    <w:p>
      <w:pPr>
        <w:pStyle w:val="24"/>
        <w:numPr>
          <w:ilvl w:val="0"/>
          <w:numId w:val="13"/>
        </w:numPr>
        <w:ind w:firstLineChars="0"/>
        <w:rPr>
          <w:rFonts w:ascii="仿宋" w:hAnsi="仿宋" w:eastAsia="仿宋"/>
          <w:bCs/>
          <w:sz w:val="28"/>
        </w:rPr>
      </w:pPr>
      <w:r>
        <w:rPr>
          <w:rFonts w:hint="eastAsia" w:ascii="仿宋" w:hAnsi="仿宋" w:eastAsia="仿宋"/>
          <w:bCs/>
          <w:sz w:val="28"/>
        </w:rPr>
        <w:t>需求申请部门：</w:t>
      </w:r>
    </w:p>
    <w:p>
      <w:pPr>
        <w:pStyle w:val="26"/>
        <w:spacing w:line="360" w:lineRule="auto"/>
        <w:ind w:firstLine="560" w:firstLineChars="200"/>
        <w:rPr>
          <w:rFonts w:ascii="仿宋" w:hAnsi="仿宋" w:eastAsia="仿宋" w:cs="Times New Roman"/>
          <w:bCs/>
          <w:color w:val="auto"/>
          <w:kern w:val="2"/>
          <w:sz w:val="28"/>
        </w:rPr>
      </w:pPr>
      <w:r>
        <w:rPr>
          <w:rFonts w:hint="eastAsia" w:ascii="仿宋" w:hAnsi="仿宋" w:eastAsia="仿宋" w:cs="Times New Roman"/>
          <w:bCs/>
          <w:color w:val="auto"/>
          <w:kern w:val="2"/>
          <w:sz w:val="28"/>
        </w:rPr>
        <w:t>按照评估表对集中监管部分供应商当年的工作情况给予评价和建议。部门负责人对部门的评价情况进行复核；如是市场类供应商，还需根据市场活动后的业务增长情况对供应商给予评价。并对供应商的评级情况进行调整，同时对于需要改进的供应商提出改进意见，对于淘汰的供应商给予鉴定结果。并将最终的统计结果汇总上报给采购部。按照评估表对集中采购部分供应商当年的工作情况给予评价和建议。</w:t>
      </w:r>
    </w:p>
    <w:p>
      <w:pPr>
        <w:pStyle w:val="24"/>
        <w:numPr>
          <w:ilvl w:val="0"/>
          <w:numId w:val="13"/>
        </w:numPr>
        <w:ind w:firstLineChars="0"/>
        <w:rPr>
          <w:rFonts w:ascii="仿宋" w:hAnsi="仿宋" w:eastAsia="仿宋"/>
          <w:bCs/>
          <w:sz w:val="28"/>
        </w:rPr>
      </w:pPr>
      <w:r>
        <w:rPr>
          <w:rFonts w:hint="eastAsia" w:ascii="仿宋" w:hAnsi="仿宋" w:eastAsia="仿宋"/>
          <w:bCs/>
          <w:sz w:val="28"/>
        </w:rPr>
        <w:t>采购部：</w:t>
      </w:r>
    </w:p>
    <w:p>
      <w:pPr>
        <w:pStyle w:val="26"/>
        <w:spacing w:line="360" w:lineRule="auto"/>
        <w:ind w:firstLine="560" w:firstLineChars="200"/>
        <w:rPr>
          <w:rFonts w:ascii="仿宋" w:hAnsi="仿宋" w:eastAsia="仿宋" w:cs="Times New Roman"/>
          <w:bCs/>
          <w:color w:val="auto"/>
          <w:kern w:val="2"/>
          <w:sz w:val="28"/>
        </w:rPr>
      </w:pPr>
      <w:r>
        <w:rPr>
          <w:rFonts w:hint="eastAsia" w:ascii="仿宋" w:hAnsi="仿宋" w:eastAsia="仿宋" w:cs="Times New Roman"/>
          <w:bCs/>
          <w:color w:val="auto"/>
          <w:kern w:val="2"/>
          <w:sz w:val="28"/>
        </w:rPr>
        <w:t>采购部参与对集中采购的供应商进行评估，监管对集中采购的供应商进行评估，监管评估结果进行复核。如发现集中监管供应商评估环节有问题，则需向信息安全委员会反馈问题并提供建议。</w:t>
      </w:r>
    </w:p>
    <w:p>
      <w:pPr>
        <w:pStyle w:val="26"/>
        <w:spacing w:line="360" w:lineRule="auto"/>
        <w:ind w:firstLine="560" w:firstLineChars="200"/>
        <w:rPr>
          <w:rFonts w:ascii="仿宋" w:hAnsi="仿宋" w:eastAsia="仿宋"/>
          <w:bCs/>
          <w:sz w:val="28"/>
        </w:rPr>
        <w:sectPr>
          <w:pgSz w:w="11906" w:h="16838"/>
          <w:pgMar w:top="1701" w:right="1588" w:bottom="1588" w:left="1588" w:header="851" w:footer="1077" w:gutter="0"/>
          <w:pgNumType w:start="1"/>
          <w:cols w:space="425" w:num="1"/>
          <w:docGrid w:type="lines" w:linePitch="312" w:charSpace="0"/>
        </w:sectPr>
      </w:pPr>
    </w:p>
    <w:p>
      <w:pPr>
        <w:widowControl/>
        <w:jc w:val="left"/>
        <w:outlineLvl w:val="0"/>
        <w:rPr>
          <w:rFonts w:ascii="仿宋" w:hAnsi="仿宋" w:eastAsia="仿宋"/>
          <w:b/>
          <w:bCs/>
          <w:sz w:val="28"/>
        </w:rPr>
      </w:pPr>
      <w:r>
        <w:rPr>
          <w:rFonts w:hint="eastAsia" w:ascii="仿宋" w:hAnsi="仿宋" w:eastAsia="仿宋"/>
          <w:b/>
          <w:bCs/>
          <w:sz w:val="28"/>
        </w:rPr>
        <w:t>附件二：供应商考核维度及细则</w:t>
      </w:r>
    </w:p>
    <w:p/>
    <w:p>
      <w:pPr>
        <w:ind w:firstLine="560" w:firstLineChars="200"/>
        <w:rPr>
          <w:rFonts w:ascii="仿宋" w:hAnsi="仿宋" w:eastAsia="仿宋"/>
          <w:sz w:val="28"/>
          <w:szCs w:val="28"/>
        </w:rPr>
      </w:pPr>
      <w:r>
        <w:rPr>
          <w:rFonts w:hint="eastAsia" w:ascii="仿宋" w:hAnsi="仿宋" w:eastAsia="仿宋"/>
          <w:sz w:val="28"/>
          <w:szCs w:val="28"/>
        </w:rPr>
        <w:t>供应商的评估权重分配</w:t>
      </w:r>
    </w:p>
    <w:p>
      <w:pPr>
        <w:ind w:firstLine="560" w:firstLineChars="200"/>
        <w:rPr>
          <w:rFonts w:ascii="仿宋" w:hAnsi="仿宋" w:eastAsia="仿宋"/>
          <w:sz w:val="28"/>
          <w:szCs w:val="28"/>
        </w:rPr>
      </w:pPr>
      <w:r>
        <w:rPr>
          <w:rFonts w:hint="eastAsia" w:ascii="仿宋" w:hAnsi="仿宋" w:eastAsia="仿宋"/>
          <w:sz w:val="28"/>
          <w:szCs w:val="28"/>
        </w:rPr>
        <w:t>建议：供应商实力1</w:t>
      </w:r>
      <w:r>
        <w:rPr>
          <w:rFonts w:ascii="仿宋" w:hAnsi="仿宋" w:eastAsia="仿宋"/>
          <w:sz w:val="28"/>
          <w:szCs w:val="28"/>
        </w:rPr>
        <w:t>5</w:t>
      </w:r>
      <w:r>
        <w:rPr>
          <w:rFonts w:hint="eastAsia" w:ascii="仿宋" w:hAnsi="仿宋" w:eastAsia="仿宋"/>
          <w:sz w:val="28"/>
          <w:szCs w:val="28"/>
        </w:rPr>
        <w:t>%，成本</w:t>
      </w:r>
      <w:r>
        <w:rPr>
          <w:rFonts w:ascii="仿宋" w:hAnsi="仿宋" w:eastAsia="仿宋"/>
          <w:sz w:val="28"/>
          <w:szCs w:val="28"/>
        </w:rPr>
        <w:t>30%</w:t>
      </w:r>
      <w:r>
        <w:rPr>
          <w:rFonts w:hint="eastAsia" w:ascii="仿宋" w:hAnsi="仿宋" w:eastAsia="仿宋"/>
          <w:sz w:val="28"/>
          <w:szCs w:val="28"/>
        </w:rPr>
        <w:t>，服务</w:t>
      </w:r>
      <w:r>
        <w:rPr>
          <w:rFonts w:ascii="仿宋" w:hAnsi="仿宋" w:eastAsia="仿宋"/>
          <w:sz w:val="28"/>
          <w:szCs w:val="28"/>
        </w:rPr>
        <w:t>20%</w:t>
      </w:r>
      <w:r>
        <w:rPr>
          <w:rFonts w:hint="eastAsia" w:ascii="仿宋" w:hAnsi="仿宋" w:eastAsia="仿宋"/>
          <w:sz w:val="28"/>
          <w:szCs w:val="28"/>
        </w:rPr>
        <w:t>，效率</w:t>
      </w:r>
      <w:r>
        <w:rPr>
          <w:rFonts w:ascii="仿宋" w:hAnsi="仿宋" w:eastAsia="仿宋"/>
          <w:sz w:val="28"/>
          <w:szCs w:val="28"/>
        </w:rPr>
        <w:t>10%</w:t>
      </w:r>
      <w:r>
        <w:rPr>
          <w:rFonts w:hint="eastAsia" w:ascii="仿宋" w:hAnsi="仿宋" w:eastAsia="仿宋"/>
          <w:sz w:val="28"/>
          <w:szCs w:val="28"/>
        </w:rPr>
        <w:t>，质量</w:t>
      </w:r>
      <w:r>
        <w:rPr>
          <w:rFonts w:ascii="仿宋" w:hAnsi="仿宋" w:eastAsia="仿宋"/>
          <w:sz w:val="28"/>
          <w:szCs w:val="28"/>
        </w:rPr>
        <w:t>25%</w:t>
      </w:r>
      <w:r>
        <w:rPr>
          <w:rFonts w:hint="eastAsia" w:ascii="仿宋" w:hAnsi="仿宋" w:eastAsia="仿宋"/>
          <w:sz w:val="28"/>
          <w:szCs w:val="28"/>
        </w:rPr>
        <w:t>。</w:t>
      </w:r>
    </w:p>
    <w:p>
      <w:pPr>
        <w:ind w:firstLine="560" w:firstLineChars="200"/>
        <w:rPr>
          <w:rFonts w:ascii="仿宋" w:hAnsi="仿宋" w:eastAsia="仿宋"/>
          <w:sz w:val="28"/>
          <w:szCs w:val="28"/>
        </w:rPr>
      </w:pPr>
    </w:p>
    <w:p>
      <w:pPr>
        <w:pStyle w:val="24"/>
        <w:numPr>
          <w:ilvl w:val="0"/>
          <w:numId w:val="14"/>
        </w:numPr>
        <w:ind w:firstLineChars="0"/>
        <w:rPr>
          <w:rFonts w:ascii="仿宋" w:hAnsi="仿宋" w:eastAsia="仿宋"/>
          <w:bCs/>
          <w:sz w:val="28"/>
        </w:rPr>
      </w:pPr>
      <w:r>
        <w:rPr>
          <w:rFonts w:hint="eastAsia" w:ascii="仿宋" w:hAnsi="仿宋" w:eastAsia="仿宋"/>
          <w:bCs/>
          <w:sz w:val="28"/>
        </w:rPr>
        <w:t>供应商实力</w:t>
      </w:r>
    </w:p>
    <w:p>
      <w:pPr>
        <w:pStyle w:val="26"/>
        <w:numPr>
          <w:ilvl w:val="0"/>
          <w:numId w:val="15"/>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注册资金及年度销售额</w:t>
      </w:r>
    </w:p>
    <w:p>
      <w:pPr>
        <w:pStyle w:val="26"/>
        <w:numPr>
          <w:ilvl w:val="0"/>
          <w:numId w:val="15"/>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过去一年与公司的成交额</w:t>
      </w:r>
    </w:p>
    <w:p>
      <w:pPr>
        <w:pStyle w:val="26"/>
        <w:numPr>
          <w:ilvl w:val="0"/>
          <w:numId w:val="15"/>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过去三年是否有大项目</w:t>
      </w:r>
    </w:p>
    <w:p>
      <w:pPr>
        <w:pStyle w:val="26"/>
        <w:numPr>
          <w:ilvl w:val="0"/>
          <w:numId w:val="15"/>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主要客户是否有同类客户</w:t>
      </w:r>
    </w:p>
    <w:p>
      <w:pPr>
        <w:pStyle w:val="26"/>
        <w:spacing w:line="360" w:lineRule="auto"/>
        <w:rPr>
          <w:sz w:val="23"/>
          <w:szCs w:val="23"/>
        </w:rPr>
      </w:pPr>
    </w:p>
    <w:p>
      <w:pPr>
        <w:pStyle w:val="24"/>
        <w:numPr>
          <w:ilvl w:val="0"/>
          <w:numId w:val="14"/>
        </w:numPr>
        <w:ind w:firstLineChars="0"/>
        <w:rPr>
          <w:rFonts w:ascii="仿宋" w:hAnsi="仿宋" w:eastAsia="仿宋"/>
          <w:bCs/>
          <w:sz w:val="28"/>
        </w:rPr>
      </w:pPr>
      <w:r>
        <w:rPr>
          <w:rFonts w:hint="eastAsia" w:ascii="仿宋" w:hAnsi="仿宋" w:eastAsia="仿宋"/>
          <w:bCs/>
          <w:sz w:val="28"/>
        </w:rPr>
        <w:t>成本</w:t>
      </w:r>
    </w:p>
    <w:p>
      <w:pPr>
        <w:pStyle w:val="26"/>
        <w:numPr>
          <w:ilvl w:val="0"/>
          <w:numId w:val="16"/>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提供的价格是否经常在三家比价中最低</w:t>
      </w:r>
    </w:p>
    <w:p>
      <w:pPr>
        <w:pStyle w:val="26"/>
        <w:numPr>
          <w:ilvl w:val="0"/>
          <w:numId w:val="16"/>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是否提供免费增值项</w:t>
      </w:r>
    </w:p>
    <w:p>
      <w:pPr>
        <w:pStyle w:val="26"/>
        <w:numPr>
          <w:ilvl w:val="0"/>
          <w:numId w:val="16"/>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在付款周期上是否提供优惠条件</w:t>
      </w:r>
    </w:p>
    <w:p>
      <w:pPr>
        <w:pStyle w:val="26"/>
        <w:spacing w:line="360" w:lineRule="auto"/>
        <w:rPr>
          <w:sz w:val="23"/>
          <w:szCs w:val="23"/>
        </w:rPr>
      </w:pPr>
    </w:p>
    <w:p>
      <w:pPr>
        <w:pStyle w:val="24"/>
        <w:numPr>
          <w:ilvl w:val="0"/>
          <w:numId w:val="14"/>
        </w:numPr>
        <w:ind w:firstLineChars="0"/>
        <w:rPr>
          <w:rFonts w:ascii="仿宋" w:hAnsi="仿宋" w:eastAsia="仿宋"/>
          <w:bCs/>
          <w:sz w:val="28"/>
        </w:rPr>
      </w:pPr>
      <w:r>
        <w:rPr>
          <w:rFonts w:hint="eastAsia" w:ascii="仿宋" w:hAnsi="仿宋" w:eastAsia="仿宋"/>
          <w:bCs/>
          <w:sz w:val="28"/>
        </w:rPr>
        <w:t>服务</w:t>
      </w:r>
    </w:p>
    <w:p>
      <w:pPr>
        <w:pStyle w:val="26"/>
        <w:numPr>
          <w:ilvl w:val="0"/>
          <w:numId w:val="17"/>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本年度被投诉的次数</w:t>
      </w:r>
    </w:p>
    <w:p>
      <w:pPr>
        <w:pStyle w:val="26"/>
        <w:numPr>
          <w:ilvl w:val="0"/>
          <w:numId w:val="17"/>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是否有专职人员为我司提供服务</w:t>
      </w:r>
    </w:p>
    <w:p>
      <w:pPr>
        <w:pStyle w:val="26"/>
        <w:numPr>
          <w:ilvl w:val="0"/>
          <w:numId w:val="17"/>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是否提供额外服务</w:t>
      </w:r>
    </w:p>
    <w:p>
      <w:pPr>
        <w:pStyle w:val="26"/>
        <w:numPr>
          <w:ilvl w:val="0"/>
          <w:numId w:val="17"/>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服务人员的素质和水平</w:t>
      </w:r>
    </w:p>
    <w:p>
      <w:pPr>
        <w:pStyle w:val="26"/>
        <w:numPr>
          <w:ilvl w:val="0"/>
          <w:numId w:val="17"/>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服务时效</w:t>
      </w:r>
    </w:p>
    <w:p>
      <w:pPr>
        <w:pStyle w:val="26"/>
        <w:spacing w:line="360" w:lineRule="auto"/>
        <w:rPr>
          <w:sz w:val="23"/>
          <w:szCs w:val="23"/>
        </w:rPr>
      </w:pPr>
    </w:p>
    <w:p>
      <w:pPr>
        <w:pStyle w:val="24"/>
        <w:numPr>
          <w:ilvl w:val="0"/>
          <w:numId w:val="14"/>
        </w:numPr>
        <w:ind w:firstLineChars="0"/>
        <w:rPr>
          <w:rFonts w:ascii="仿宋" w:hAnsi="仿宋" w:eastAsia="仿宋"/>
          <w:bCs/>
          <w:sz w:val="28"/>
        </w:rPr>
      </w:pPr>
      <w:r>
        <w:rPr>
          <w:rFonts w:hint="eastAsia" w:ascii="仿宋" w:hAnsi="仿宋" w:eastAsia="仿宋"/>
          <w:bCs/>
          <w:sz w:val="28"/>
        </w:rPr>
        <w:t>效率</w:t>
      </w:r>
    </w:p>
    <w:p>
      <w:pPr>
        <w:pStyle w:val="26"/>
        <w:numPr>
          <w:ilvl w:val="0"/>
          <w:numId w:val="18"/>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项目及报价提交及时性</w:t>
      </w:r>
    </w:p>
    <w:p>
      <w:pPr>
        <w:pStyle w:val="26"/>
        <w:numPr>
          <w:ilvl w:val="0"/>
          <w:numId w:val="18"/>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答疑的时效性</w:t>
      </w:r>
    </w:p>
    <w:p>
      <w:pPr>
        <w:pStyle w:val="26"/>
        <w:numPr>
          <w:ilvl w:val="0"/>
          <w:numId w:val="18"/>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处理问题和解决问题的时效性</w:t>
      </w:r>
    </w:p>
    <w:p>
      <w:pPr>
        <w:pStyle w:val="26"/>
        <w:numPr>
          <w:ilvl w:val="0"/>
          <w:numId w:val="18"/>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供货或提供相关服务的时效性</w:t>
      </w:r>
    </w:p>
    <w:p>
      <w:pPr>
        <w:pStyle w:val="26"/>
        <w:spacing w:line="360" w:lineRule="auto"/>
        <w:rPr>
          <w:sz w:val="23"/>
          <w:szCs w:val="23"/>
        </w:rPr>
      </w:pPr>
    </w:p>
    <w:p>
      <w:pPr>
        <w:pStyle w:val="24"/>
        <w:numPr>
          <w:ilvl w:val="0"/>
          <w:numId w:val="14"/>
        </w:numPr>
        <w:ind w:firstLineChars="0"/>
        <w:rPr>
          <w:rFonts w:ascii="仿宋" w:hAnsi="仿宋" w:eastAsia="仿宋"/>
          <w:bCs/>
          <w:sz w:val="28"/>
        </w:rPr>
      </w:pPr>
      <w:r>
        <w:rPr>
          <w:rFonts w:hint="eastAsia" w:ascii="仿宋" w:hAnsi="仿宋" w:eastAsia="仿宋"/>
          <w:bCs/>
          <w:sz w:val="28"/>
        </w:rPr>
        <w:t>质量</w:t>
      </w:r>
    </w:p>
    <w:p>
      <w:pPr>
        <w:pStyle w:val="26"/>
        <w:numPr>
          <w:ilvl w:val="0"/>
          <w:numId w:val="19"/>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供货的合格率或服务的满意度</w:t>
      </w:r>
    </w:p>
    <w:p>
      <w:pPr>
        <w:pStyle w:val="26"/>
        <w:numPr>
          <w:ilvl w:val="0"/>
          <w:numId w:val="19"/>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产品质量或服务水平是否超过行业内平均水平</w:t>
      </w:r>
    </w:p>
    <w:p>
      <w:pPr>
        <w:pStyle w:val="26"/>
        <w:numPr>
          <w:ilvl w:val="0"/>
          <w:numId w:val="19"/>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保修期内的故障率</w:t>
      </w:r>
    </w:p>
    <w:p>
      <w:pPr>
        <w:pStyle w:val="26"/>
        <w:numPr>
          <w:ilvl w:val="0"/>
          <w:numId w:val="19"/>
        </w:numPr>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是否满足业务部门需求</w:t>
      </w:r>
    </w:p>
    <w:p>
      <w:pPr>
        <w:pStyle w:val="26"/>
        <w:spacing w:line="360" w:lineRule="auto"/>
        <w:rPr>
          <w:rFonts w:ascii="仿宋" w:hAnsi="仿宋" w:eastAsia="仿宋" w:cs="Times New Roman"/>
          <w:bCs/>
          <w:color w:val="auto"/>
          <w:kern w:val="2"/>
          <w:sz w:val="28"/>
        </w:rPr>
        <w:sectPr>
          <w:pgSz w:w="11906" w:h="16838"/>
          <w:pgMar w:top="1701" w:right="1588" w:bottom="1588" w:left="1588" w:header="851" w:footer="1077" w:gutter="0"/>
          <w:pgNumType w:start="1"/>
          <w:cols w:space="425" w:num="1"/>
          <w:docGrid w:type="lines" w:linePitch="312" w:charSpace="0"/>
        </w:sectPr>
      </w:pPr>
      <w:r>
        <w:rPr>
          <w:rFonts w:hint="eastAsia" w:ascii="仿宋" w:hAnsi="仿宋" w:eastAsia="仿宋" w:cs="Times New Roman"/>
          <w:bCs/>
          <w:color w:val="auto"/>
          <w:kern w:val="2"/>
          <w:sz w:val="28"/>
        </w:rPr>
        <w:t>。</w:t>
      </w:r>
    </w:p>
    <w:p>
      <w:pPr>
        <w:widowControl/>
        <w:jc w:val="left"/>
        <w:outlineLvl w:val="0"/>
        <w:rPr>
          <w:rFonts w:ascii="仿宋" w:hAnsi="仿宋" w:eastAsia="仿宋"/>
          <w:b/>
          <w:bCs/>
          <w:sz w:val="28"/>
        </w:rPr>
      </w:pPr>
      <w:r>
        <w:rPr>
          <w:rFonts w:hint="eastAsia" w:ascii="仿宋" w:hAnsi="仿宋" w:eastAsia="仿宋"/>
          <w:b/>
          <w:bCs/>
          <w:sz w:val="28"/>
        </w:rPr>
        <w:t>附件三：供应商考核结果处理</w:t>
      </w:r>
    </w:p>
    <w:tbl>
      <w:tblPr>
        <w:tblStyle w:val="10"/>
        <w:tblW w:w="0" w:type="auto"/>
        <w:tblInd w:w="5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8"/>
        <w:gridCol w:w="1985"/>
        <w:gridCol w:w="4897"/>
      </w:tblGrid>
      <w:tr>
        <w:tc>
          <w:tcPr>
            <w:tcW w:w="1278"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级别</w:t>
            </w:r>
          </w:p>
        </w:tc>
        <w:tc>
          <w:tcPr>
            <w:tcW w:w="1985"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分值</w:t>
            </w:r>
          </w:p>
        </w:tc>
        <w:tc>
          <w:tcPr>
            <w:tcW w:w="4897"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奖惩情况表</w:t>
            </w:r>
          </w:p>
        </w:tc>
      </w:tr>
      <w:tr>
        <w:tc>
          <w:tcPr>
            <w:tcW w:w="1278"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推荐级</w:t>
            </w:r>
          </w:p>
        </w:tc>
        <w:tc>
          <w:tcPr>
            <w:tcW w:w="1985"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8</w:t>
            </w:r>
            <w:r>
              <w:rPr>
                <w:rFonts w:ascii="仿宋" w:hAnsi="仿宋" w:eastAsia="仿宋" w:cs="Times New Roman"/>
                <w:bCs/>
                <w:color w:val="auto"/>
                <w:kern w:val="2"/>
                <w:sz w:val="28"/>
              </w:rPr>
              <w:t>0</w:t>
            </w:r>
            <w:r>
              <w:rPr>
                <w:rFonts w:hint="eastAsia" w:ascii="仿宋" w:hAnsi="仿宋" w:eastAsia="仿宋" w:cs="Times New Roman"/>
                <w:bCs/>
                <w:color w:val="auto"/>
                <w:kern w:val="2"/>
                <w:sz w:val="28"/>
              </w:rPr>
              <w:t>分及以上</w:t>
            </w:r>
          </w:p>
        </w:tc>
        <w:tc>
          <w:tcPr>
            <w:tcW w:w="4897"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酌情增加采购，优先采购，特殊情况下可办理免检，货款优先支付</w:t>
            </w:r>
          </w:p>
        </w:tc>
      </w:tr>
      <w:tr>
        <w:tc>
          <w:tcPr>
            <w:tcW w:w="1278"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备用级</w:t>
            </w:r>
          </w:p>
        </w:tc>
        <w:tc>
          <w:tcPr>
            <w:tcW w:w="1985"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7</w:t>
            </w:r>
            <w:r>
              <w:rPr>
                <w:rFonts w:ascii="仿宋" w:hAnsi="仿宋" w:eastAsia="仿宋" w:cs="Times New Roman"/>
                <w:bCs/>
                <w:color w:val="auto"/>
                <w:kern w:val="2"/>
                <w:sz w:val="28"/>
              </w:rPr>
              <w:t>0</w:t>
            </w:r>
            <w:r>
              <w:rPr>
                <w:rFonts w:hint="eastAsia" w:ascii="仿宋" w:hAnsi="仿宋" w:eastAsia="仿宋" w:cs="Times New Roman"/>
                <w:bCs/>
                <w:color w:val="auto"/>
                <w:kern w:val="2"/>
                <w:sz w:val="28"/>
              </w:rPr>
              <w:t>-</w:t>
            </w:r>
            <w:r>
              <w:rPr>
                <w:rFonts w:ascii="仿宋" w:hAnsi="仿宋" w:eastAsia="仿宋" w:cs="Times New Roman"/>
                <w:bCs/>
                <w:color w:val="auto"/>
                <w:kern w:val="2"/>
                <w:sz w:val="28"/>
              </w:rPr>
              <w:t>79</w:t>
            </w:r>
            <w:r>
              <w:rPr>
                <w:rFonts w:hint="eastAsia" w:ascii="仿宋" w:hAnsi="仿宋" w:eastAsia="仿宋" w:cs="Times New Roman"/>
                <w:bCs/>
                <w:color w:val="auto"/>
                <w:kern w:val="2"/>
                <w:sz w:val="28"/>
              </w:rPr>
              <w:t>分</w:t>
            </w:r>
          </w:p>
        </w:tc>
        <w:tc>
          <w:tcPr>
            <w:tcW w:w="4897"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要求其对不足的部分进行整改，并将整改结果以书面形式提交，对其采购策略维持不变</w:t>
            </w:r>
          </w:p>
        </w:tc>
      </w:tr>
      <w:tr>
        <w:tc>
          <w:tcPr>
            <w:tcW w:w="1278"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考核级</w:t>
            </w:r>
          </w:p>
        </w:tc>
        <w:tc>
          <w:tcPr>
            <w:tcW w:w="1985"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6</w:t>
            </w:r>
            <w:r>
              <w:rPr>
                <w:rFonts w:ascii="仿宋" w:hAnsi="仿宋" w:eastAsia="仿宋" w:cs="Times New Roman"/>
                <w:bCs/>
                <w:color w:val="auto"/>
                <w:kern w:val="2"/>
                <w:sz w:val="28"/>
              </w:rPr>
              <w:t>0</w:t>
            </w:r>
            <w:r>
              <w:rPr>
                <w:rFonts w:hint="eastAsia" w:ascii="仿宋" w:hAnsi="仿宋" w:eastAsia="仿宋" w:cs="Times New Roman"/>
                <w:bCs/>
                <w:color w:val="auto"/>
                <w:kern w:val="2"/>
                <w:sz w:val="28"/>
              </w:rPr>
              <w:t>-</w:t>
            </w:r>
            <w:r>
              <w:rPr>
                <w:rFonts w:ascii="仿宋" w:hAnsi="仿宋" w:eastAsia="仿宋" w:cs="Times New Roman"/>
                <w:bCs/>
                <w:color w:val="auto"/>
                <w:kern w:val="2"/>
                <w:sz w:val="28"/>
              </w:rPr>
              <w:t>69</w:t>
            </w:r>
            <w:r>
              <w:rPr>
                <w:rFonts w:hint="eastAsia" w:ascii="仿宋" w:hAnsi="仿宋" w:eastAsia="仿宋" w:cs="Times New Roman"/>
                <w:bCs/>
                <w:color w:val="auto"/>
                <w:kern w:val="2"/>
                <w:sz w:val="28"/>
              </w:rPr>
              <w:t>分</w:t>
            </w:r>
          </w:p>
        </w:tc>
        <w:tc>
          <w:tcPr>
            <w:tcW w:w="4897"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减少对其的采购量，并要求其对不足部分进行整改、将整改结果以书面形式提交，采购部对其纠正措施和结果进行确认后决定是否继续正常采购</w:t>
            </w:r>
          </w:p>
        </w:tc>
      </w:tr>
      <w:tr>
        <w:tc>
          <w:tcPr>
            <w:tcW w:w="1278"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淘汰级</w:t>
            </w:r>
          </w:p>
        </w:tc>
        <w:tc>
          <w:tcPr>
            <w:tcW w:w="1985"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6</w:t>
            </w:r>
            <w:r>
              <w:rPr>
                <w:rFonts w:ascii="仿宋" w:hAnsi="仿宋" w:eastAsia="仿宋" w:cs="Times New Roman"/>
                <w:bCs/>
                <w:color w:val="auto"/>
                <w:kern w:val="2"/>
                <w:sz w:val="28"/>
              </w:rPr>
              <w:t>0</w:t>
            </w:r>
            <w:r>
              <w:rPr>
                <w:rFonts w:hint="eastAsia" w:ascii="仿宋" w:hAnsi="仿宋" w:eastAsia="仿宋" w:cs="Times New Roman"/>
                <w:bCs/>
                <w:color w:val="auto"/>
                <w:kern w:val="2"/>
                <w:sz w:val="28"/>
              </w:rPr>
              <w:t>分及以下</w:t>
            </w:r>
          </w:p>
        </w:tc>
        <w:tc>
          <w:tcPr>
            <w:tcW w:w="4897" w:type="dxa"/>
          </w:tcPr>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从“合格供应商名单”中删除，终止与其的采购供应关系</w:t>
            </w:r>
          </w:p>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（备注：1、有重大失误或违反公司相关规定的供应商，直接被评为淘汰级。</w:t>
            </w:r>
          </w:p>
          <w:p>
            <w:pPr>
              <w:pStyle w:val="26"/>
              <w:spacing w:line="360" w:lineRule="auto"/>
              <w:rPr>
                <w:rFonts w:ascii="仿宋" w:hAnsi="仿宋" w:eastAsia="仿宋" w:cs="Times New Roman"/>
                <w:bCs/>
                <w:color w:val="auto"/>
                <w:kern w:val="2"/>
                <w:sz w:val="28"/>
              </w:rPr>
            </w:pPr>
            <w:r>
              <w:rPr>
                <w:rFonts w:hint="eastAsia" w:ascii="仿宋" w:hAnsi="仿宋" w:eastAsia="仿宋" w:cs="Times New Roman"/>
                <w:bCs/>
                <w:color w:val="auto"/>
                <w:kern w:val="2"/>
                <w:sz w:val="28"/>
              </w:rPr>
              <w:t>2、对重要原材料、涉及安全方面的供应商，产品如果出现质量问题一票否决。）</w:t>
            </w:r>
          </w:p>
        </w:tc>
      </w:tr>
    </w:tbl>
    <w:p>
      <w:pPr>
        <w:pStyle w:val="26"/>
        <w:spacing w:line="360" w:lineRule="auto"/>
        <w:ind w:left="560"/>
        <w:rPr>
          <w:rFonts w:ascii="仿宋" w:hAnsi="仿宋" w:eastAsia="仿宋" w:cs="Times New Roman"/>
          <w:bCs/>
          <w:color w:val="auto"/>
          <w:kern w:val="2"/>
          <w:sz w:val="28"/>
        </w:rPr>
      </w:pPr>
    </w:p>
    <w:p>
      <w:pPr>
        <w:widowControl/>
        <w:jc w:val="left"/>
        <w:rPr>
          <w:rFonts w:ascii="仿宋" w:hAnsi="仿宋" w:eastAsia="仿宋"/>
        </w:rPr>
      </w:pPr>
    </w:p>
    <w:sectPr>
      <w:pgSz w:w="11906" w:h="16838"/>
      <w:pgMar w:top="1701" w:right="1588" w:bottom="1588" w:left="1588" w:header="851" w:footer="1077" w:gutter="0"/>
      <w:cols w:space="425" w:num="1"/>
      <w:docGrid w:type="linesAndChar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20B0604020202020204"/>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Wingdings">
    <w:panose1 w:val="05000000000000000000"/>
    <w:charset w:val="00"/>
    <w:family w:val="decorative"/>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宋体" w:hAnsi="宋体"/>
        <w:sz w:val="21"/>
      </w:rPr>
    </w:pP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Pr>
    </w:pPr>
    <w:r>
      <w:rPr>
        <w:rStyle w:val="12"/>
      </w:rPr>
      <w:fldChar w:fldCharType="begin"/>
    </w:r>
    <w:r>
      <w:rPr>
        <w:rStyle w:val="12"/>
      </w:rPr>
      <w:instrText xml:space="preserve">PAGE  </w:instrText>
    </w:r>
    <w:r>
      <w:rPr>
        <w:rStyle w:val="12"/>
      </w:rPr>
      <w:fldChar w:fldCharType="end"/>
    </w:r>
  </w:p>
  <w:p>
    <w:pPr>
      <w:pStyle w:val="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宋体" w:hAnsi="宋体"/>
        <w:sz w:val="21"/>
      </w:rPr>
      <w:id w:val="492454056"/>
      <w:docPartObj>
        <w:docPartGallery w:val="AutoText"/>
      </w:docPartObj>
    </w:sdtPr>
    <w:sdtEndPr>
      <w:rPr>
        <w:rFonts w:ascii="宋体" w:hAnsi="宋体"/>
        <w:sz w:val="18"/>
      </w:rPr>
    </w:sdtEndPr>
    <w:sdtContent>
      <w:p>
        <w:pPr>
          <w:pStyle w:val="6"/>
          <w:jc w:val="center"/>
          <w:rPr>
            <w:rFonts w:ascii="宋体" w:hAnsi="宋体"/>
          </w:rPr>
        </w:pPr>
        <w:r>
          <w:rPr>
            <w:rFonts w:hint="eastAsia" w:ascii="宋体" w:hAnsi="宋体"/>
          </w:rPr>
          <w:t xml:space="preserve">第 </w:t>
        </w: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1</w:t>
        </w:r>
        <w:r>
          <w:rPr>
            <w:rFonts w:ascii="宋体" w:hAnsi="宋体"/>
          </w:rPr>
          <w:fldChar w:fldCharType="end"/>
        </w:r>
        <w:r>
          <w:rPr>
            <w:rFonts w:ascii="宋体" w:hAnsi="宋体"/>
          </w:rPr>
          <w:t xml:space="preserve"> </w:t>
        </w:r>
        <w:r>
          <w:rPr>
            <w:rFonts w:hint="eastAsia" w:ascii="宋体" w:hAnsi="宋体"/>
          </w:rPr>
          <w:t>页 共 8</w:t>
        </w:r>
        <w:r>
          <w:rPr>
            <w:rFonts w:ascii="宋体" w:hAnsi="宋体"/>
          </w:rPr>
          <w:t xml:space="preserve"> </w:t>
        </w:r>
        <w:r>
          <w:rPr>
            <w:rFonts w:hint="eastAsia" w:ascii="宋体" w:hAnsi="宋体"/>
          </w:rPr>
          <w:t>页</w:t>
        </w:r>
      </w:p>
    </w:sdtContent>
  </w:sdt>
  <w:p>
    <w:pPr>
      <w:pStyle w:val="6"/>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ascii="宋体" w:hAnsi="宋体"/>
        <w:sz w:val="24"/>
      </w:rPr>
    </w:pPr>
    <w:r>
      <w:rPr>
        <w:rFonts w:hint="eastAsia" w:ascii="宋体" w:hAnsi="宋体"/>
        <w:sz w:val="21"/>
      </w:rPr>
      <w:t>名称：供应商安全管理规定             编号：ISMS-L</w:t>
    </w:r>
    <w:r>
      <w:rPr>
        <w:rFonts w:ascii="宋体" w:hAnsi="宋体"/>
        <w:sz w:val="21"/>
      </w:rPr>
      <w:t>3</w:t>
    </w:r>
    <w:r>
      <w:rPr>
        <w:rFonts w:hint="eastAsia" w:ascii="宋体" w:hAnsi="宋体"/>
        <w:sz w:val="21"/>
      </w:rPr>
      <w:t>-</w:t>
    </w:r>
    <w:r>
      <w:rPr>
        <w:rFonts w:ascii="宋体" w:hAnsi="宋体"/>
        <w:sz w:val="21"/>
      </w:rPr>
      <w:t>08</w:t>
    </w:r>
    <w:r>
      <w:rPr>
        <w:rFonts w:hint="eastAsia" w:ascii="宋体" w:hAnsi="宋体"/>
        <w:sz w:val="21"/>
      </w:rPr>
      <w:t xml:space="preserve">         </w:t>
    </w:r>
    <w:r>
      <w:rPr>
        <w:rFonts w:ascii="宋体" w:hAnsi="宋体"/>
        <w:sz w:val="21"/>
      </w:rPr>
      <w:t xml:space="preserve">  </w:t>
    </w:r>
    <w:r>
      <w:rPr>
        <w:rFonts w:hint="eastAsia" w:ascii="宋体" w:hAnsi="宋体"/>
        <w:sz w:val="21"/>
      </w:rPr>
      <w:t>密级：内部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DC730D"/>
    <w:multiLevelType w:val="multilevel"/>
    <w:tmpl w:val="10DC730D"/>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152E4068"/>
    <w:multiLevelType w:val="multilevel"/>
    <w:tmpl w:val="152E4068"/>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
    <w:nsid w:val="158B375D"/>
    <w:multiLevelType w:val="multilevel"/>
    <w:tmpl w:val="158B375D"/>
    <w:lvl w:ilvl="0" w:tentative="0">
      <w:start w:val="1"/>
      <w:numFmt w:val="chineseCountingThousand"/>
      <w:lvlText w:val="（%1）"/>
      <w:lvlJc w:val="left"/>
      <w:pPr>
        <w:tabs>
          <w:tab w:val="left" w:pos="1130"/>
        </w:tabs>
        <w:ind w:left="1130" w:hanging="420"/>
      </w:pPr>
      <w:rPr>
        <w:rFonts w:hint="default"/>
        <w:b w:val="0"/>
        <w:lang w:eastAsia="zh-CN"/>
      </w:rPr>
    </w:lvl>
    <w:lvl w:ilvl="1" w:tentative="0">
      <w:start w:val="1"/>
      <w:numFmt w:val="bullet"/>
      <w:lvlText w:val=""/>
      <w:lvlJc w:val="left"/>
      <w:pPr>
        <w:tabs>
          <w:tab w:val="left" w:pos="710"/>
        </w:tabs>
        <w:ind w:left="710" w:hanging="420"/>
      </w:pPr>
      <w:rPr>
        <w:rFonts w:hint="default" w:ascii="Wingdings" w:hAnsi="Wingdings"/>
      </w:rPr>
    </w:lvl>
    <w:lvl w:ilvl="2" w:tentative="0">
      <w:start w:val="1"/>
      <w:numFmt w:val="bullet"/>
      <w:lvlText w:val=""/>
      <w:lvlJc w:val="left"/>
      <w:pPr>
        <w:tabs>
          <w:tab w:val="left" w:pos="1130"/>
        </w:tabs>
        <w:ind w:left="1130" w:hanging="420"/>
      </w:pPr>
      <w:rPr>
        <w:rFonts w:hint="default" w:ascii="Wingdings" w:hAnsi="Wingdings"/>
      </w:rPr>
    </w:lvl>
    <w:lvl w:ilvl="3" w:tentative="0">
      <w:start w:val="1"/>
      <w:numFmt w:val="bullet"/>
      <w:lvlText w:val=""/>
      <w:lvlJc w:val="left"/>
      <w:pPr>
        <w:tabs>
          <w:tab w:val="left" w:pos="1550"/>
        </w:tabs>
        <w:ind w:left="1550" w:hanging="420"/>
      </w:pPr>
      <w:rPr>
        <w:rFonts w:hint="default" w:ascii="Wingdings" w:hAnsi="Wingdings"/>
      </w:rPr>
    </w:lvl>
    <w:lvl w:ilvl="4" w:tentative="0">
      <w:start w:val="1"/>
      <w:numFmt w:val="bullet"/>
      <w:lvlText w:val=""/>
      <w:lvlJc w:val="left"/>
      <w:pPr>
        <w:tabs>
          <w:tab w:val="left" w:pos="1970"/>
        </w:tabs>
        <w:ind w:left="1970" w:hanging="420"/>
      </w:pPr>
      <w:rPr>
        <w:rFonts w:hint="default" w:ascii="Wingdings" w:hAnsi="Wingdings"/>
      </w:rPr>
    </w:lvl>
    <w:lvl w:ilvl="5" w:tentative="0">
      <w:start w:val="1"/>
      <w:numFmt w:val="bullet"/>
      <w:lvlText w:val=""/>
      <w:lvlJc w:val="left"/>
      <w:pPr>
        <w:tabs>
          <w:tab w:val="left" w:pos="2390"/>
        </w:tabs>
        <w:ind w:left="2390" w:hanging="420"/>
      </w:pPr>
      <w:rPr>
        <w:rFonts w:hint="default" w:ascii="Wingdings" w:hAnsi="Wingdings"/>
      </w:rPr>
    </w:lvl>
    <w:lvl w:ilvl="6" w:tentative="0">
      <w:start w:val="1"/>
      <w:numFmt w:val="bullet"/>
      <w:lvlText w:val=""/>
      <w:lvlJc w:val="left"/>
      <w:pPr>
        <w:tabs>
          <w:tab w:val="left" w:pos="2810"/>
        </w:tabs>
        <w:ind w:left="2810" w:hanging="420"/>
      </w:pPr>
      <w:rPr>
        <w:rFonts w:hint="default" w:ascii="Wingdings" w:hAnsi="Wingdings"/>
      </w:rPr>
    </w:lvl>
    <w:lvl w:ilvl="7" w:tentative="0">
      <w:start w:val="1"/>
      <w:numFmt w:val="bullet"/>
      <w:lvlText w:val=""/>
      <w:lvlJc w:val="left"/>
      <w:pPr>
        <w:tabs>
          <w:tab w:val="left" w:pos="3230"/>
        </w:tabs>
        <w:ind w:left="3230" w:hanging="420"/>
      </w:pPr>
      <w:rPr>
        <w:rFonts w:hint="default" w:ascii="Wingdings" w:hAnsi="Wingdings"/>
      </w:rPr>
    </w:lvl>
    <w:lvl w:ilvl="8" w:tentative="0">
      <w:start w:val="1"/>
      <w:numFmt w:val="bullet"/>
      <w:lvlText w:val=""/>
      <w:lvlJc w:val="left"/>
      <w:pPr>
        <w:tabs>
          <w:tab w:val="left" w:pos="3650"/>
        </w:tabs>
        <w:ind w:left="3650" w:hanging="420"/>
      </w:pPr>
      <w:rPr>
        <w:rFonts w:hint="default" w:ascii="Wingdings" w:hAnsi="Wingdings"/>
      </w:rPr>
    </w:lvl>
  </w:abstractNum>
  <w:abstractNum w:abstractNumId="3">
    <w:nsid w:val="15FC10A1"/>
    <w:multiLevelType w:val="multilevel"/>
    <w:tmpl w:val="15FC10A1"/>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4">
    <w:nsid w:val="17141FD4"/>
    <w:multiLevelType w:val="multilevel"/>
    <w:tmpl w:val="17141FD4"/>
    <w:lvl w:ilvl="0" w:tentative="0">
      <w:start w:val="1"/>
      <w:numFmt w:val="decimal"/>
      <w:lvlText w:val="%1)"/>
      <w:lvlJc w:val="left"/>
      <w:pPr>
        <w:ind w:left="1817" w:hanging="420"/>
      </w:pPr>
      <w:rPr>
        <w:rFonts w:hint="default"/>
      </w:rPr>
    </w:lvl>
    <w:lvl w:ilvl="1" w:tentative="0">
      <w:start w:val="1"/>
      <w:numFmt w:val="bullet"/>
      <w:lvlText w:val=""/>
      <w:lvlJc w:val="left"/>
      <w:pPr>
        <w:ind w:left="2237" w:hanging="420"/>
      </w:pPr>
      <w:rPr>
        <w:rFonts w:hint="default" w:ascii="Wingdings" w:hAnsi="Wingdings"/>
      </w:rPr>
    </w:lvl>
    <w:lvl w:ilvl="2" w:tentative="0">
      <w:start w:val="1"/>
      <w:numFmt w:val="bullet"/>
      <w:lvlText w:val=""/>
      <w:lvlJc w:val="left"/>
      <w:pPr>
        <w:ind w:left="2657" w:hanging="420"/>
      </w:pPr>
      <w:rPr>
        <w:rFonts w:hint="default" w:ascii="Wingdings" w:hAnsi="Wingdings"/>
      </w:rPr>
    </w:lvl>
    <w:lvl w:ilvl="3" w:tentative="0">
      <w:start w:val="1"/>
      <w:numFmt w:val="bullet"/>
      <w:lvlText w:val=""/>
      <w:lvlJc w:val="left"/>
      <w:pPr>
        <w:ind w:left="3077" w:hanging="420"/>
      </w:pPr>
      <w:rPr>
        <w:rFonts w:hint="default" w:ascii="Wingdings" w:hAnsi="Wingdings"/>
      </w:rPr>
    </w:lvl>
    <w:lvl w:ilvl="4" w:tentative="0">
      <w:start w:val="1"/>
      <w:numFmt w:val="bullet"/>
      <w:lvlText w:val=""/>
      <w:lvlJc w:val="left"/>
      <w:pPr>
        <w:ind w:left="3497" w:hanging="420"/>
      </w:pPr>
      <w:rPr>
        <w:rFonts w:hint="default" w:ascii="Wingdings" w:hAnsi="Wingdings"/>
      </w:rPr>
    </w:lvl>
    <w:lvl w:ilvl="5" w:tentative="0">
      <w:start w:val="1"/>
      <w:numFmt w:val="bullet"/>
      <w:lvlText w:val=""/>
      <w:lvlJc w:val="left"/>
      <w:pPr>
        <w:ind w:left="3917" w:hanging="420"/>
      </w:pPr>
      <w:rPr>
        <w:rFonts w:hint="default" w:ascii="Wingdings" w:hAnsi="Wingdings"/>
      </w:rPr>
    </w:lvl>
    <w:lvl w:ilvl="6" w:tentative="0">
      <w:start w:val="1"/>
      <w:numFmt w:val="bullet"/>
      <w:lvlText w:val=""/>
      <w:lvlJc w:val="left"/>
      <w:pPr>
        <w:ind w:left="4337" w:hanging="420"/>
      </w:pPr>
      <w:rPr>
        <w:rFonts w:hint="default" w:ascii="Wingdings" w:hAnsi="Wingdings"/>
      </w:rPr>
    </w:lvl>
    <w:lvl w:ilvl="7" w:tentative="0">
      <w:start w:val="1"/>
      <w:numFmt w:val="bullet"/>
      <w:lvlText w:val=""/>
      <w:lvlJc w:val="left"/>
      <w:pPr>
        <w:ind w:left="4757" w:hanging="420"/>
      </w:pPr>
      <w:rPr>
        <w:rFonts w:hint="default" w:ascii="Wingdings" w:hAnsi="Wingdings"/>
      </w:rPr>
    </w:lvl>
    <w:lvl w:ilvl="8" w:tentative="0">
      <w:start w:val="1"/>
      <w:numFmt w:val="bullet"/>
      <w:lvlText w:val=""/>
      <w:lvlJc w:val="left"/>
      <w:pPr>
        <w:ind w:left="5177" w:hanging="420"/>
      </w:pPr>
      <w:rPr>
        <w:rFonts w:hint="default" w:ascii="Wingdings" w:hAnsi="Wingdings"/>
      </w:rPr>
    </w:lvl>
  </w:abstractNum>
  <w:abstractNum w:abstractNumId="5">
    <w:nsid w:val="1C6B7A63"/>
    <w:multiLevelType w:val="multilevel"/>
    <w:tmpl w:val="1C6B7A63"/>
    <w:lvl w:ilvl="0" w:tentative="0">
      <w:start w:val="1"/>
      <w:numFmt w:val="japaneseCounting"/>
      <w:lvlText w:val="第%1章"/>
      <w:lvlJc w:val="left"/>
      <w:pPr>
        <w:ind w:left="1363" w:hanging="720"/>
      </w:pPr>
      <w:rPr>
        <w:rFonts w:hint="eastAsia"/>
        <w:b/>
        <w:lang w:val="en-US"/>
      </w:r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6">
    <w:nsid w:val="26DC7B17"/>
    <w:multiLevelType w:val="multilevel"/>
    <w:tmpl w:val="26DC7B17"/>
    <w:lvl w:ilvl="0" w:tentative="0">
      <w:start w:val="1"/>
      <w:numFmt w:val="decimal"/>
      <w:lvlText w:val="%1."/>
      <w:lvlJc w:val="left"/>
      <w:pPr>
        <w:ind w:left="1837" w:hanging="420"/>
      </w:pPr>
      <w:rPr>
        <w:rFonts w:hint="default"/>
      </w:rPr>
    </w:lvl>
    <w:lvl w:ilvl="1" w:tentative="0">
      <w:start w:val="1"/>
      <w:numFmt w:val="bullet"/>
      <w:lvlText w:val=""/>
      <w:lvlJc w:val="left"/>
      <w:pPr>
        <w:ind w:left="2257" w:hanging="420"/>
      </w:pPr>
      <w:rPr>
        <w:rFonts w:hint="default" w:ascii="Wingdings" w:hAnsi="Wingdings"/>
      </w:rPr>
    </w:lvl>
    <w:lvl w:ilvl="2" w:tentative="0">
      <w:start w:val="1"/>
      <w:numFmt w:val="bullet"/>
      <w:lvlText w:val=""/>
      <w:lvlJc w:val="left"/>
      <w:pPr>
        <w:ind w:left="2677" w:hanging="420"/>
      </w:pPr>
      <w:rPr>
        <w:rFonts w:hint="default" w:ascii="Wingdings" w:hAnsi="Wingdings"/>
      </w:rPr>
    </w:lvl>
    <w:lvl w:ilvl="3" w:tentative="0">
      <w:start w:val="1"/>
      <w:numFmt w:val="bullet"/>
      <w:lvlText w:val=""/>
      <w:lvlJc w:val="left"/>
      <w:pPr>
        <w:ind w:left="3097" w:hanging="420"/>
      </w:pPr>
      <w:rPr>
        <w:rFonts w:hint="default" w:ascii="Wingdings" w:hAnsi="Wingdings"/>
      </w:rPr>
    </w:lvl>
    <w:lvl w:ilvl="4" w:tentative="0">
      <w:start w:val="1"/>
      <w:numFmt w:val="bullet"/>
      <w:lvlText w:val=""/>
      <w:lvlJc w:val="left"/>
      <w:pPr>
        <w:ind w:left="3517" w:hanging="420"/>
      </w:pPr>
      <w:rPr>
        <w:rFonts w:hint="default" w:ascii="Wingdings" w:hAnsi="Wingdings"/>
      </w:rPr>
    </w:lvl>
    <w:lvl w:ilvl="5" w:tentative="0">
      <w:start w:val="1"/>
      <w:numFmt w:val="bullet"/>
      <w:lvlText w:val=""/>
      <w:lvlJc w:val="left"/>
      <w:pPr>
        <w:ind w:left="3937" w:hanging="420"/>
      </w:pPr>
      <w:rPr>
        <w:rFonts w:hint="default" w:ascii="Wingdings" w:hAnsi="Wingdings"/>
      </w:rPr>
    </w:lvl>
    <w:lvl w:ilvl="6" w:tentative="0">
      <w:start w:val="1"/>
      <w:numFmt w:val="bullet"/>
      <w:lvlText w:val=""/>
      <w:lvlJc w:val="left"/>
      <w:pPr>
        <w:ind w:left="4357" w:hanging="420"/>
      </w:pPr>
      <w:rPr>
        <w:rFonts w:hint="default" w:ascii="Wingdings" w:hAnsi="Wingdings"/>
      </w:rPr>
    </w:lvl>
    <w:lvl w:ilvl="7" w:tentative="0">
      <w:start w:val="1"/>
      <w:numFmt w:val="bullet"/>
      <w:lvlText w:val=""/>
      <w:lvlJc w:val="left"/>
      <w:pPr>
        <w:ind w:left="4777" w:hanging="420"/>
      </w:pPr>
      <w:rPr>
        <w:rFonts w:hint="default" w:ascii="Wingdings" w:hAnsi="Wingdings"/>
      </w:rPr>
    </w:lvl>
    <w:lvl w:ilvl="8" w:tentative="0">
      <w:start w:val="1"/>
      <w:numFmt w:val="bullet"/>
      <w:lvlText w:val=""/>
      <w:lvlJc w:val="left"/>
      <w:pPr>
        <w:ind w:left="5197" w:hanging="420"/>
      </w:pPr>
      <w:rPr>
        <w:rFonts w:hint="default" w:ascii="Wingdings" w:hAnsi="Wingdings"/>
      </w:rPr>
    </w:lvl>
  </w:abstractNum>
  <w:abstractNum w:abstractNumId="7">
    <w:nsid w:val="356112B7"/>
    <w:multiLevelType w:val="multilevel"/>
    <w:tmpl w:val="356112B7"/>
    <w:lvl w:ilvl="0" w:tentative="0">
      <w:start w:val="1"/>
      <w:numFmt w:val="chineseCountingThousand"/>
      <w:lvlText w:val="(%1)"/>
      <w:lvlJc w:val="left"/>
      <w:pPr>
        <w:ind w:left="1063" w:hanging="420"/>
      </w:p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8">
    <w:nsid w:val="3CF24847"/>
    <w:multiLevelType w:val="multilevel"/>
    <w:tmpl w:val="3CF24847"/>
    <w:lvl w:ilvl="0" w:tentative="0">
      <w:start w:val="1"/>
      <w:numFmt w:val="chineseCountingThousand"/>
      <w:lvlText w:val="(%1)"/>
      <w:lvlJc w:val="left"/>
      <w:pPr>
        <w:ind w:left="1063" w:hanging="420"/>
      </w:p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9">
    <w:nsid w:val="4BD61C48"/>
    <w:multiLevelType w:val="multilevel"/>
    <w:tmpl w:val="4BD61C48"/>
    <w:lvl w:ilvl="0" w:tentative="0">
      <w:start w:val="1"/>
      <w:numFmt w:val="chineseCountingThousand"/>
      <w:lvlText w:val="(%1)"/>
      <w:lvlJc w:val="left"/>
      <w:pPr>
        <w:ind w:left="1063" w:hanging="420"/>
      </w:p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10">
    <w:nsid w:val="51144071"/>
    <w:multiLevelType w:val="multilevel"/>
    <w:tmpl w:val="51144071"/>
    <w:lvl w:ilvl="0" w:tentative="0">
      <w:start w:val="1"/>
      <w:numFmt w:val="decimal"/>
      <w:lvlText w:val="%1."/>
      <w:lvlJc w:val="left"/>
      <w:pPr>
        <w:ind w:left="1837" w:hanging="420"/>
      </w:pPr>
      <w:rPr>
        <w:rFonts w:hint="default"/>
      </w:rPr>
    </w:lvl>
    <w:lvl w:ilvl="1" w:tentative="0">
      <w:start w:val="1"/>
      <w:numFmt w:val="bullet"/>
      <w:lvlText w:val=""/>
      <w:lvlJc w:val="left"/>
      <w:pPr>
        <w:ind w:left="2257" w:hanging="420"/>
      </w:pPr>
      <w:rPr>
        <w:rFonts w:hint="default" w:ascii="Wingdings" w:hAnsi="Wingdings"/>
      </w:rPr>
    </w:lvl>
    <w:lvl w:ilvl="2" w:tentative="0">
      <w:start w:val="1"/>
      <w:numFmt w:val="bullet"/>
      <w:lvlText w:val=""/>
      <w:lvlJc w:val="left"/>
      <w:pPr>
        <w:ind w:left="2677" w:hanging="420"/>
      </w:pPr>
      <w:rPr>
        <w:rFonts w:hint="default" w:ascii="Wingdings" w:hAnsi="Wingdings"/>
      </w:rPr>
    </w:lvl>
    <w:lvl w:ilvl="3" w:tentative="0">
      <w:start w:val="1"/>
      <w:numFmt w:val="bullet"/>
      <w:lvlText w:val=""/>
      <w:lvlJc w:val="left"/>
      <w:pPr>
        <w:ind w:left="3097" w:hanging="420"/>
      </w:pPr>
      <w:rPr>
        <w:rFonts w:hint="default" w:ascii="Wingdings" w:hAnsi="Wingdings"/>
      </w:rPr>
    </w:lvl>
    <w:lvl w:ilvl="4" w:tentative="0">
      <w:start w:val="1"/>
      <w:numFmt w:val="bullet"/>
      <w:lvlText w:val=""/>
      <w:lvlJc w:val="left"/>
      <w:pPr>
        <w:ind w:left="3517" w:hanging="420"/>
      </w:pPr>
      <w:rPr>
        <w:rFonts w:hint="default" w:ascii="Wingdings" w:hAnsi="Wingdings"/>
      </w:rPr>
    </w:lvl>
    <w:lvl w:ilvl="5" w:tentative="0">
      <w:start w:val="1"/>
      <w:numFmt w:val="bullet"/>
      <w:lvlText w:val=""/>
      <w:lvlJc w:val="left"/>
      <w:pPr>
        <w:ind w:left="3937" w:hanging="420"/>
      </w:pPr>
      <w:rPr>
        <w:rFonts w:hint="default" w:ascii="Wingdings" w:hAnsi="Wingdings"/>
      </w:rPr>
    </w:lvl>
    <w:lvl w:ilvl="6" w:tentative="0">
      <w:start w:val="1"/>
      <w:numFmt w:val="bullet"/>
      <w:lvlText w:val=""/>
      <w:lvlJc w:val="left"/>
      <w:pPr>
        <w:ind w:left="4357" w:hanging="420"/>
      </w:pPr>
      <w:rPr>
        <w:rFonts w:hint="default" w:ascii="Wingdings" w:hAnsi="Wingdings"/>
      </w:rPr>
    </w:lvl>
    <w:lvl w:ilvl="7" w:tentative="0">
      <w:start w:val="1"/>
      <w:numFmt w:val="bullet"/>
      <w:lvlText w:val=""/>
      <w:lvlJc w:val="left"/>
      <w:pPr>
        <w:ind w:left="4777" w:hanging="420"/>
      </w:pPr>
      <w:rPr>
        <w:rFonts w:hint="default" w:ascii="Wingdings" w:hAnsi="Wingdings"/>
      </w:rPr>
    </w:lvl>
    <w:lvl w:ilvl="8" w:tentative="0">
      <w:start w:val="1"/>
      <w:numFmt w:val="bullet"/>
      <w:lvlText w:val=""/>
      <w:lvlJc w:val="left"/>
      <w:pPr>
        <w:ind w:left="5197" w:hanging="420"/>
      </w:pPr>
      <w:rPr>
        <w:rFonts w:hint="default" w:ascii="Wingdings" w:hAnsi="Wingdings"/>
      </w:rPr>
    </w:lvl>
  </w:abstractNum>
  <w:abstractNum w:abstractNumId="11">
    <w:nsid w:val="54690345"/>
    <w:multiLevelType w:val="multilevel"/>
    <w:tmpl w:val="54690345"/>
    <w:lvl w:ilvl="0" w:tentative="0">
      <w:start w:val="1"/>
      <w:numFmt w:val="chineseCountingThousand"/>
      <w:lvlText w:val="(%1)"/>
      <w:lvlJc w:val="left"/>
      <w:pPr>
        <w:ind w:left="1063" w:hanging="420"/>
      </w:p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12">
    <w:nsid w:val="57373463"/>
    <w:multiLevelType w:val="multilevel"/>
    <w:tmpl w:val="57373463"/>
    <w:lvl w:ilvl="0" w:tentative="0">
      <w:start w:val="1"/>
      <w:numFmt w:val="chineseCountingThousand"/>
      <w:suff w:val="space"/>
      <w:lvlText w:val="第%1条"/>
      <w:lvlJc w:val="left"/>
      <w:pPr>
        <w:ind w:left="454" w:firstLine="453"/>
      </w:pPr>
      <w:rPr>
        <w:rFonts w:ascii="仿宋" w:hAnsi="仿宋" w:eastAsia="仿宋"/>
        <w:b/>
        <w:sz w:val="28"/>
        <w:szCs w:val="28"/>
      </w:rPr>
    </w:lvl>
    <w:lvl w:ilvl="1" w:tentative="0">
      <w:start w:val="1"/>
      <w:numFmt w:val="chineseCountingThousand"/>
      <w:lvlText w:val="（%2）"/>
      <w:lvlJc w:val="left"/>
      <w:pPr>
        <w:tabs>
          <w:tab w:val="left" w:pos="1140"/>
        </w:tabs>
        <w:ind w:left="454" w:firstLine="453"/>
      </w:pPr>
      <w:rPr>
        <w:b w:val="0"/>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9BF7F59"/>
    <w:multiLevelType w:val="multilevel"/>
    <w:tmpl w:val="69BF7F59"/>
    <w:lvl w:ilvl="0" w:tentative="0">
      <w:start w:val="1"/>
      <w:numFmt w:val="chineseCountingThousand"/>
      <w:lvlText w:val="(%1)"/>
      <w:lvlJc w:val="left"/>
      <w:pPr>
        <w:ind w:left="1063" w:hanging="420"/>
      </w:p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14">
    <w:nsid w:val="6B377339"/>
    <w:multiLevelType w:val="multilevel"/>
    <w:tmpl w:val="6B377339"/>
    <w:lvl w:ilvl="0" w:tentative="0">
      <w:start w:val="1"/>
      <w:numFmt w:val="decimal"/>
      <w:lvlText w:val="%1)"/>
      <w:lvlJc w:val="left"/>
      <w:pPr>
        <w:ind w:left="1817" w:hanging="420"/>
      </w:pPr>
      <w:rPr>
        <w:rFonts w:hint="default"/>
      </w:rPr>
    </w:lvl>
    <w:lvl w:ilvl="1" w:tentative="0">
      <w:start w:val="1"/>
      <w:numFmt w:val="bullet"/>
      <w:lvlText w:val=""/>
      <w:lvlJc w:val="left"/>
      <w:pPr>
        <w:ind w:left="2237" w:hanging="420"/>
      </w:pPr>
      <w:rPr>
        <w:rFonts w:hint="default" w:ascii="Wingdings" w:hAnsi="Wingdings"/>
      </w:rPr>
    </w:lvl>
    <w:lvl w:ilvl="2" w:tentative="0">
      <w:start w:val="1"/>
      <w:numFmt w:val="bullet"/>
      <w:lvlText w:val=""/>
      <w:lvlJc w:val="left"/>
      <w:pPr>
        <w:ind w:left="2657" w:hanging="420"/>
      </w:pPr>
      <w:rPr>
        <w:rFonts w:hint="default" w:ascii="Wingdings" w:hAnsi="Wingdings"/>
      </w:rPr>
    </w:lvl>
    <w:lvl w:ilvl="3" w:tentative="0">
      <w:start w:val="1"/>
      <w:numFmt w:val="bullet"/>
      <w:lvlText w:val=""/>
      <w:lvlJc w:val="left"/>
      <w:pPr>
        <w:ind w:left="3077" w:hanging="420"/>
      </w:pPr>
      <w:rPr>
        <w:rFonts w:hint="default" w:ascii="Wingdings" w:hAnsi="Wingdings"/>
      </w:rPr>
    </w:lvl>
    <w:lvl w:ilvl="4" w:tentative="0">
      <w:start w:val="1"/>
      <w:numFmt w:val="bullet"/>
      <w:lvlText w:val=""/>
      <w:lvlJc w:val="left"/>
      <w:pPr>
        <w:ind w:left="3497" w:hanging="420"/>
      </w:pPr>
      <w:rPr>
        <w:rFonts w:hint="default" w:ascii="Wingdings" w:hAnsi="Wingdings"/>
      </w:rPr>
    </w:lvl>
    <w:lvl w:ilvl="5" w:tentative="0">
      <w:start w:val="1"/>
      <w:numFmt w:val="bullet"/>
      <w:lvlText w:val=""/>
      <w:lvlJc w:val="left"/>
      <w:pPr>
        <w:ind w:left="3917" w:hanging="420"/>
      </w:pPr>
      <w:rPr>
        <w:rFonts w:hint="default" w:ascii="Wingdings" w:hAnsi="Wingdings"/>
      </w:rPr>
    </w:lvl>
    <w:lvl w:ilvl="6" w:tentative="0">
      <w:start w:val="1"/>
      <w:numFmt w:val="bullet"/>
      <w:lvlText w:val=""/>
      <w:lvlJc w:val="left"/>
      <w:pPr>
        <w:ind w:left="4337" w:hanging="420"/>
      </w:pPr>
      <w:rPr>
        <w:rFonts w:hint="default" w:ascii="Wingdings" w:hAnsi="Wingdings"/>
      </w:rPr>
    </w:lvl>
    <w:lvl w:ilvl="7" w:tentative="0">
      <w:start w:val="1"/>
      <w:numFmt w:val="bullet"/>
      <w:lvlText w:val=""/>
      <w:lvlJc w:val="left"/>
      <w:pPr>
        <w:ind w:left="4757" w:hanging="420"/>
      </w:pPr>
      <w:rPr>
        <w:rFonts w:hint="default" w:ascii="Wingdings" w:hAnsi="Wingdings"/>
      </w:rPr>
    </w:lvl>
    <w:lvl w:ilvl="8" w:tentative="0">
      <w:start w:val="1"/>
      <w:numFmt w:val="bullet"/>
      <w:lvlText w:val=""/>
      <w:lvlJc w:val="left"/>
      <w:pPr>
        <w:ind w:left="5177" w:hanging="420"/>
      </w:pPr>
      <w:rPr>
        <w:rFonts w:hint="default" w:ascii="Wingdings" w:hAnsi="Wingdings"/>
      </w:rPr>
    </w:lvl>
  </w:abstractNum>
  <w:abstractNum w:abstractNumId="15">
    <w:nsid w:val="6DCD2893"/>
    <w:multiLevelType w:val="multilevel"/>
    <w:tmpl w:val="6DCD2893"/>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6">
    <w:nsid w:val="783D10E9"/>
    <w:multiLevelType w:val="multilevel"/>
    <w:tmpl w:val="783D10E9"/>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7">
    <w:nsid w:val="7A0576EA"/>
    <w:multiLevelType w:val="multilevel"/>
    <w:tmpl w:val="7A0576EA"/>
    <w:lvl w:ilvl="0" w:tentative="0">
      <w:start w:val="1"/>
      <w:numFmt w:val="chineseCountingThousand"/>
      <w:lvlText w:val="(%1)"/>
      <w:lvlJc w:val="left"/>
      <w:pPr>
        <w:ind w:left="1063" w:hanging="420"/>
      </w:pPr>
    </w:lvl>
    <w:lvl w:ilvl="1" w:tentative="0">
      <w:start w:val="1"/>
      <w:numFmt w:val="lowerLetter"/>
      <w:lvlText w:val="%2)"/>
      <w:lvlJc w:val="left"/>
      <w:pPr>
        <w:ind w:left="1483" w:hanging="420"/>
      </w:pPr>
    </w:lvl>
    <w:lvl w:ilvl="2" w:tentative="0">
      <w:start w:val="1"/>
      <w:numFmt w:val="lowerRoman"/>
      <w:lvlText w:val="%3."/>
      <w:lvlJc w:val="right"/>
      <w:pPr>
        <w:ind w:left="1903" w:hanging="420"/>
      </w:pPr>
    </w:lvl>
    <w:lvl w:ilvl="3" w:tentative="0">
      <w:start w:val="1"/>
      <w:numFmt w:val="decimal"/>
      <w:lvlText w:val="%4."/>
      <w:lvlJc w:val="left"/>
      <w:pPr>
        <w:ind w:left="2323" w:hanging="420"/>
      </w:pPr>
    </w:lvl>
    <w:lvl w:ilvl="4" w:tentative="0">
      <w:start w:val="1"/>
      <w:numFmt w:val="lowerLetter"/>
      <w:lvlText w:val="%5)"/>
      <w:lvlJc w:val="left"/>
      <w:pPr>
        <w:ind w:left="2743" w:hanging="420"/>
      </w:pPr>
    </w:lvl>
    <w:lvl w:ilvl="5" w:tentative="0">
      <w:start w:val="1"/>
      <w:numFmt w:val="lowerRoman"/>
      <w:lvlText w:val="%6."/>
      <w:lvlJc w:val="right"/>
      <w:pPr>
        <w:ind w:left="3163" w:hanging="420"/>
      </w:pPr>
    </w:lvl>
    <w:lvl w:ilvl="6" w:tentative="0">
      <w:start w:val="1"/>
      <w:numFmt w:val="decimal"/>
      <w:lvlText w:val="%7."/>
      <w:lvlJc w:val="left"/>
      <w:pPr>
        <w:ind w:left="3583" w:hanging="420"/>
      </w:pPr>
    </w:lvl>
    <w:lvl w:ilvl="7" w:tentative="0">
      <w:start w:val="1"/>
      <w:numFmt w:val="lowerLetter"/>
      <w:lvlText w:val="%8)"/>
      <w:lvlJc w:val="left"/>
      <w:pPr>
        <w:ind w:left="4003" w:hanging="420"/>
      </w:pPr>
    </w:lvl>
    <w:lvl w:ilvl="8" w:tentative="0">
      <w:start w:val="1"/>
      <w:numFmt w:val="lowerRoman"/>
      <w:lvlText w:val="%9."/>
      <w:lvlJc w:val="right"/>
      <w:pPr>
        <w:ind w:left="4423" w:hanging="420"/>
      </w:pPr>
    </w:lvl>
  </w:abstractNum>
  <w:abstractNum w:abstractNumId="18">
    <w:nsid w:val="7E3625B4"/>
    <w:multiLevelType w:val="multilevel"/>
    <w:tmpl w:val="7E3625B4"/>
    <w:lvl w:ilvl="0" w:tentative="0">
      <w:start w:val="1"/>
      <w:numFmt w:val="chineseCountingThousand"/>
      <w:lvlText w:val="（%1）"/>
      <w:lvlJc w:val="left"/>
      <w:pPr>
        <w:tabs>
          <w:tab w:val="left" w:pos="1130"/>
        </w:tabs>
        <w:ind w:left="1130" w:hanging="420"/>
      </w:pPr>
      <w:rPr>
        <w:rFonts w:hint="default"/>
        <w:b w:val="0"/>
        <w:lang w:eastAsia="zh-CN"/>
      </w:rPr>
    </w:lvl>
    <w:lvl w:ilvl="1" w:tentative="0">
      <w:start w:val="1"/>
      <w:numFmt w:val="bullet"/>
      <w:lvlText w:val=""/>
      <w:lvlJc w:val="left"/>
      <w:pPr>
        <w:tabs>
          <w:tab w:val="left" w:pos="710"/>
        </w:tabs>
        <w:ind w:left="710" w:hanging="420"/>
      </w:pPr>
      <w:rPr>
        <w:rFonts w:hint="default" w:ascii="Wingdings" w:hAnsi="Wingdings"/>
      </w:rPr>
    </w:lvl>
    <w:lvl w:ilvl="2" w:tentative="0">
      <w:start w:val="1"/>
      <w:numFmt w:val="bullet"/>
      <w:lvlText w:val=""/>
      <w:lvlJc w:val="left"/>
      <w:pPr>
        <w:tabs>
          <w:tab w:val="left" w:pos="1130"/>
        </w:tabs>
        <w:ind w:left="1130" w:hanging="420"/>
      </w:pPr>
      <w:rPr>
        <w:rFonts w:hint="default" w:ascii="Wingdings" w:hAnsi="Wingdings"/>
      </w:rPr>
    </w:lvl>
    <w:lvl w:ilvl="3" w:tentative="0">
      <w:start w:val="1"/>
      <w:numFmt w:val="bullet"/>
      <w:lvlText w:val=""/>
      <w:lvlJc w:val="left"/>
      <w:pPr>
        <w:tabs>
          <w:tab w:val="left" w:pos="1550"/>
        </w:tabs>
        <w:ind w:left="1550" w:hanging="420"/>
      </w:pPr>
      <w:rPr>
        <w:rFonts w:hint="default" w:ascii="Wingdings" w:hAnsi="Wingdings"/>
      </w:rPr>
    </w:lvl>
    <w:lvl w:ilvl="4" w:tentative="0">
      <w:start w:val="1"/>
      <w:numFmt w:val="bullet"/>
      <w:lvlText w:val=""/>
      <w:lvlJc w:val="left"/>
      <w:pPr>
        <w:tabs>
          <w:tab w:val="left" w:pos="1970"/>
        </w:tabs>
        <w:ind w:left="1970" w:hanging="420"/>
      </w:pPr>
      <w:rPr>
        <w:rFonts w:hint="default" w:ascii="Wingdings" w:hAnsi="Wingdings"/>
      </w:rPr>
    </w:lvl>
    <w:lvl w:ilvl="5" w:tentative="0">
      <w:start w:val="1"/>
      <w:numFmt w:val="bullet"/>
      <w:lvlText w:val=""/>
      <w:lvlJc w:val="left"/>
      <w:pPr>
        <w:tabs>
          <w:tab w:val="left" w:pos="2390"/>
        </w:tabs>
        <w:ind w:left="2390" w:hanging="420"/>
      </w:pPr>
      <w:rPr>
        <w:rFonts w:hint="default" w:ascii="Wingdings" w:hAnsi="Wingdings"/>
      </w:rPr>
    </w:lvl>
    <w:lvl w:ilvl="6" w:tentative="0">
      <w:start w:val="1"/>
      <w:numFmt w:val="bullet"/>
      <w:lvlText w:val=""/>
      <w:lvlJc w:val="left"/>
      <w:pPr>
        <w:tabs>
          <w:tab w:val="left" w:pos="2810"/>
        </w:tabs>
        <w:ind w:left="2810" w:hanging="420"/>
      </w:pPr>
      <w:rPr>
        <w:rFonts w:hint="default" w:ascii="Wingdings" w:hAnsi="Wingdings"/>
      </w:rPr>
    </w:lvl>
    <w:lvl w:ilvl="7" w:tentative="0">
      <w:start w:val="1"/>
      <w:numFmt w:val="bullet"/>
      <w:lvlText w:val=""/>
      <w:lvlJc w:val="left"/>
      <w:pPr>
        <w:tabs>
          <w:tab w:val="left" w:pos="3230"/>
        </w:tabs>
        <w:ind w:left="3230" w:hanging="420"/>
      </w:pPr>
      <w:rPr>
        <w:rFonts w:hint="default" w:ascii="Wingdings" w:hAnsi="Wingdings"/>
      </w:rPr>
    </w:lvl>
    <w:lvl w:ilvl="8" w:tentative="0">
      <w:start w:val="1"/>
      <w:numFmt w:val="bullet"/>
      <w:lvlText w:val=""/>
      <w:lvlJc w:val="left"/>
      <w:pPr>
        <w:tabs>
          <w:tab w:val="left" w:pos="3650"/>
        </w:tabs>
        <w:ind w:left="3650" w:hanging="420"/>
      </w:pPr>
      <w:rPr>
        <w:rFonts w:hint="default" w:ascii="Wingdings" w:hAnsi="Wingdings"/>
      </w:rPr>
    </w:lvl>
  </w:abstractNum>
  <w:num w:numId="1">
    <w:abstractNumId w:val="5"/>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7"/>
  </w:num>
  <w:num w:numId="5">
    <w:abstractNumId w:val="11"/>
  </w:num>
  <w:num w:numId="6">
    <w:abstractNumId w:val="13"/>
  </w:num>
  <w:num w:numId="7">
    <w:abstractNumId w:val="18"/>
  </w:num>
  <w:num w:numId="8">
    <w:abstractNumId w:val="10"/>
  </w:num>
  <w:num w:numId="9">
    <w:abstractNumId w:val="6"/>
  </w:num>
  <w:num w:numId="10">
    <w:abstractNumId w:val="14"/>
  </w:num>
  <w:num w:numId="11">
    <w:abstractNumId w:val="4"/>
  </w:num>
  <w:num w:numId="12">
    <w:abstractNumId w:val="2"/>
  </w:num>
  <w:num w:numId="13">
    <w:abstractNumId w:val="8"/>
  </w:num>
  <w:num w:numId="14">
    <w:abstractNumId w:val="7"/>
  </w:num>
  <w:num w:numId="15">
    <w:abstractNumId w:val="16"/>
  </w:num>
  <w:num w:numId="16">
    <w:abstractNumId w:val="0"/>
  </w:num>
  <w:num w:numId="17">
    <w:abstractNumId w:val="1"/>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E7B"/>
    <w:rsid w:val="000003AF"/>
    <w:rsid w:val="000074E2"/>
    <w:rsid w:val="00007CEE"/>
    <w:rsid w:val="00013D0F"/>
    <w:rsid w:val="00013ECF"/>
    <w:rsid w:val="00021E08"/>
    <w:rsid w:val="00023D73"/>
    <w:rsid w:val="00024D9D"/>
    <w:rsid w:val="00027A82"/>
    <w:rsid w:val="000324E1"/>
    <w:rsid w:val="00034988"/>
    <w:rsid w:val="00044639"/>
    <w:rsid w:val="00053148"/>
    <w:rsid w:val="00066318"/>
    <w:rsid w:val="000722F2"/>
    <w:rsid w:val="00072B6F"/>
    <w:rsid w:val="000736F1"/>
    <w:rsid w:val="00075BA5"/>
    <w:rsid w:val="000861FA"/>
    <w:rsid w:val="000C4E06"/>
    <w:rsid w:val="000C6C84"/>
    <w:rsid w:val="000C76B5"/>
    <w:rsid w:val="000D5FBF"/>
    <w:rsid w:val="000E46D1"/>
    <w:rsid w:val="000F723C"/>
    <w:rsid w:val="001017BB"/>
    <w:rsid w:val="001311D2"/>
    <w:rsid w:val="00145157"/>
    <w:rsid w:val="00146619"/>
    <w:rsid w:val="00147C94"/>
    <w:rsid w:val="001548A5"/>
    <w:rsid w:val="001704C2"/>
    <w:rsid w:val="00183E9F"/>
    <w:rsid w:val="00187536"/>
    <w:rsid w:val="001939F5"/>
    <w:rsid w:val="001B1A78"/>
    <w:rsid w:val="001B466F"/>
    <w:rsid w:val="001C556F"/>
    <w:rsid w:val="001C6070"/>
    <w:rsid w:val="001D2E0E"/>
    <w:rsid w:val="001D6D70"/>
    <w:rsid w:val="001E5A09"/>
    <w:rsid w:val="001E6057"/>
    <w:rsid w:val="001F02D4"/>
    <w:rsid w:val="001F468E"/>
    <w:rsid w:val="002006D7"/>
    <w:rsid w:val="0020596B"/>
    <w:rsid w:val="0021071C"/>
    <w:rsid w:val="00210BF7"/>
    <w:rsid w:val="00221C03"/>
    <w:rsid w:val="00236D86"/>
    <w:rsid w:val="00242FA8"/>
    <w:rsid w:val="00244C41"/>
    <w:rsid w:val="00250A9F"/>
    <w:rsid w:val="0025463F"/>
    <w:rsid w:val="002558F3"/>
    <w:rsid w:val="00260803"/>
    <w:rsid w:val="00263B8B"/>
    <w:rsid w:val="0027237C"/>
    <w:rsid w:val="00274B78"/>
    <w:rsid w:val="00274DDB"/>
    <w:rsid w:val="00275965"/>
    <w:rsid w:val="00277123"/>
    <w:rsid w:val="00293936"/>
    <w:rsid w:val="002A34FC"/>
    <w:rsid w:val="002B14C1"/>
    <w:rsid w:val="002B50A9"/>
    <w:rsid w:val="002C3ACE"/>
    <w:rsid w:val="002C7701"/>
    <w:rsid w:val="002D5D41"/>
    <w:rsid w:val="00302260"/>
    <w:rsid w:val="00305CF6"/>
    <w:rsid w:val="00324780"/>
    <w:rsid w:val="00361A65"/>
    <w:rsid w:val="00371733"/>
    <w:rsid w:val="00376B09"/>
    <w:rsid w:val="00387D50"/>
    <w:rsid w:val="003910FE"/>
    <w:rsid w:val="003A227C"/>
    <w:rsid w:val="003B32AA"/>
    <w:rsid w:val="003B3CE7"/>
    <w:rsid w:val="003D44A2"/>
    <w:rsid w:val="003D47AF"/>
    <w:rsid w:val="003E578F"/>
    <w:rsid w:val="0040158A"/>
    <w:rsid w:val="00404CD5"/>
    <w:rsid w:val="004118C3"/>
    <w:rsid w:val="00411E13"/>
    <w:rsid w:val="00414EE6"/>
    <w:rsid w:val="00420E7F"/>
    <w:rsid w:val="00422471"/>
    <w:rsid w:val="00424516"/>
    <w:rsid w:val="004423AF"/>
    <w:rsid w:val="00444DE1"/>
    <w:rsid w:val="00450908"/>
    <w:rsid w:val="00453ADC"/>
    <w:rsid w:val="00457450"/>
    <w:rsid w:val="00471AD6"/>
    <w:rsid w:val="00472D2F"/>
    <w:rsid w:val="00484A97"/>
    <w:rsid w:val="0048516C"/>
    <w:rsid w:val="004A68BD"/>
    <w:rsid w:val="004B73B0"/>
    <w:rsid w:val="004C720E"/>
    <w:rsid w:val="004D2A0D"/>
    <w:rsid w:val="004F35CA"/>
    <w:rsid w:val="005110C2"/>
    <w:rsid w:val="00513565"/>
    <w:rsid w:val="0052362B"/>
    <w:rsid w:val="0052473D"/>
    <w:rsid w:val="0053022A"/>
    <w:rsid w:val="00531BDC"/>
    <w:rsid w:val="0053567F"/>
    <w:rsid w:val="00544DA5"/>
    <w:rsid w:val="00553BF2"/>
    <w:rsid w:val="005642E0"/>
    <w:rsid w:val="00574DEE"/>
    <w:rsid w:val="0058511E"/>
    <w:rsid w:val="0058569A"/>
    <w:rsid w:val="00591D28"/>
    <w:rsid w:val="0059251F"/>
    <w:rsid w:val="0059732A"/>
    <w:rsid w:val="005A3E7B"/>
    <w:rsid w:val="005A6EF0"/>
    <w:rsid w:val="005B4A34"/>
    <w:rsid w:val="005C55ED"/>
    <w:rsid w:val="005C5ACB"/>
    <w:rsid w:val="005E43F8"/>
    <w:rsid w:val="005F3C63"/>
    <w:rsid w:val="005F4CB3"/>
    <w:rsid w:val="00603AB3"/>
    <w:rsid w:val="00611CDB"/>
    <w:rsid w:val="00616745"/>
    <w:rsid w:val="006349FF"/>
    <w:rsid w:val="00636A11"/>
    <w:rsid w:val="006442DD"/>
    <w:rsid w:val="006527D7"/>
    <w:rsid w:val="00652F6C"/>
    <w:rsid w:val="00664D35"/>
    <w:rsid w:val="006807C9"/>
    <w:rsid w:val="00680920"/>
    <w:rsid w:val="0068300D"/>
    <w:rsid w:val="00683C4D"/>
    <w:rsid w:val="006A419F"/>
    <w:rsid w:val="006A72D1"/>
    <w:rsid w:val="006B01D1"/>
    <w:rsid w:val="006C6858"/>
    <w:rsid w:val="006D0645"/>
    <w:rsid w:val="006D7994"/>
    <w:rsid w:val="006F2E31"/>
    <w:rsid w:val="00705389"/>
    <w:rsid w:val="007275F6"/>
    <w:rsid w:val="00736763"/>
    <w:rsid w:val="007433FC"/>
    <w:rsid w:val="007505DD"/>
    <w:rsid w:val="00752031"/>
    <w:rsid w:val="00760A1E"/>
    <w:rsid w:val="0077211E"/>
    <w:rsid w:val="00775B8C"/>
    <w:rsid w:val="00786252"/>
    <w:rsid w:val="00786644"/>
    <w:rsid w:val="0078728D"/>
    <w:rsid w:val="00791D10"/>
    <w:rsid w:val="0079242E"/>
    <w:rsid w:val="007B00C3"/>
    <w:rsid w:val="007B12FD"/>
    <w:rsid w:val="007B197E"/>
    <w:rsid w:val="007C4FF7"/>
    <w:rsid w:val="007D0303"/>
    <w:rsid w:val="007D0C9B"/>
    <w:rsid w:val="007D0E00"/>
    <w:rsid w:val="007D2262"/>
    <w:rsid w:val="007D2CD8"/>
    <w:rsid w:val="007E47C4"/>
    <w:rsid w:val="007E5577"/>
    <w:rsid w:val="007E6002"/>
    <w:rsid w:val="00801A73"/>
    <w:rsid w:val="0080213B"/>
    <w:rsid w:val="00803CD9"/>
    <w:rsid w:val="008167C4"/>
    <w:rsid w:val="00824A16"/>
    <w:rsid w:val="00827D12"/>
    <w:rsid w:val="008342A4"/>
    <w:rsid w:val="0086036F"/>
    <w:rsid w:val="008612B8"/>
    <w:rsid w:val="0088730C"/>
    <w:rsid w:val="008A3EEE"/>
    <w:rsid w:val="008B055C"/>
    <w:rsid w:val="008B6CD2"/>
    <w:rsid w:val="008C4052"/>
    <w:rsid w:val="008D0AC6"/>
    <w:rsid w:val="008D13DA"/>
    <w:rsid w:val="008D27E2"/>
    <w:rsid w:val="008E5D3B"/>
    <w:rsid w:val="008E644C"/>
    <w:rsid w:val="008E78BC"/>
    <w:rsid w:val="00907330"/>
    <w:rsid w:val="0091019F"/>
    <w:rsid w:val="009167A2"/>
    <w:rsid w:val="00916F7A"/>
    <w:rsid w:val="00941EF3"/>
    <w:rsid w:val="00974FD2"/>
    <w:rsid w:val="009809C3"/>
    <w:rsid w:val="009876D1"/>
    <w:rsid w:val="00991890"/>
    <w:rsid w:val="009960BD"/>
    <w:rsid w:val="009C3508"/>
    <w:rsid w:val="009D09E5"/>
    <w:rsid w:val="009D5ADE"/>
    <w:rsid w:val="009E1E38"/>
    <w:rsid w:val="009E3B60"/>
    <w:rsid w:val="009E5A59"/>
    <w:rsid w:val="00A13263"/>
    <w:rsid w:val="00A1549D"/>
    <w:rsid w:val="00A21D58"/>
    <w:rsid w:val="00A25B4C"/>
    <w:rsid w:val="00A347FC"/>
    <w:rsid w:val="00A41819"/>
    <w:rsid w:val="00A5702F"/>
    <w:rsid w:val="00A57774"/>
    <w:rsid w:val="00A6008E"/>
    <w:rsid w:val="00A62557"/>
    <w:rsid w:val="00A64EE4"/>
    <w:rsid w:val="00A836B8"/>
    <w:rsid w:val="00A856D9"/>
    <w:rsid w:val="00A94178"/>
    <w:rsid w:val="00AC05DC"/>
    <w:rsid w:val="00AC74A2"/>
    <w:rsid w:val="00AC7E64"/>
    <w:rsid w:val="00AD5E20"/>
    <w:rsid w:val="00AE71F1"/>
    <w:rsid w:val="00B02C44"/>
    <w:rsid w:val="00B0312F"/>
    <w:rsid w:val="00B179EA"/>
    <w:rsid w:val="00B220CB"/>
    <w:rsid w:val="00B24672"/>
    <w:rsid w:val="00B306BC"/>
    <w:rsid w:val="00B358D0"/>
    <w:rsid w:val="00B44E3F"/>
    <w:rsid w:val="00B56014"/>
    <w:rsid w:val="00B566C7"/>
    <w:rsid w:val="00B57596"/>
    <w:rsid w:val="00B603A1"/>
    <w:rsid w:val="00B60649"/>
    <w:rsid w:val="00B652B8"/>
    <w:rsid w:val="00B7505A"/>
    <w:rsid w:val="00B81129"/>
    <w:rsid w:val="00BA1D93"/>
    <w:rsid w:val="00BB1A33"/>
    <w:rsid w:val="00BB2D62"/>
    <w:rsid w:val="00BC29F6"/>
    <w:rsid w:val="00BC5574"/>
    <w:rsid w:val="00BE0E0F"/>
    <w:rsid w:val="00BE6564"/>
    <w:rsid w:val="00BF741F"/>
    <w:rsid w:val="00C024F7"/>
    <w:rsid w:val="00C04391"/>
    <w:rsid w:val="00C210E2"/>
    <w:rsid w:val="00C2255C"/>
    <w:rsid w:val="00C27A33"/>
    <w:rsid w:val="00C33558"/>
    <w:rsid w:val="00C40732"/>
    <w:rsid w:val="00C44778"/>
    <w:rsid w:val="00C86E7A"/>
    <w:rsid w:val="00C95316"/>
    <w:rsid w:val="00CD006E"/>
    <w:rsid w:val="00CD6832"/>
    <w:rsid w:val="00CE37ED"/>
    <w:rsid w:val="00CF014F"/>
    <w:rsid w:val="00CF7FBC"/>
    <w:rsid w:val="00D047E0"/>
    <w:rsid w:val="00D1619C"/>
    <w:rsid w:val="00D2293B"/>
    <w:rsid w:val="00D430F2"/>
    <w:rsid w:val="00D4425C"/>
    <w:rsid w:val="00D5739D"/>
    <w:rsid w:val="00D64F42"/>
    <w:rsid w:val="00D72860"/>
    <w:rsid w:val="00D73D4B"/>
    <w:rsid w:val="00D84A3C"/>
    <w:rsid w:val="00D92B1C"/>
    <w:rsid w:val="00D9557C"/>
    <w:rsid w:val="00D96F0F"/>
    <w:rsid w:val="00DA4619"/>
    <w:rsid w:val="00DA4A0C"/>
    <w:rsid w:val="00DA5E3D"/>
    <w:rsid w:val="00DC5D2B"/>
    <w:rsid w:val="00DD54BD"/>
    <w:rsid w:val="00DD7B40"/>
    <w:rsid w:val="00DE2059"/>
    <w:rsid w:val="00DF5622"/>
    <w:rsid w:val="00DF6A12"/>
    <w:rsid w:val="00E219C3"/>
    <w:rsid w:val="00E230D9"/>
    <w:rsid w:val="00E264B8"/>
    <w:rsid w:val="00E41E3F"/>
    <w:rsid w:val="00E44570"/>
    <w:rsid w:val="00E44FC4"/>
    <w:rsid w:val="00E45EB3"/>
    <w:rsid w:val="00E57B7A"/>
    <w:rsid w:val="00E7792B"/>
    <w:rsid w:val="00E77E36"/>
    <w:rsid w:val="00E8612F"/>
    <w:rsid w:val="00E91305"/>
    <w:rsid w:val="00EB1AAA"/>
    <w:rsid w:val="00EC311D"/>
    <w:rsid w:val="00EC6EE2"/>
    <w:rsid w:val="00EE6D2F"/>
    <w:rsid w:val="00F12173"/>
    <w:rsid w:val="00F161D3"/>
    <w:rsid w:val="00F211B4"/>
    <w:rsid w:val="00F229B3"/>
    <w:rsid w:val="00F2741D"/>
    <w:rsid w:val="00F32D33"/>
    <w:rsid w:val="00F37E55"/>
    <w:rsid w:val="00F43890"/>
    <w:rsid w:val="00F55EC3"/>
    <w:rsid w:val="00F70BC4"/>
    <w:rsid w:val="00F77B71"/>
    <w:rsid w:val="00F81B03"/>
    <w:rsid w:val="00F82B9B"/>
    <w:rsid w:val="00F85882"/>
    <w:rsid w:val="00F9438C"/>
    <w:rsid w:val="00F958F1"/>
    <w:rsid w:val="00F95ACD"/>
    <w:rsid w:val="00FB2F38"/>
    <w:rsid w:val="00FB4D99"/>
    <w:rsid w:val="00FC6270"/>
    <w:rsid w:val="00FD36BD"/>
    <w:rsid w:val="00FE5F8A"/>
    <w:rsid w:val="00FF06FC"/>
    <w:rsid w:val="00FF1CC1"/>
    <w:rsid w:val="00FF355F"/>
    <w:rsid w:val="00FF43FA"/>
    <w:rsid w:val="FD270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0"/>
    <w:pPr>
      <w:spacing w:line="240" w:lineRule="auto"/>
      <w:outlineLvl w:val="1"/>
    </w:pPr>
    <w:rPr>
      <w:rFonts w:eastAsia="仿宋_GB2312"/>
      <w:sz w:val="32"/>
      <w:szCs w:val="22"/>
      <w:lang w:val="zh-CN" w:eastAsia="zh-CN"/>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8"/>
    <w:semiHidden/>
    <w:unhideWhenUsed/>
    <w:uiPriority w:val="99"/>
    <w:pPr>
      <w:jc w:val="left"/>
    </w:pPr>
  </w:style>
  <w:style w:type="paragraph" w:styleId="5">
    <w:name w:val="Balloon Text"/>
    <w:basedOn w:val="1"/>
    <w:link w:val="20"/>
    <w:semiHidden/>
    <w:unhideWhenUsed/>
    <w:uiPriority w:val="99"/>
    <w:pPr>
      <w:spacing w:line="240" w:lineRule="auto"/>
    </w:pPr>
    <w:rPr>
      <w:sz w:val="18"/>
      <w:szCs w:val="18"/>
    </w:rPr>
  </w:style>
  <w:style w:type="paragraph" w:styleId="6">
    <w:name w:val="footer"/>
    <w:basedOn w:val="1"/>
    <w:link w:val="16"/>
    <w:uiPriority w:val="99"/>
    <w:pPr>
      <w:tabs>
        <w:tab w:val="center" w:pos="4153"/>
        <w:tab w:val="right" w:pos="8306"/>
      </w:tabs>
      <w:snapToGrid w:val="0"/>
      <w:jc w:val="left"/>
    </w:pPr>
    <w:rPr>
      <w:sz w:val="18"/>
      <w:szCs w:val="18"/>
    </w:rPr>
  </w:style>
  <w:style w:type="paragraph" w:styleId="7">
    <w:name w:val="header"/>
    <w:basedOn w:val="1"/>
    <w:link w:val="17"/>
    <w:unhideWhenUsed/>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annotation subject"/>
    <w:basedOn w:val="4"/>
    <w:next w:val="4"/>
    <w:link w:val="19"/>
    <w:semiHidden/>
    <w:unhideWhenUsed/>
    <w:uiPriority w:val="99"/>
    <w:rPr>
      <w:b/>
      <w:bCs/>
    </w:r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uiPriority w:val="0"/>
  </w:style>
  <w:style w:type="character" w:styleId="13">
    <w:name w:val="annotation reference"/>
    <w:basedOn w:val="11"/>
    <w:semiHidden/>
    <w:unhideWhenUsed/>
    <w:uiPriority w:val="99"/>
    <w:rPr>
      <w:sz w:val="21"/>
      <w:szCs w:val="21"/>
    </w:rPr>
  </w:style>
  <w:style w:type="character" w:customStyle="1" w:styleId="14">
    <w:name w:val="标题 1 字符"/>
    <w:basedOn w:val="11"/>
    <w:link w:val="2"/>
    <w:uiPriority w:val="0"/>
    <w:rPr>
      <w:rFonts w:ascii="Times New Roman" w:hAnsi="Times New Roman" w:eastAsia="宋体" w:cs="Times New Roman"/>
      <w:b/>
      <w:bCs/>
      <w:kern w:val="44"/>
      <w:sz w:val="44"/>
      <w:szCs w:val="44"/>
    </w:rPr>
  </w:style>
  <w:style w:type="character" w:customStyle="1" w:styleId="15">
    <w:name w:val="标题 2 字符"/>
    <w:basedOn w:val="11"/>
    <w:link w:val="3"/>
    <w:uiPriority w:val="0"/>
    <w:rPr>
      <w:rFonts w:ascii="Times New Roman" w:hAnsi="Times New Roman" w:eastAsia="仿宋_GB2312" w:cs="Times New Roman"/>
      <w:sz w:val="32"/>
      <w:lang w:val="zh-CN" w:eastAsia="zh-CN"/>
    </w:rPr>
  </w:style>
  <w:style w:type="character" w:customStyle="1" w:styleId="16">
    <w:name w:val="页脚 字符"/>
    <w:basedOn w:val="11"/>
    <w:link w:val="6"/>
    <w:uiPriority w:val="99"/>
    <w:rPr>
      <w:rFonts w:ascii="Times New Roman" w:hAnsi="Times New Roman" w:eastAsia="宋体" w:cs="Times New Roman"/>
      <w:sz w:val="18"/>
      <w:szCs w:val="18"/>
    </w:rPr>
  </w:style>
  <w:style w:type="character" w:customStyle="1" w:styleId="17">
    <w:name w:val="页眉 字符"/>
    <w:basedOn w:val="11"/>
    <w:link w:val="7"/>
    <w:uiPriority w:val="0"/>
    <w:rPr>
      <w:rFonts w:ascii="Times New Roman" w:hAnsi="Times New Roman" w:eastAsia="宋体" w:cs="Times New Roman"/>
      <w:sz w:val="18"/>
      <w:szCs w:val="18"/>
    </w:rPr>
  </w:style>
  <w:style w:type="character" w:customStyle="1" w:styleId="18">
    <w:name w:val="批注文字 字符"/>
    <w:basedOn w:val="11"/>
    <w:link w:val="4"/>
    <w:semiHidden/>
    <w:uiPriority w:val="99"/>
    <w:rPr>
      <w:rFonts w:ascii="Times New Roman" w:hAnsi="Times New Roman" w:eastAsia="宋体" w:cs="Times New Roman"/>
      <w:sz w:val="24"/>
      <w:szCs w:val="24"/>
    </w:rPr>
  </w:style>
  <w:style w:type="character" w:customStyle="1" w:styleId="19">
    <w:name w:val="批注主题 字符"/>
    <w:basedOn w:val="18"/>
    <w:link w:val="8"/>
    <w:semiHidden/>
    <w:uiPriority w:val="99"/>
    <w:rPr>
      <w:rFonts w:ascii="Times New Roman" w:hAnsi="Times New Roman" w:eastAsia="宋体" w:cs="Times New Roman"/>
      <w:b/>
      <w:bCs/>
      <w:sz w:val="24"/>
      <w:szCs w:val="24"/>
    </w:rPr>
  </w:style>
  <w:style w:type="character" w:customStyle="1" w:styleId="20">
    <w:name w:val="批注框文本 字符"/>
    <w:basedOn w:val="11"/>
    <w:link w:val="5"/>
    <w:semiHidden/>
    <w:uiPriority w:val="99"/>
    <w:rPr>
      <w:rFonts w:ascii="Times New Roman" w:hAnsi="Times New Roman" w:eastAsia="宋体" w:cs="Times New Roman"/>
      <w:sz w:val="18"/>
      <w:szCs w:val="18"/>
    </w:rPr>
  </w:style>
  <w:style w:type="paragraph" w:customStyle="1" w:styleId="21">
    <w:name w:val="YS3-条"/>
    <w:basedOn w:val="1"/>
    <w:link w:val="22"/>
    <w:qFormat/>
    <w:uiPriority w:val="0"/>
    <w:pPr>
      <w:tabs>
        <w:tab w:val="left" w:pos="1276"/>
        <w:tab w:val="left" w:pos="1843"/>
      </w:tabs>
      <w:adjustRightInd w:val="0"/>
      <w:snapToGrid w:val="0"/>
      <w:spacing w:line="560" w:lineRule="exact"/>
    </w:pPr>
    <w:rPr>
      <w:rFonts w:eastAsia="仿宋" w:cstheme="minorBidi"/>
      <w:sz w:val="32"/>
      <w:szCs w:val="32"/>
    </w:rPr>
  </w:style>
  <w:style w:type="character" w:customStyle="1" w:styleId="22">
    <w:name w:val="YS3-条 Char"/>
    <w:link w:val="21"/>
    <w:qFormat/>
    <w:uiPriority w:val="0"/>
    <w:rPr>
      <w:rFonts w:ascii="Times New Roman" w:hAnsi="Times New Roman" w:eastAsia="仿宋"/>
      <w:sz w:val="32"/>
      <w:szCs w:val="32"/>
    </w:rPr>
  </w:style>
  <w:style w:type="paragraph" w:customStyle="1" w:styleId="23">
    <w:name w:val="Numbered list 2.1"/>
    <w:basedOn w:val="2"/>
    <w:next w:val="1"/>
    <w:uiPriority w:val="0"/>
    <w:pPr>
      <w:keepLines w:val="0"/>
      <w:widowControl/>
      <w:tabs>
        <w:tab w:val="left" w:pos="720"/>
      </w:tabs>
      <w:spacing w:before="240" w:after="60" w:line="240" w:lineRule="auto"/>
      <w:jc w:val="left"/>
    </w:pPr>
    <w:rPr>
      <w:rFonts w:ascii="Arial" w:hAnsi="Arial" w:eastAsia="Times New Roman"/>
      <w:bCs w:val="0"/>
      <w:kern w:val="28"/>
      <w:sz w:val="28"/>
      <w:szCs w:val="20"/>
      <w:lang w:eastAsia="en-US"/>
    </w:rPr>
  </w:style>
  <w:style w:type="paragraph" w:styleId="24">
    <w:name w:val="List Paragraph"/>
    <w:basedOn w:val="1"/>
    <w:qFormat/>
    <w:uiPriority w:val="34"/>
    <w:pPr>
      <w:ind w:firstLine="420" w:firstLineChars="200"/>
    </w:pPr>
  </w:style>
  <w:style w:type="paragraph" w:customStyle="1" w:styleId="25">
    <w:name w:val="Revision"/>
    <w:hidden/>
    <w:semiHidden/>
    <w:uiPriority w:val="99"/>
    <w:rPr>
      <w:rFonts w:ascii="Times New Roman" w:hAnsi="Times New Roman" w:eastAsia="宋体" w:cs="Times New Roman"/>
      <w:kern w:val="2"/>
      <w:sz w:val="24"/>
      <w:szCs w:val="24"/>
      <w:lang w:val="en-US" w:eastAsia="zh-CN" w:bidi="ar-SA"/>
    </w:rPr>
  </w:style>
  <w:style w:type="paragraph" w:customStyle="1" w:styleId="26">
    <w:name w:val="Default"/>
    <w:uiPriority w:val="0"/>
    <w:pPr>
      <w:widowControl w:val="0"/>
      <w:autoSpaceDE w:val="0"/>
      <w:autoSpaceDN w:val="0"/>
      <w:adjustRightInd w:val="0"/>
    </w:pPr>
    <w:rPr>
      <w:rFonts w:ascii="Wingdings" w:hAnsi="Wingdings" w:cs="Wingdings"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608</Words>
  <Characters>3470</Characters>
  <Lines>28</Lines>
  <Paragraphs>8</Paragraphs>
  <TotalTime>441</TotalTime>
  <ScaleCrop>false</ScaleCrop>
  <LinksUpToDate>false</LinksUpToDate>
  <CharactersWithSpaces>4070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2018-09-14T18:10:00Z</dcterms:created>
  <dc:creator>liu</dc:creator>
  <cp:lastModifiedBy>子龙</cp:lastModifiedBy>
  <dcterms:modified xsi:type="dcterms:W3CDTF">2024-07-03T12:58:53Z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6770771E80F3F39A8DDA846614D6FE21_42</vt:lpwstr>
  </property>
</Properties>
</file>