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ind/>
        <w:jc w:val="center"/>
      </w:pPr>
      <w:r>
        <w:rPr>
          <w:rFonts w:ascii="Times New Roman" w:cs="Times New Roman" w:eastAsia="Times New Roman" w:hAnsi="Times New Roman"/>
          <w:b/>
          <w:bCs/>
          <w:sz w:val="24"/>
          <w:szCs w:val="24"/>
        </w:rPr>
        <w:t xml:space="preserve">Grief Behind the Satire: Teaching Mark Twain's </w:t>
      </w:r>
      <w:r>
        <w:rPr>
          <w:rFonts w:ascii="Times New Roman" w:cs="Times New Roman" w:eastAsia="Times New Roman" w:hAnsi="Times New Roman"/>
          <w:b/>
          <w:bCs/>
          <w:i/>
          <w:iCs/>
          <w:sz w:val="24"/>
          <w:szCs w:val="24"/>
        </w:rPr>
        <w:t xml:space="preserve">Letters from the Earth</w:t>
      </w:r>
      <w:r>
        <w:rPr>
          <w:rFonts w:ascii="Times New Roman" w:cs="Times New Roman" w:eastAsia="Times New Roman" w:hAnsi="Times New Roman"/>
          <w:b/>
          <w:bCs/>
          <w:sz w:val="24"/>
          <w:szCs w:val="24"/>
        </w:rPr>
        <w:t xml:space="preserve"> Through Bettelheim's Humanistic Psychoanalysis</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Abstract</w:t>
      </w:r>
    </w:p>
    <w:p>
      <w:pPr>
        <w:spacing w:line="480" w:lineRule="auto"/>
        <w:ind/>
        <w:jc w:val="left"/>
      </w:pPr>
      <w:r>
        <w:rPr>
          <w:rFonts w:ascii="Times New Roman" w:cs="Times New Roman" w:eastAsia="Times New Roman" w:hAnsi="Times New Roman"/>
          <w:sz w:val="24"/>
          <w:szCs w:val="24"/>
        </w:rPr>
        <w:t xml:space="preserve">Mark Twain's Letters from the Earth is frequently taught as religious satire, yet reducing it to anticlerical wit risks missing the biographical and emotional architecture that gives the satire its particular bite. This essay argues that Bruno Bettelheim's humanistic interpretation of Freudian psychoanalysis—with its emphasis on the soul rather than the clinical mind—provides the most productive and teachable lens for the work, revealing Twain's religious pessimism not as ideological posturing but as a structured grief response to compounding personal tragedy. Crucially, this approach differs from psychoanalytic readings that risk biographical determinism; Bettelheim's framework allows instructors to illuminate the emotional substructure of the text without reducing it to symptom. By connecting each analytical move to classroom application, this essay demonstrates how instructors can guide students past surface-level religious controversy toward a richer understanding of how loss shapes rhetorical and satirical voice.</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Introduction: Why Satire Alone Is Not Enough</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Ask most students what Mark Twain's Letters from the Earth is about, and they will say religion—or, more precisely, Twain's disdain for it. This is not wrong, but it is incomplete, and that incompleteness is pedagogically costly. When instructors frame the text primarily as religious satire, students often struggle to account for the work's tonal instability: the way Twain's wit shades unexpectedly into genuine despair, the way his critique of religious hypocrisy feels simultaneously detached and devastatingly personal. Something else is clearly at work beneath the surface, and the right theoretical lens names it with precision.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This essay argues that teaching Letters from the Earth through Bettelheim's humanistic psychoanalysis—one that prioritizes the soul over the clinical mind, and lived emotional experience over diagnostic category—gives students both a richer analytical framework and a more humane understanding of the author. Twain's religious pessimism, this reading reveals, is not ideological posturing but a grief response: a man working through compounding personal tragedy in the only rhetorical mode available to him. To demonstrate this, the essay moves through the theoretical framework, the biographical context, and a psychoanalytic reading of selected passages, pausing at each stage to suggest how instructors can apply these insights in the classroom.</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The Theoretical Lens: Why Bettelheim, and Not Other Psychoanalytic Approaches</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Before applying psychoanalysis to Twain, instructors must first help students understand what kind of psychoanalysis we are using—and why the distinction matters. Psychoanalytic readings of Twain are not new. Pam A. Boker's The Grief Taboo in American Literature examines how Twain developed what she describes as an adaptive, humorous persona in response to grief and loss—a reading that shares terrain with the argument advanced here. However, Boker's approach risks the biographical determinism that psychoanalytic literary criticism has historically attracted: a tendency to treat the text as a direct symptom of the author's psychology rather than as a rhetorically constructed artifact with its own logic and teachable craft. This essay takes a different route. Rather than diagnosing Twain, the goal is to illuminate how grief shaped his rhetorical and satirical choices in ways students can identify, analyze, and learn from. That distinction—between reading a text as symptom and reading it as craft—is itself a productive lesson for the classroom.</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framework that makes this distinction possible is Bettelheim's humanistic interpretation of Freud, which diverges from the medicalized Freud most students encounter in American classrooms in one crucial respect. A fundamental example is the misinterpretation of Psyche to mean mind rather than soul. Bettelheim explains:</w:t>
      </w:r>
    </w:p>
    <w:p>
      <w:pPr>
        <w:spacing w:line="480" w:lineRule="auto"/>
      </w:pPr>
      <w:r>
        <w:rPr>
          <w:rFonts w:ascii="Times New Roman" w:cs="Times New Roman" w:eastAsia="Times New Roman" w:hAnsi="Times New Roman"/>
          <w:sz w:val="24"/>
          <w:szCs w:val="24"/>
        </w:rPr>
        <w:t xml:space="preserve"/>
      </w:r>
    </w:p>
    <w:p>
      <w:pPr>
        <w:spacing w:line="480" w:lineRule="auto"/>
        <w:ind w:left="720" w:right="720"/>
        <w:jc w:val="left"/>
      </w:pPr>
      <w:r>
        <w:rPr>
          <w:rFonts w:ascii="Times New Roman" w:cs="Times New Roman" w:eastAsia="Times New Roman" w:hAnsi="Times New Roman"/>
          <w:sz w:val="24"/>
          <w:szCs w:val="24"/>
        </w:rPr>
        <w:t xml:space="preserve">...in English the accent in 'psychoanalysis' is on 'analysis', thus emphasizing the part of the word whose connotations is scientific. With the German word Psychoanalyse, on the other hand, the accent is on the first syllable—on 'psyche,' the soul. (11)</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This is not a merely semantic point. The medicalized, clinically sterile Freud that arrived in North America is a Freud stripped of his central concern: the essence of a person, the interior life that motivates behavior and shapes expression. For Twain—a writer whose later work is saturated with that interior life—this humanistic Freud is the far more useful tool, precisely because it keeps the focus on craft and voice rather than pathology. Instructors can make this distinction concrete by asking students a simple question before they begin the text: what do you lose if you read this work as a set of propositions about religious hypocrisy, and ignore the person making them? What they lose, Bettelheim's framework helps us see, is the most interesting part of the argument. With this distinction in place, the psychoanalytic method for literary texts becomes available: interpretation in the same vein as dream analysis, attending to symbols, displacements, and emotional substructures that the author may or may not have consciously intended—and that students can learn to read.</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The Biographical Foundation: Grief as the Engine of Satire</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psychoanalytic reading gains its force not from theory alone but from the biographical record of Twain's final decades—a record that instructors should share with students before they open the text, so they can hear the grief in the satire rather than missing it entirely. Of the tragedies in Twain's life, those of his latter years had the most impact. In 1894 the Paige Compositor Manufacturing Company, of which he was a heavy investor, went bankrupt, costing Twain between one hundred seventy-five thousand and three hundred thousand dollars. Desperate to recover the funds, Twain embarked on a lecture tour of Europe. While still abroad, his daughter Susy, age twenty-five, died of spinal meningitis. Twain later recalled their final parting: "He recalled parting on the [train] platform of [1895], with Susy waving in the glare of the electric lights" (Powers 561). This was not a sentimental memory but a haunting one—the last image before devastation.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losses compounded with a relentlessness that Twain would later channel directly into his satirical cosmology. His wife Olivia died in 1905 of long-term illness; he wrote simply, "I am tired and old; I wish I were with Livy" (561). His daughter Jean died in 1909 at age twenty-nine, having drowned in a bathtub. Of Jean he wrote: "Would I bring her back to life if I could do it? I would not...In her loss I am almost bankrupt, and my life is bitterness, yet I am content; for she has been enriched with the most precious of all gifts...death" (561). This is not the voice of a confident atheist mocking the credulous. It is the voice of a man who has run out of reasons to stay—and who, rather than surrendering entirely, turned that exhaustion into art.</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As Diane Plotkin observes, "Twain's feelings of despondency, which are evident in these later works, are expressed through the words of his characters. For this reason, although his writings still tended to be humorous, the tone of many of them, especially those he wrote later in his life, was often dark" (2). The key pedagogical insight here—one that Bettelheim's framework makes possible and that a strictly biographical reading risks obscuring—is that Twain did not simply express his grief; he constructed a rhetorical architecture around it. The satirical voice is not a symptom to be decoded but a choice to be analyzed. Instructors who share this biographical context before assigning the text will find that students arrive at the reading already primed to hear the architecture beneath the argument.</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The Positive Atheist and the Limits of Religious Reconciliation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Understanding Twain's grief as the engine of his satire reframes what he meant by calling himself a "positive atheist"—a term that has puzzled critics and students alike, and that the Bettelheim framework helps resolve. Twain did not simply disbelieve; he studied religion as an unbeliever with the hope of finding reason behind creation, while disavowing what he saw as human-constructed, self-serving hypocrisy. Critics noted his prodigious use of religious imagery in his writing: "there are more biblical references in [Twain's] collected works than references to any other literary work or figure" (Townsend 59). A Bettelheim-informed reading explains this apparent contradiction without reducing it to pathology: a man in grief reaches toward the frameworks that might offer consolation, even as the part of him that cannot be consoled keeps puncturing them. His satire is the record of that reaching and that puncturing simultaneously—and that dynamic is precisely what makes it teachable.</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This dynamic is visible in Twain's view of the New Testament specifically. He reserved his sharpest discontent for this part of the Bible, viewing the Old Testament as more honestly expressive of human nature: "The Old one gives us a picture of these people's Deity as he was before he got religion, the other one gives us a picture of him as he appeared afterward. The Old Testament is interested mainly in blood and sensuality. The New one in Salvation by fire" (Twain, Letters 44). His disgruntlement with the New Testament was its combination of overindulgent optimism and permanent punishment—a religion that promises mercy while encoding cruelty. Instructors can ask students to notice how personal this critique is: Twain is not an outside observer of religion but someone who wanted it to work and found it failing him. His "Reflections on Religion" makes this vulnerability explicit:</w:t>
      </w:r>
    </w:p>
    <w:p>
      <w:pPr>
        <w:spacing w:line="480" w:lineRule="auto"/>
      </w:pPr>
      <w:r>
        <w:rPr>
          <w:rFonts w:ascii="Times New Roman" w:cs="Times New Roman" w:eastAsia="Times New Roman" w:hAnsi="Times New Roman"/>
          <w:sz w:val="24"/>
          <w:szCs w:val="24"/>
        </w:rPr>
        <w:t xml:space="preserve"/>
      </w:r>
    </w:p>
    <w:p>
      <w:pPr>
        <w:spacing w:line="480" w:lineRule="auto"/>
        <w:ind w:left="720" w:right="720"/>
        <w:jc w:val="left"/>
      </w:pPr>
      <w:r>
        <w:rPr>
          <w:rFonts w:ascii="Times New Roman" w:cs="Times New Roman" w:eastAsia="Times New Roman" w:hAnsi="Times New Roman"/>
          <w:sz w:val="24"/>
          <w:szCs w:val="24"/>
        </w:rPr>
        <w:t xml:space="preserve">The Immaculate Conception rests wholly upon the testimony of a single witness—a witness whose very existence has nothing to rest upon but the assertion of a young peasant wife whose husband needs to be pacified...Mary's testimony satisfied him but that is because he lived in Nazareth and not New York. (Neider 35)</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wit here is unmistakable—but so is the bitterness underneath it. Twain is not dismissing faith from a position of serene rationalism. He is dismissing it from a position of exhausted grief, and the mockery is doing emotional as much as argumentative work. In the classroom, this passage opens productive discussion about the relationship between tone and argument: what does the satirical register of a claim reveal about the author's emotional stake in it that a straightforward argument would conceal? This is the kind of question that Bettelheim's humanistic lens makes available—and that a purely argumentative reading of the text forecloses.</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The Reception of the Work: Hypocrisy Reflected Back</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troubled publication history of Letters from the Earth is itself a kind of ironic confirmation of Twain's central argument—and instructors can use it to prepare students for the interpretive resistance they may encounter when teaching the text. Twain came under fire for this work even though it was not published until well after his death, in 1962. Arthur Gelb of the New York Times considered it "a series of highly inflammatory anti-religious essays written by Mark Twain in his later years" (1). Twain's last surviving daughter, Clara Clemens Samossoud, decided to publish the work partly because public opinion had become more tolerant, and partly in annoyance at Soviet charges that some of her father's ideas were being suppressed in the United States (Gelb 1). The irony was rich: a work arguing that humans suppress inconvenient truths was itself being suppressed.</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Howard Mumford Jones grasped what the hostile reviewers missed, writing that the work would lead students of Twain "to inquire even more closely into the complexities of a personality as enigmatic as any in American letters" (Jones 306). Jones's language is instructive precisely because it echoes the Bettelheim framework: the work is a document of personality as much as of argument, and its enigmatic quality—the tonal swings, the barely-contained despair beneath the comedy—is what psychoanalytic reading helps us map. Instructors who assign the controversy alongside the text give students a meta-lesson in the very dynamic Twain was satirizing: the human tendency to suppress what is uncomfortable rather than confront it. That meta-lesson grounds classroom discussion of why texts like this one are still worth teaching, and why reading them requires more than tracking the argument.</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Reading the Text: Three Psychoanalytic Entry Points</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With the theoretical framework, biographical context, and reception history in place, students are ready for the text itself. Three passages offer particularly productive entry points for psychoanalytic reading in the classroom, each illuminating a different dimension of the grief-satire relationship—and each demonstrating how Bettelheim's framework generates analytical moves that a purely argumentative reading cannot.</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first is the opening scene, in which God's contemplation of creation establishes the emotional stakes of everything that follows:</w:t>
      </w:r>
    </w:p>
    <w:p>
      <w:pPr>
        <w:spacing w:line="480" w:lineRule="auto"/>
      </w:pPr>
      <w:r>
        <w:rPr>
          <w:rFonts w:ascii="Times New Roman" w:cs="Times New Roman" w:eastAsia="Times New Roman" w:hAnsi="Times New Roman"/>
          <w:sz w:val="24"/>
          <w:szCs w:val="24"/>
        </w:rPr>
        <w:t xml:space="preserve"/>
      </w:r>
    </w:p>
    <w:p>
      <w:pPr>
        <w:spacing w:line="480" w:lineRule="auto"/>
        <w:ind w:left="720" w:right="720"/>
        <w:jc w:val="left"/>
      </w:pPr>
      <w:r>
        <w:rPr>
          <w:rFonts w:ascii="Times New Roman" w:cs="Times New Roman" w:eastAsia="Times New Roman" w:hAnsi="Times New Roman"/>
          <w:sz w:val="24"/>
          <w:szCs w:val="24"/>
        </w:rPr>
        <w:t xml:space="preserve">The Creator sat upon the throne, thinking. Behind him stretched the illimitable continent of heaven, steeped in a glory of light and color; before him rose the black night of Space, like a wall. His mighty bulk towered rugged and mountain-like into the zenith, and His divine head blazed there like a distant sun. At His feet stood three colossal figures, diminished to extinction, almost, by contrast—archangels—their heads level with His ankle-bone. (1)</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Read psychoanalytically, this scene is structured by loss. Space—the black wall before the Creator—is Twain's emotional void, the absence left by those he loved. Heaven—the illimitable continent of light behind—is the paradise of emotional resolution he cannot reach. The Creator's head blazing like a sun figures the mind seeking to make sense of everything; the three diminished angels at the Creator's feet echo Twain's three lost loved ones—Susy, Olivia, Jean—finding a divinity he cannot. And in the role of Satan, Twain places himself: the commentator who watches over creation, too sharp-eyed for consolation, too grief-stricken to be comfortable anywhere. Crucially, this is not a deterministic reading—we are not claiming Twain consciously intended these correspondences. We are demonstrating, in the Bettelheim tradition, how the emotional substructure of the passage shapes its rhetorical effect. Instructors can ask students to map these correspondences and then ask the harder question: what does it mean that Twain casts himself as the one who gets expelled? What does that self-positioning tell us about how he understood his own relationship to faith—and how does it complicate the straightforward satirical reading?</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second entry point is the passage on human sexual nature, which crystallizes the text's argument about religious repression—but which, read against the biographical context the Bettelheim framework makes available, reveals something more personal:</w:t>
      </w:r>
    </w:p>
    <w:p>
      <w:pPr>
        <w:spacing w:line="480" w:lineRule="auto"/>
      </w:pPr>
      <w:r>
        <w:rPr>
          <w:rFonts w:ascii="Times New Roman" w:cs="Times New Roman" w:eastAsia="Times New Roman" w:hAnsi="Times New Roman"/>
          <w:sz w:val="24"/>
          <w:szCs w:val="24"/>
        </w:rPr>
        <w:t xml:space="preserve"/>
      </w:r>
    </w:p>
    <w:p>
      <w:pPr>
        <w:spacing w:line="480" w:lineRule="auto"/>
        <w:ind w:left="720" w:right="720"/>
        <w:jc w:val="left"/>
      </w:pPr>
      <w:r>
        <w:rPr>
          <w:rFonts w:ascii="Times New Roman" w:cs="Times New Roman" w:eastAsia="Times New Roman" w:hAnsi="Times New Roman"/>
          <w:sz w:val="24"/>
          <w:szCs w:val="24"/>
        </w:rPr>
        <w:t xml:space="preserve">...The very thought of it excites him; opportunity sets him wild; in this state he will risk life, reputation, everything—even his queer heaven itself—to make good that opportunity and ride it to the overwhelming climax. From youth to middle age all men and all women prize copulation above all other pleasures combined, yet it is actually as I have said: it is not in their heaven; prayer takes its place. (4)</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On the surface this is a satirical observation about the displacement of natural drives by religious repression. But the Bettelheim framework directs us to the emotional substructure: what Twain is mourning here is the depth of human connection—the intensity that he lost with the death of Olivia. By choosing sexuality as his example of what religion displaces, he is not merely being provocative; he is pointing to the category of experience that most fundamentally links one person to another, and noting that the heaven humanity has constructed has no room for it. In the classroom, this passage can prompt discussion of how satirical exaggeration functions as emotional displacement—how the comic register allows Twain to approach grief obliquely, saying something true about loss through the cover of irreverence. That distinction between direct expression and rhetorical displacement is one of the most transferable analytical skills students can take from this text.</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third entry point is the treatment of the Bible as a human construction, which brings the psychoanalytic reading to its clearest and most self-aware articulation:</w:t>
      </w:r>
    </w:p>
    <w:p>
      <w:pPr>
        <w:spacing w:line="480" w:lineRule="auto"/>
      </w:pPr>
      <w:r>
        <w:rPr>
          <w:rFonts w:ascii="Times New Roman" w:cs="Times New Roman" w:eastAsia="Times New Roman" w:hAnsi="Times New Roman"/>
          <w:sz w:val="24"/>
          <w:szCs w:val="24"/>
        </w:rPr>
        <w:t xml:space="preserve"/>
      </w:r>
    </w:p>
    <w:p>
      <w:pPr>
        <w:spacing w:line="480" w:lineRule="auto"/>
        <w:ind w:left="720" w:right="720"/>
        <w:jc w:val="left"/>
      </w:pPr>
      <w:r>
        <w:rPr>
          <w:rFonts w:ascii="Times New Roman" w:cs="Times New Roman" w:eastAsia="Times New Roman" w:hAnsi="Times New Roman"/>
          <w:sz w:val="24"/>
          <w:szCs w:val="24"/>
        </w:rPr>
        <w:t xml:space="preserve">It is full of interest. It has noble poetry in it; and some clever fables; and some blood-drenched history; and some good morals; and a wealth of obscenity; and upwards of a thousand lies. This Bible is built mainly out of the fragments of older Bibles that had their day and crumbled to ruin. So it noticeably lacks in originality, necessarily...there are only two new things in it: hell, for one, and that singular heaven I have told you about. (5)</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A strictly argumentative reading finds here a debunking of biblical authority. A psychoanalytic reading—one informed by Bettelheim's craft-centered approach rather than by more symptom-focused alternatives—finds something richer: Twain catching himself in the act he is satirizing. The Bible as a construct "built mainly out of fragments" mirrors Twain's own grief-work: the hell in which those who wronged him will be punished, the heaven in which his wife and daughters will rest, the sense that these are fictions he has assembled from older, crumbled frameworks because he cannot function without them. Crucially, he knows this. The cynical tone is also a self-aware one. This moment of self-implication—where the satirist finds himself practicing the very hypocrisy he mocks—is perhaps the richest moment available to classroom discussion, because it transforms the text from a one-directional argument into a record of a mind in honest conflict with itself. Instructors can ask students to identify other such moments in the text, building toward an understanding of Twain not as a confident rationalist but as a human being using argument to survive grief—and occasionally noticing that he is doing so.</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Conclusion: Teaching the Full Twain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progression of Letters from the Earth—from a hypocritical God to a hypocritical humanity and back again—is not merely a logical structure. It is an emotional one, mapping a mind that keeps circling the same losses from different angles and finding no satisfying resolution. Twain's positive atheism, his prodigious biblical references, his satirical ferocity, and his moments of barely-contained despair all make more sense when we understand them as facets of grief rather than positions in a debate. And they become teachable in a new way—not as a checklist of satirical techniques but as a demonstration of how biographical experience shapes rhetorical voice from the inside out.</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The value of Bettelheim's framework over more symptom-focused psychoanalytic approaches is precisely that it preserves this teachability. By keeping the focus on craft rather than pathology—on how grief shaped Twain's rhetorical choices rather than simply that it did—the framework gives students analytical tools they can carry into other texts and other authors. They learn to ask not only what a writer argues but what emotional work the argument is doing, and what the gap between the two reveals. These are among the most durable questions we can give students of American literature.</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sz w:val="24"/>
          <w:szCs w:val="24"/>
        </w:rPr>
        <w:t xml:space="preserve">Letters from the Earth, taught psychoanalytically and in the Bettelheim tradition, offers those questions with unusual force. Twain's satirical and rhetorical genius, it turns out, was also a survival mechanism. Teaching students to see both at once—the argument and the grief behind it—is what this lens makes possible, and what a purely satirical reading leaves on the table.</w:t>
      </w:r>
    </w:p>
    <w:p>
      <w:pPr>
        <w:spacing w:line="480" w:lineRule="auto"/>
      </w:pPr>
      <w:r>
        <w:rPr>
          <w:rFonts w:ascii="Times New Roman" w:cs="Times New Roman" w:eastAsia="Times New Roman" w:hAnsi="Times New Roman"/>
          <w:sz w:val="24"/>
          <w:szCs w:val="24"/>
        </w:rPr>
        <w:t xml:space="preserve"/>
      </w:r>
    </w:p>
    <w:p>
      <w:pPr>
        <w:spacing w:line="480" w:lineRule="auto"/>
        <w:ind/>
        <w:jc w:val="center"/>
      </w:pPr>
      <w:r>
        <w:rPr>
          <w:rFonts w:ascii="Times New Roman" w:cs="Times New Roman" w:eastAsia="Times New Roman" w:hAnsi="Times New Roman"/>
          <w:b/>
          <w:bCs/>
          <w:sz w:val="24"/>
          <w:szCs w:val="24"/>
        </w:rPr>
        <w:t xml:space="preserve">Works Cited</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jc w:val="left"/>
      </w:pPr>
      <w:r>
        <w:rPr>
          <w:rFonts w:ascii="Times New Roman" w:cs="Times New Roman" w:eastAsia="Times New Roman" w:hAnsi="Times New Roman"/>
          <w:sz w:val="24"/>
          <w:szCs w:val="24"/>
        </w:rPr>
        <w:t xml:space="preserve">Bettelheim, Bruno. Freud and Man's Soul. Knopf, 1983.</w:t>
      </w:r>
    </w:p>
    <w:p>
      <w:pPr>
        <w:spacing w:line="480" w:lineRule="auto"/>
        <w:ind w:left="720" w:hanging="720"/>
        <w:jc w:val="left"/>
      </w:pPr>
      <w:r>
        <w:rPr>
          <w:rFonts w:ascii="Times New Roman" w:cs="Times New Roman" w:eastAsia="Times New Roman" w:hAnsi="Times New Roman"/>
          <w:sz w:val="24"/>
          <w:szCs w:val="24"/>
        </w:rPr>
        <w:t xml:space="preserve">Boker, Pam A. The Grief Taboo in American Literature: Loss and Prolonged Adolescence in Twain, Melville, and Hemingway. New York UP, 1997.</w:t>
      </w:r>
    </w:p>
    <w:p>
      <w:pPr>
        <w:spacing w:line="480" w:lineRule="auto"/>
        <w:ind w:left="720" w:hanging="720"/>
        <w:jc w:val="left"/>
      </w:pPr>
      <w:r>
        <w:rPr>
          <w:rFonts w:ascii="Times New Roman" w:cs="Times New Roman" w:eastAsia="Times New Roman" w:hAnsi="Times New Roman"/>
          <w:sz w:val="24"/>
          <w:szCs w:val="24"/>
        </w:rPr>
        <w:t xml:space="preserve">Gelb, Arthur. "Anti-Religious Work by Twain, Long Withheld, to Be Published." New York Times, 24 Aug. 1962, p. 1.</w:t>
      </w:r>
    </w:p>
    <w:p>
      <w:pPr>
        <w:spacing w:line="480" w:lineRule="auto"/>
        <w:ind w:left="720" w:hanging="720"/>
        <w:jc w:val="left"/>
      </w:pPr>
      <w:r>
        <w:rPr>
          <w:rFonts w:ascii="Times New Roman" w:cs="Times New Roman" w:eastAsia="Times New Roman" w:hAnsi="Times New Roman"/>
          <w:sz w:val="24"/>
          <w:szCs w:val="24"/>
        </w:rPr>
        <w:t xml:space="preserve">Jones, Howard Mumford. "The Other Face of the Humorist." New York Times, 23 Sept. 1962, p. 306.</w:t>
      </w:r>
    </w:p>
    <w:p>
      <w:pPr>
        <w:spacing w:line="480" w:lineRule="auto"/>
        <w:ind w:left="720" w:hanging="720"/>
        <w:jc w:val="left"/>
      </w:pPr>
      <w:r>
        <w:rPr>
          <w:rFonts w:ascii="Times New Roman" w:cs="Times New Roman" w:eastAsia="Times New Roman" w:hAnsi="Times New Roman"/>
          <w:sz w:val="24"/>
          <w:szCs w:val="24"/>
        </w:rPr>
        <w:t xml:space="preserve">Plotkin, Diane M. "Creator and Fallen Angel: The Christian Atheism of Mark Twain." Diss., U of North Texas, 2006.</w:t>
      </w:r>
    </w:p>
    <w:p>
      <w:pPr>
        <w:spacing w:line="480" w:lineRule="auto"/>
        <w:ind w:left="720" w:hanging="720"/>
        <w:jc w:val="left"/>
      </w:pPr>
      <w:r>
        <w:rPr>
          <w:rFonts w:ascii="Times New Roman" w:cs="Times New Roman" w:eastAsia="Times New Roman" w:hAnsi="Times New Roman"/>
          <w:sz w:val="24"/>
          <w:szCs w:val="24"/>
        </w:rPr>
        <w:t xml:space="preserve">Powers, Ron. Mark Twain: A Life. Free Press, 2005.</w:t>
      </w:r>
    </w:p>
    <w:p>
      <w:pPr>
        <w:spacing w:line="480" w:lineRule="auto"/>
        <w:ind w:left="720" w:hanging="720"/>
        <w:jc w:val="left"/>
      </w:pPr>
      <w:r>
        <w:rPr>
          <w:rFonts w:ascii="Times New Roman" w:cs="Times New Roman" w:eastAsia="Times New Roman" w:hAnsi="Times New Roman"/>
          <w:sz w:val="24"/>
          <w:szCs w:val="24"/>
        </w:rPr>
        <w:t xml:space="preserve">Townsend, James A. "Grace in the Arts: Mark Twain: A Bitter Battle with God." Journal of the Grace Evangelical Society, vol. 17, no. 2, 2004, pp. 49-76.</w:t>
      </w:r>
    </w:p>
    <w:p>
      <w:pPr>
        <w:spacing w:line="480" w:lineRule="auto"/>
        <w:ind w:left="720" w:hanging="720"/>
        <w:jc w:val="left"/>
      </w:pPr>
      <w:r>
        <w:rPr>
          <w:rFonts w:ascii="Times New Roman" w:cs="Times New Roman" w:eastAsia="Times New Roman" w:hAnsi="Times New Roman"/>
          <w:sz w:val="24"/>
          <w:szCs w:val="24"/>
        </w:rPr>
        <w:t xml:space="preserve">Twain, Mark. Letters from the Earth. Edited by Bernard DeVoto, Harper and Row, 1963.</w:t>
      </w:r>
    </w:p>
    <w:p>
      <w:pPr>
        <w:spacing w:line="480" w:lineRule="auto"/>
        <w:ind w:left="720" w:hanging="720"/>
        <w:jc w:val="left"/>
      </w:pPr>
      <w:r>
        <w:rPr>
          <w:rFonts w:ascii="Times New Roman" w:cs="Times New Roman" w:eastAsia="Times New Roman" w:hAnsi="Times New Roman"/>
          <w:sz w:val="24"/>
          <w:szCs w:val="24"/>
        </w:rPr>
        <w:t xml:space="preserve">---. "Reflections on Religion." The Outrageous Mark Twain, edited by Charles Neider, Doubleday, 1987.</w:t>
      </w:r>
    </w:p>
    <w:p>
      <w:pPr>
        <w:spacing w:line="480" w:lineRule="auto"/>
      </w:pPr>
      <w:r>
        <w:rPr>
          <w:rFonts w:ascii="Times New Roman" w:cs="Times New Roman" w:eastAsia="Times New Roman" w:hAnsi="Times New Roman"/>
          <w:sz w:val="24"/>
          <w:szCs w:val="24"/>
        </w:rPr>
        <w:t xml:space="preserve"/>
      </w:r>
    </w:p>
    <w:p>
      <w:pPr>
        <w:spacing w:line="480" w:lineRule="auto"/>
        <w:ind/>
        <w:jc w:val="left"/>
      </w:pPr>
      <w:r>
        <w:rPr>
          <w:rFonts w:ascii="Times New Roman" w:cs="Times New Roman" w:eastAsia="Times New Roman" w:hAnsi="Times New Roman"/>
          <w:b/>
          <w:bCs/>
          <w:sz w:val="24"/>
          <w:szCs w:val="24"/>
        </w:rPr>
        <w:t xml:space="preserve">Author Note</w:t>
      </w:r>
    </w:p>
    <w:p>
      <w:pPr>
        <w:spacing w:line="480" w:lineRule="auto"/>
        <w:ind/>
        <w:jc w:val="left"/>
      </w:pPr>
      <w:r>
        <w:rPr>
          <w:rFonts w:ascii="Times New Roman" w:cs="Times New Roman" w:eastAsia="Times New Roman" w:hAnsi="Times New Roman"/>
          <w:sz w:val="24"/>
          <w:szCs w:val="24"/>
        </w:rPr>
        <w:t xml:space="preserve">AI-assisted editing tools were used to improve language, grammar, and readability in the preparation of this manuscript. All research, analysis, and intellectual content are the original work of the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2026-03-15T23:14:59.356Z</dcterms:created>
  <dcterms:modified xsi:type="dcterms:W3CDTF">2026-03-15T23:14:59.358Z</dcterms:modified>
</cp:coreProperties>
</file>

<file path=docProps/custom.xml><?xml version="1.0" encoding="utf-8"?>
<Properties xmlns="http://schemas.openxmlformats.org/officeDocument/2006/custom-properties" xmlns:vt="http://schemas.openxmlformats.org/officeDocument/2006/docPropsVTypes"/>
</file>