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0D5844" w14:textId="77777777" w:rsidR="00770D5F" w:rsidRPr="00EA31A7" w:rsidRDefault="00EA31A7">
      <w:pPr>
        <w:rPr>
          <w:rFonts w:ascii="Times New Roman" w:hAnsi="Times New Roman" w:cs="Times New Roman"/>
          <w:b/>
          <w:bCs/>
          <w:sz w:val="24"/>
          <w:szCs w:val="24"/>
        </w:rPr>
      </w:pPr>
      <w:r w:rsidRPr="00EA31A7">
        <w:rPr>
          <w:rFonts w:ascii="Times New Roman" w:hAnsi="Times New Roman" w:cs="Times New Roman"/>
          <w:b/>
          <w:bCs/>
          <w:sz w:val="24"/>
          <w:szCs w:val="24"/>
        </w:rPr>
        <w:t>Name: - Yathurshika Sathiyavarman</w:t>
      </w:r>
    </w:p>
    <w:p w14:paraId="3BFFE1CD" w14:textId="77777777" w:rsidR="00EA31A7" w:rsidRPr="00EA31A7" w:rsidRDefault="00EA31A7">
      <w:pPr>
        <w:rPr>
          <w:rFonts w:ascii="Times New Roman" w:hAnsi="Times New Roman" w:cs="Times New Roman"/>
          <w:b/>
          <w:bCs/>
          <w:sz w:val="24"/>
          <w:szCs w:val="24"/>
        </w:rPr>
      </w:pPr>
      <w:r w:rsidRPr="00EA31A7">
        <w:rPr>
          <w:rFonts w:ascii="Times New Roman" w:hAnsi="Times New Roman" w:cs="Times New Roman"/>
          <w:b/>
          <w:bCs/>
          <w:sz w:val="24"/>
          <w:szCs w:val="24"/>
        </w:rPr>
        <w:t>Registration Number: - 2018/ICT/13</w:t>
      </w:r>
    </w:p>
    <w:p w14:paraId="628638AE" w14:textId="77777777" w:rsidR="00EA31A7" w:rsidRDefault="00EA31A7">
      <w:pPr>
        <w:rPr>
          <w:rFonts w:ascii="Times New Roman" w:hAnsi="Times New Roman" w:cs="Times New Roman"/>
          <w:b/>
          <w:bCs/>
          <w:sz w:val="24"/>
          <w:szCs w:val="24"/>
        </w:rPr>
      </w:pPr>
      <w:r w:rsidRPr="00EA31A7">
        <w:rPr>
          <w:rFonts w:ascii="Times New Roman" w:hAnsi="Times New Roman" w:cs="Times New Roman"/>
          <w:b/>
          <w:bCs/>
          <w:sz w:val="24"/>
          <w:szCs w:val="24"/>
        </w:rPr>
        <w:t xml:space="preserve">Research Title: - </w:t>
      </w:r>
      <w:r w:rsidRPr="00EA31A7">
        <w:rPr>
          <w:rFonts w:ascii="Times New Roman" w:hAnsi="Times New Roman" w:cs="Times New Roman"/>
          <w:b/>
          <w:bCs/>
          <w:sz w:val="24"/>
          <w:szCs w:val="24"/>
        </w:rPr>
        <w:t xml:space="preserve">Cyber Insurance: Assessment of Coverage, Costs, and Impact on </w:t>
      </w:r>
      <w:proofErr w:type="gramStart"/>
      <w:r w:rsidRPr="00EA31A7">
        <w:rPr>
          <w:rFonts w:ascii="Times New Roman" w:hAnsi="Times New Roman" w:cs="Times New Roman"/>
          <w:b/>
          <w:bCs/>
          <w:sz w:val="24"/>
          <w:szCs w:val="24"/>
        </w:rPr>
        <w:t xml:space="preserve">Organizational </w:t>
      </w:r>
      <w:r>
        <w:rPr>
          <w:rFonts w:ascii="Times New Roman" w:hAnsi="Times New Roman" w:cs="Times New Roman"/>
          <w:b/>
          <w:bCs/>
          <w:sz w:val="24"/>
          <w:szCs w:val="24"/>
        </w:rPr>
        <w:t>.</w:t>
      </w:r>
      <w:proofErr w:type="gramEnd"/>
    </w:p>
    <w:p w14:paraId="523968CA" w14:textId="77777777" w:rsidR="00EA31A7" w:rsidRDefault="00EA31A7">
      <w:pPr>
        <w:rPr>
          <w:rFonts w:ascii="Times New Roman" w:hAnsi="Times New Roman" w:cs="Times New Roman"/>
          <w:b/>
          <w:bCs/>
          <w:sz w:val="24"/>
          <w:szCs w:val="24"/>
        </w:rPr>
      </w:pPr>
    </w:p>
    <w:p w14:paraId="7F75F7B4" w14:textId="77777777" w:rsidR="00EA31A7" w:rsidRDefault="00EA31A7">
      <w:pPr>
        <w:rPr>
          <w:rFonts w:ascii="Times New Roman" w:hAnsi="Times New Roman" w:cs="Times New Roman"/>
          <w:b/>
          <w:bCs/>
          <w:sz w:val="32"/>
          <w:szCs w:val="32"/>
          <w:u w:val="single"/>
        </w:rPr>
      </w:pPr>
      <w:r w:rsidRPr="00EA31A7">
        <w:rPr>
          <w:rFonts w:ascii="Times New Roman" w:hAnsi="Times New Roman" w:cs="Times New Roman"/>
          <w:b/>
          <w:bCs/>
          <w:sz w:val="32"/>
          <w:szCs w:val="32"/>
          <w:u w:val="single"/>
        </w:rPr>
        <w:t>Introduction</w:t>
      </w:r>
      <w:r>
        <w:rPr>
          <w:rFonts w:ascii="Times New Roman" w:hAnsi="Times New Roman" w:cs="Times New Roman"/>
          <w:b/>
          <w:bCs/>
          <w:sz w:val="32"/>
          <w:szCs w:val="32"/>
          <w:u w:val="single"/>
        </w:rPr>
        <w:t>.</w:t>
      </w:r>
    </w:p>
    <w:p w14:paraId="6BACAAED" w14:textId="77777777" w:rsidR="00EA31A7" w:rsidRDefault="00EA31A7">
      <w:pPr>
        <w:rPr>
          <w:rFonts w:ascii="Times New Roman" w:hAnsi="Times New Roman" w:cs="Times New Roman"/>
          <w:b/>
          <w:bCs/>
          <w:sz w:val="32"/>
          <w:szCs w:val="32"/>
          <w:u w:val="single"/>
        </w:rPr>
      </w:pPr>
    </w:p>
    <w:p w14:paraId="5A262DB9" w14:textId="77777777" w:rsidR="00EA31A7" w:rsidRPr="00EA31A7" w:rsidRDefault="00EA31A7" w:rsidP="00EA31A7">
      <w:pPr>
        <w:jc w:val="both"/>
        <w:rPr>
          <w:rFonts w:ascii="Times New Roman" w:hAnsi="Times New Roman" w:cs="Times New Roman"/>
          <w:sz w:val="28"/>
          <w:szCs w:val="28"/>
        </w:rPr>
      </w:pPr>
      <w:r w:rsidRPr="00EA31A7">
        <w:rPr>
          <w:rFonts w:ascii="Times New Roman" w:hAnsi="Times New Roman" w:cs="Times New Roman"/>
          <w:sz w:val="28"/>
          <w:szCs w:val="28"/>
        </w:rPr>
        <w:t>In today's digitized landscape, the prominence of cyber insurance has surged as organizations confront escalating cyber threats. This research conducts a thorough examination of Cyber Insurance, primarily focusing on evaluating the scope of coverage, associated costs, and its consequential impact on bolstering organizational resilience. In an era marked by interconnected digital frameworks, comprehending the intricate dynamics of cyber insurance is of paramount importance.</w:t>
      </w:r>
    </w:p>
    <w:p w14:paraId="05B4F424" w14:textId="77777777" w:rsidR="00EA31A7" w:rsidRPr="00EA31A7" w:rsidRDefault="00EA31A7" w:rsidP="00EA31A7">
      <w:pPr>
        <w:jc w:val="both"/>
        <w:rPr>
          <w:rFonts w:ascii="Times New Roman" w:hAnsi="Times New Roman" w:cs="Times New Roman"/>
          <w:sz w:val="28"/>
          <w:szCs w:val="28"/>
        </w:rPr>
      </w:pPr>
      <w:r w:rsidRPr="00EA31A7">
        <w:rPr>
          <w:rFonts w:ascii="Times New Roman" w:hAnsi="Times New Roman" w:cs="Times New Roman"/>
          <w:sz w:val="28"/>
          <w:szCs w:val="28"/>
        </w:rPr>
        <w:t xml:space="preserve"> Through an in-depth analysis of coverage parameters, premium structures, and the tangible implications on an organization's resilience in the aftermath of cyber incidents, this study sheds light on the multifaceted dimensions of cyber insurance.</w:t>
      </w:r>
      <w:sdt>
        <w:sdtPr>
          <w:rPr>
            <w:rFonts w:ascii="Times New Roman" w:hAnsi="Times New Roman" w:cs="Times New Roman"/>
            <w:color w:val="000000"/>
            <w:sz w:val="28"/>
            <w:szCs w:val="28"/>
          </w:rPr>
          <w:tag w:val="MENDELEY_CITATION_v3_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"/>
          <w:id w:val="1944775"/>
          <w:placeholder>
            <w:docPart w:val="DefaultPlaceholder_-1854013440"/>
          </w:placeholder>
        </w:sdtPr>
        <w:sdtContent>
          <w:r w:rsidR="003B30B5">
            <w:rPr>
              <w:rFonts w:eastAsia="Times New Roman"/>
            </w:rPr>
            <w:t xml:space="preserve">(Pal et al., 2014; Ramirez &amp; </w:t>
          </w:r>
          <w:proofErr w:type="spellStart"/>
          <w:r w:rsidR="003B30B5">
            <w:rPr>
              <w:rFonts w:eastAsia="Times New Roman"/>
            </w:rPr>
            <w:t>Choucri</w:t>
          </w:r>
          <w:proofErr w:type="spellEnd"/>
          <w:r w:rsidR="003B30B5">
            <w:rPr>
              <w:rFonts w:eastAsia="Times New Roman"/>
            </w:rPr>
            <w:t>, 2016)</w:t>
          </w:r>
        </w:sdtContent>
      </w:sdt>
      <w:r w:rsidRPr="00EA31A7">
        <w:rPr>
          <w:rFonts w:ascii="Times New Roman" w:hAnsi="Times New Roman" w:cs="Times New Roman"/>
          <w:sz w:val="28"/>
          <w:szCs w:val="28"/>
        </w:rPr>
        <w:t xml:space="preserve">, and regulatory frameworks </w:t>
      </w:r>
      <w:sdt>
        <w:sdtPr>
          <w:rPr>
            <w:rFonts w:ascii="Times New Roman" w:hAnsi="Times New Roman" w:cs="Times New Roman"/>
            <w:color w:val="000000"/>
            <w:sz w:val="28"/>
            <w:szCs w:val="28"/>
          </w:rPr>
          <w:tag w:val="MENDELEY_CITATION_v3_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"/>
          <w:id w:val="854768029"/>
          <w:placeholder>
            <w:docPart w:val="DefaultPlaceholder_-1854013440"/>
          </w:placeholder>
        </w:sdtPr>
        <w:sdtContent>
          <w:r w:rsidR="003B30B5" w:rsidRPr="003B30B5">
            <w:rPr>
              <w:rFonts w:ascii="Times New Roman" w:hAnsi="Times New Roman" w:cs="Times New Roman"/>
              <w:color w:val="000000"/>
              <w:sz w:val="28"/>
              <w:szCs w:val="28"/>
            </w:rPr>
            <w:t>(Aziz et al., 2020)</w:t>
          </w:r>
        </w:sdtContent>
      </w:sdt>
      <w:r w:rsidRPr="00EA31A7">
        <w:rPr>
          <w:rFonts w:ascii="Times New Roman" w:hAnsi="Times New Roman" w:cs="Times New Roman"/>
          <w:sz w:val="28"/>
          <w:szCs w:val="28"/>
        </w:rPr>
        <w:t xml:space="preserve">shape the foundation of this research, accentuating cyber insurance's pivotal role in modern business environments. By investigating the extend of coverage offered by various policies, probing the intricacies of premium costs, and assessing the measurable effects on an organization's resilience in the face of cyber incidents, this study offers insights that empower businesses to make well-informed decisions, thereby fortifying their overall cyber risk management strategies. </w:t>
      </w:r>
    </w:p>
    <w:p w14:paraId="0A06CC11" w14:textId="77777777" w:rsidR="00EA31A7" w:rsidRPr="00EA31A7" w:rsidRDefault="00EA31A7" w:rsidP="00EA31A7">
      <w:pPr>
        <w:jc w:val="both"/>
        <w:rPr>
          <w:rFonts w:ascii="Times New Roman" w:hAnsi="Times New Roman" w:cs="Times New Roman"/>
          <w:b/>
          <w:bCs/>
          <w:sz w:val="40"/>
          <w:szCs w:val="40"/>
          <w:u w:val="single"/>
        </w:rPr>
      </w:pPr>
      <w:r w:rsidRPr="00EA31A7">
        <w:rPr>
          <w:rFonts w:ascii="Times New Roman" w:hAnsi="Times New Roman" w:cs="Times New Roman"/>
          <w:sz w:val="28"/>
          <w:szCs w:val="28"/>
        </w:rPr>
        <w:t>In conclusion, this investigation navigates the complex terrain of cyber insurance, unraveling its multifaceted aspects encompassing coverage, costs, and organizational resilience. As businesses navigate the challenges posed by an evolving digital landscape, understanding the dynamics of cyber insurance becomes an indispensable tool for risk management. By amalgamating insights from scholarly research, industry trends, and regulatory guidelines, this study contributes to the ongoing discourse surrounding cyber insurance and equips organizations with valuable knowledge to enhance their preparedness in the face of cyber threats.</w:t>
      </w:r>
    </w:p>
    <w:sdt>
      <w:sdtPr>
        <w:rPr>
          <w:rFonts w:ascii="Times New Roman" w:hAnsi="Times New Roman" w:cs="Times New Roman"/>
          <w:b/>
          <w:bCs/>
          <w:caps/>
          <w:sz w:val="40"/>
          <w:szCs w:val="40"/>
          <w:u w:val="single"/>
        </w:rPr>
        <w:tag w:val="MENDELEY_BIBLIOGRAPHY"/>
        <w:id w:val="549961568"/>
        <w:placeholder>
          <w:docPart w:val="DefaultPlaceholder_-1854013440"/>
        </w:placeholder>
      </w:sdtPr>
      <w:sdtContent>
        <w:p w14:paraId="41CF6A7D" w14:textId="77777777" w:rsidR="003B30B5" w:rsidRDefault="003B30B5">
          <w:pPr>
            <w:autoSpaceDE w:val="0"/>
            <w:autoSpaceDN w:val="0"/>
            <w:ind w:hanging="480"/>
            <w:divId w:val="682169994"/>
            <w:rPr>
              <w:rFonts w:eastAsia="Times New Roman"/>
              <w:kern w:val="0"/>
              <w:sz w:val="24"/>
              <w:szCs w:val="24"/>
              <w14:ligatures w14:val="none"/>
            </w:rPr>
          </w:pPr>
          <w:r>
            <w:rPr>
              <w:rFonts w:eastAsia="Times New Roman"/>
            </w:rPr>
            <w:t xml:space="preserve">Aziz, B., </w:t>
          </w:r>
          <w:proofErr w:type="spellStart"/>
          <w:r>
            <w:rPr>
              <w:rFonts w:eastAsia="Times New Roman"/>
            </w:rPr>
            <w:t>Suhardi</w:t>
          </w:r>
          <w:proofErr w:type="spellEnd"/>
          <w:r>
            <w:rPr>
              <w:rFonts w:eastAsia="Times New Roman"/>
            </w:rPr>
            <w:t xml:space="preserve">, &amp; Kurnia. (2020). A systematic literature review of cyber insurance challenges. </w:t>
          </w:r>
          <w:r>
            <w:rPr>
              <w:rFonts w:eastAsia="Times New Roman"/>
              <w:i/>
              <w:iCs/>
            </w:rPr>
            <w:t>2020 International Conference on Information Technology Systems and Innovation (ICITSI)</w:t>
          </w:r>
          <w:r>
            <w:rPr>
              <w:rFonts w:eastAsia="Times New Roman"/>
            </w:rPr>
            <w:t>, 357–363. https://doi.org/10.1109/ICITSI50517.2020.9264966</w:t>
          </w:r>
        </w:p>
        <w:p w14:paraId="4D350DBC" w14:textId="77777777" w:rsidR="003B30B5" w:rsidRDefault="003B30B5">
          <w:pPr>
            <w:autoSpaceDE w:val="0"/>
            <w:autoSpaceDN w:val="0"/>
            <w:ind w:hanging="480"/>
            <w:divId w:val="1030182402"/>
            <w:rPr>
              <w:rFonts w:eastAsia="Times New Roman"/>
            </w:rPr>
          </w:pPr>
          <w:r>
            <w:rPr>
              <w:rFonts w:eastAsia="Times New Roman"/>
            </w:rPr>
            <w:t xml:space="preserve">Pal, R., Golubchik, L., </w:t>
          </w:r>
          <w:proofErr w:type="spellStart"/>
          <w:r>
            <w:rPr>
              <w:rFonts w:eastAsia="Times New Roman"/>
            </w:rPr>
            <w:t>Psounis</w:t>
          </w:r>
          <w:proofErr w:type="spellEnd"/>
          <w:r>
            <w:rPr>
              <w:rFonts w:eastAsia="Times New Roman"/>
            </w:rPr>
            <w:t xml:space="preserve">, K., &amp; Hui, P. (2014). Will cyber-insurance improve network security? A market analysis. </w:t>
          </w:r>
          <w:r>
            <w:rPr>
              <w:rFonts w:eastAsia="Times New Roman"/>
              <w:i/>
              <w:iCs/>
            </w:rPr>
            <w:t>IEEE INFOCOM 2014 - IEEE Conference on Computer Communications</w:t>
          </w:r>
          <w:r>
            <w:rPr>
              <w:rFonts w:eastAsia="Times New Roman"/>
            </w:rPr>
            <w:t>, 235–243. https://doi.org/10.1109/INFOCOM.2014.6847944</w:t>
          </w:r>
        </w:p>
        <w:p w14:paraId="075CB45A" w14:textId="77777777" w:rsidR="003B30B5" w:rsidRDefault="003B30B5">
          <w:pPr>
            <w:autoSpaceDE w:val="0"/>
            <w:autoSpaceDN w:val="0"/>
            <w:ind w:hanging="480"/>
            <w:divId w:val="441530926"/>
            <w:rPr>
              <w:rFonts w:eastAsia="Times New Roman"/>
            </w:rPr>
          </w:pPr>
          <w:r>
            <w:rPr>
              <w:rFonts w:eastAsia="Times New Roman"/>
            </w:rPr>
            <w:t xml:space="preserve">Ramirez, R., &amp; </w:t>
          </w:r>
          <w:proofErr w:type="spellStart"/>
          <w:r>
            <w:rPr>
              <w:rFonts w:eastAsia="Times New Roman"/>
            </w:rPr>
            <w:t>Choucri</w:t>
          </w:r>
          <w:proofErr w:type="spellEnd"/>
          <w:r>
            <w:rPr>
              <w:rFonts w:eastAsia="Times New Roman"/>
            </w:rPr>
            <w:t xml:space="preserve">, N. (2016). Improving Interdisciplinary Communication </w:t>
          </w:r>
          <w:proofErr w:type="gramStart"/>
          <w:r>
            <w:rPr>
              <w:rFonts w:eastAsia="Times New Roman"/>
            </w:rPr>
            <w:t>With</w:t>
          </w:r>
          <w:proofErr w:type="gramEnd"/>
          <w:r>
            <w:rPr>
              <w:rFonts w:eastAsia="Times New Roman"/>
            </w:rPr>
            <w:t xml:space="preserve"> Standardized Cyber Security Terminology: A Literature Review. </w:t>
          </w:r>
          <w:r>
            <w:rPr>
              <w:rFonts w:eastAsia="Times New Roman"/>
              <w:i/>
              <w:iCs/>
            </w:rPr>
            <w:t>IEEE Access</w:t>
          </w:r>
          <w:r>
            <w:rPr>
              <w:rFonts w:eastAsia="Times New Roman"/>
            </w:rPr>
            <w:t xml:space="preserve">, </w:t>
          </w:r>
          <w:r>
            <w:rPr>
              <w:rFonts w:eastAsia="Times New Roman"/>
              <w:i/>
              <w:iCs/>
            </w:rPr>
            <w:t>4</w:t>
          </w:r>
          <w:r>
            <w:rPr>
              <w:rFonts w:eastAsia="Times New Roman"/>
            </w:rPr>
            <w:t>, 2216–2243. https://doi.org/10.1109/ACCESS.2016.2544381</w:t>
          </w:r>
        </w:p>
        <w:p w14:paraId="0A7F8603" w14:textId="77777777" w:rsidR="00EA31A7" w:rsidRPr="00EA31A7" w:rsidRDefault="003B30B5">
          <w:pPr>
            <w:rPr>
              <w:rFonts w:ascii="Times New Roman" w:hAnsi="Times New Roman" w:cs="Times New Roman"/>
              <w:b/>
              <w:bCs/>
              <w:caps/>
              <w:sz w:val="40"/>
              <w:szCs w:val="40"/>
              <w:u w:val="single"/>
            </w:rPr>
          </w:pPr>
          <w:r>
            <w:rPr>
              <w:rFonts w:eastAsia="Times New Roman"/>
            </w:rPr>
            <w:t> </w:t>
          </w:r>
        </w:p>
      </w:sdtContent>
    </w:sdt>
    <w:sectPr w:rsidR="00EA31A7" w:rsidRPr="00EA31A7" w:rsidSect="00EA31A7">
      <w:pgSz w:w="11906" w:h="16838"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embedRegular r:id="rId1" w:fontKey="{95C90DAE-43B6-435C-A36F-AE44EC71E2F1}"/>
    <w:embedBold r:id="rId2" w:fontKey="{365FC007-457A-4993-A22D-34B7446A4B8C}"/>
    <w:embedItalic r:id="rId3" w:fontKey="{47AAB31A-1CBC-42B6-866B-B30999414597}"/>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4" w:fontKey="{0A59646B-E984-4FAF-8749-D5D42FAE136B}"/>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31A7"/>
    <w:rsid w:val="003B30B5"/>
    <w:rsid w:val="00770D5F"/>
    <w:rsid w:val="00EA31A7"/>
    <w:rsid w:val="00FC20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C3216"/>
  <w15:chartTrackingRefBased/>
  <w15:docId w15:val="{AA41B47E-E27A-49DB-A874-49A77D28C4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B30B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13520">
      <w:bodyDiv w:val="1"/>
      <w:marLeft w:val="0"/>
      <w:marRight w:val="0"/>
      <w:marTop w:val="0"/>
      <w:marBottom w:val="0"/>
      <w:divBdr>
        <w:top w:val="none" w:sz="0" w:space="0" w:color="auto"/>
        <w:left w:val="none" w:sz="0" w:space="0" w:color="auto"/>
        <w:bottom w:val="none" w:sz="0" w:space="0" w:color="auto"/>
        <w:right w:val="none" w:sz="0" w:space="0" w:color="auto"/>
      </w:divBdr>
      <w:divsChild>
        <w:div w:id="972179446">
          <w:marLeft w:val="480"/>
          <w:marRight w:val="0"/>
          <w:marTop w:val="0"/>
          <w:marBottom w:val="0"/>
          <w:divBdr>
            <w:top w:val="none" w:sz="0" w:space="0" w:color="auto"/>
            <w:left w:val="none" w:sz="0" w:space="0" w:color="auto"/>
            <w:bottom w:val="none" w:sz="0" w:space="0" w:color="auto"/>
            <w:right w:val="none" w:sz="0" w:space="0" w:color="auto"/>
          </w:divBdr>
        </w:div>
        <w:div w:id="961960042">
          <w:marLeft w:val="480"/>
          <w:marRight w:val="0"/>
          <w:marTop w:val="0"/>
          <w:marBottom w:val="0"/>
          <w:divBdr>
            <w:top w:val="none" w:sz="0" w:space="0" w:color="auto"/>
            <w:left w:val="none" w:sz="0" w:space="0" w:color="auto"/>
            <w:bottom w:val="none" w:sz="0" w:space="0" w:color="auto"/>
            <w:right w:val="none" w:sz="0" w:space="0" w:color="auto"/>
          </w:divBdr>
        </w:div>
        <w:div w:id="137966766">
          <w:marLeft w:val="480"/>
          <w:marRight w:val="0"/>
          <w:marTop w:val="0"/>
          <w:marBottom w:val="0"/>
          <w:divBdr>
            <w:top w:val="none" w:sz="0" w:space="0" w:color="auto"/>
            <w:left w:val="none" w:sz="0" w:space="0" w:color="auto"/>
            <w:bottom w:val="none" w:sz="0" w:space="0" w:color="auto"/>
            <w:right w:val="none" w:sz="0" w:space="0" w:color="auto"/>
          </w:divBdr>
        </w:div>
      </w:divsChild>
    </w:div>
    <w:div w:id="134881660">
      <w:bodyDiv w:val="1"/>
      <w:marLeft w:val="0"/>
      <w:marRight w:val="0"/>
      <w:marTop w:val="0"/>
      <w:marBottom w:val="0"/>
      <w:divBdr>
        <w:top w:val="none" w:sz="0" w:space="0" w:color="auto"/>
        <w:left w:val="none" w:sz="0" w:space="0" w:color="auto"/>
        <w:bottom w:val="none" w:sz="0" w:space="0" w:color="auto"/>
        <w:right w:val="none" w:sz="0" w:space="0" w:color="auto"/>
      </w:divBdr>
      <w:divsChild>
        <w:div w:id="682169994">
          <w:marLeft w:val="480"/>
          <w:marRight w:val="0"/>
          <w:marTop w:val="0"/>
          <w:marBottom w:val="0"/>
          <w:divBdr>
            <w:top w:val="none" w:sz="0" w:space="0" w:color="auto"/>
            <w:left w:val="none" w:sz="0" w:space="0" w:color="auto"/>
            <w:bottom w:val="none" w:sz="0" w:space="0" w:color="auto"/>
            <w:right w:val="none" w:sz="0" w:space="0" w:color="auto"/>
          </w:divBdr>
        </w:div>
        <w:div w:id="1030182402">
          <w:marLeft w:val="480"/>
          <w:marRight w:val="0"/>
          <w:marTop w:val="0"/>
          <w:marBottom w:val="0"/>
          <w:divBdr>
            <w:top w:val="none" w:sz="0" w:space="0" w:color="auto"/>
            <w:left w:val="none" w:sz="0" w:space="0" w:color="auto"/>
            <w:bottom w:val="none" w:sz="0" w:space="0" w:color="auto"/>
            <w:right w:val="none" w:sz="0" w:space="0" w:color="auto"/>
          </w:divBdr>
        </w:div>
        <w:div w:id="441530926">
          <w:marLeft w:val="480"/>
          <w:marRight w:val="0"/>
          <w:marTop w:val="0"/>
          <w:marBottom w:val="0"/>
          <w:divBdr>
            <w:top w:val="none" w:sz="0" w:space="0" w:color="auto"/>
            <w:left w:val="none" w:sz="0" w:space="0" w:color="auto"/>
            <w:bottom w:val="none" w:sz="0" w:space="0" w:color="auto"/>
            <w:right w:val="none" w:sz="0" w:space="0" w:color="auto"/>
          </w:divBdr>
        </w:div>
      </w:divsChild>
    </w:div>
    <w:div w:id="363554500">
      <w:bodyDiv w:val="1"/>
      <w:marLeft w:val="0"/>
      <w:marRight w:val="0"/>
      <w:marTop w:val="0"/>
      <w:marBottom w:val="0"/>
      <w:divBdr>
        <w:top w:val="none" w:sz="0" w:space="0" w:color="auto"/>
        <w:left w:val="none" w:sz="0" w:space="0" w:color="auto"/>
        <w:bottom w:val="none" w:sz="0" w:space="0" w:color="auto"/>
        <w:right w:val="none" w:sz="0" w:space="0" w:color="auto"/>
      </w:divBdr>
    </w:div>
    <w:div w:id="581910167">
      <w:bodyDiv w:val="1"/>
      <w:marLeft w:val="0"/>
      <w:marRight w:val="0"/>
      <w:marTop w:val="0"/>
      <w:marBottom w:val="0"/>
      <w:divBdr>
        <w:top w:val="none" w:sz="0" w:space="0" w:color="auto"/>
        <w:left w:val="none" w:sz="0" w:space="0" w:color="auto"/>
        <w:bottom w:val="none" w:sz="0" w:space="0" w:color="auto"/>
        <w:right w:val="none" w:sz="0" w:space="0" w:color="auto"/>
      </w:divBdr>
    </w:div>
    <w:div w:id="690766425">
      <w:bodyDiv w:val="1"/>
      <w:marLeft w:val="0"/>
      <w:marRight w:val="0"/>
      <w:marTop w:val="0"/>
      <w:marBottom w:val="0"/>
      <w:divBdr>
        <w:top w:val="none" w:sz="0" w:space="0" w:color="auto"/>
        <w:left w:val="none" w:sz="0" w:space="0" w:color="auto"/>
        <w:bottom w:val="none" w:sz="0" w:space="0" w:color="auto"/>
        <w:right w:val="none" w:sz="0" w:space="0" w:color="auto"/>
      </w:divBdr>
      <w:divsChild>
        <w:div w:id="786896737">
          <w:marLeft w:val="640"/>
          <w:marRight w:val="0"/>
          <w:marTop w:val="0"/>
          <w:marBottom w:val="0"/>
          <w:divBdr>
            <w:top w:val="none" w:sz="0" w:space="0" w:color="auto"/>
            <w:left w:val="none" w:sz="0" w:space="0" w:color="auto"/>
            <w:bottom w:val="none" w:sz="0" w:space="0" w:color="auto"/>
            <w:right w:val="none" w:sz="0" w:space="0" w:color="auto"/>
          </w:divBdr>
        </w:div>
        <w:div w:id="1775128600">
          <w:marLeft w:val="640"/>
          <w:marRight w:val="0"/>
          <w:marTop w:val="0"/>
          <w:marBottom w:val="0"/>
          <w:divBdr>
            <w:top w:val="none" w:sz="0" w:space="0" w:color="auto"/>
            <w:left w:val="none" w:sz="0" w:space="0" w:color="auto"/>
            <w:bottom w:val="none" w:sz="0" w:space="0" w:color="auto"/>
            <w:right w:val="none" w:sz="0" w:space="0" w:color="auto"/>
          </w:divBdr>
        </w:div>
        <w:div w:id="1538005195">
          <w:marLeft w:val="640"/>
          <w:marRight w:val="0"/>
          <w:marTop w:val="0"/>
          <w:marBottom w:val="0"/>
          <w:divBdr>
            <w:top w:val="none" w:sz="0" w:space="0" w:color="auto"/>
            <w:left w:val="none" w:sz="0" w:space="0" w:color="auto"/>
            <w:bottom w:val="none" w:sz="0" w:space="0" w:color="auto"/>
            <w:right w:val="none" w:sz="0" w:space="0" w:color="auto"/>
          </w:divBdr>
        </w:div>
      </w:divsChild>
    </w:div>
    <w:div w:id="1286539499">
      <w:bodyDiv w:val="1"/>
      <w:marLeft w:val="0"/>
      <w:marRight w:val="0"/>
      <w:marTop w:val="0"/>
      <w:marBottom w:val="0"/>
      <w:divBdr>
        <w:top w:val="none" w:sz="0" w:space="0" w:color="auto"/>
        <w:left w:val="none" w:sz="0" w:space="0" w:color="auto"/>
        <w:bottom w:val="none" w:sz="0" w:space="0" w:color="auto"/>
        <w:right w:val="none" w:sz="0" w:space="0" w:color="auto"/>
      </w:divBdr>
    </w:div>
    <w:div w:id="1630672289">
      <w:bodyDiv w:val="1"/>
      <w:marLeft w:val="0"/>
      <w:marRight w:val="0"/>
      <w:marTop w:val="0"/>
      <w:marBottom w:val="0"/>
      <w:divBdr>
        <w:top w:val="none" w:sz="0" w:space="0" w:color="auto"/>
        <w:left w:val="none" w:sz="0" w:space="0" w:color="auto"/>
        <w:bottom w:val="none" w:sz="0" w:space="0" w:color="auto"/>
        <w:right w:val="none" w:sz="0" w:space="0" w:color="auto"/>
      </w:divBdr>
      <w:divsChild>
        <w:div w:id="467472912">
          <w:marLeft w:val="480"/>
          <w:marRight w:val="0"/>
          <w:marTop w:val="0"/>
          <w:marBottom w:val="0"/>
          <w:divBdr>
            <w:top w:val="none" w:sz="0" w:space="0" w:color="auto"/>
            <w:left w:val="none" w:sz="0" w:space="0" w:color="auto"/>
            <w:bottom w:val="none" w:sz="0" w:space="0" w:color="auto"/>
            <w:right w:val="none" w:sz="0" w:space="0" w:color="auto"/>
          </w:divBdr>
        </w:div>
        <w:div w:id="110245545">
          <w:marLeft w:val="480"/>
          <w:marRight w:val="0"/>
          <w:marTop w:val="0"/>
          <w:marBottom w:val="0"/>
          <w:divBdr>
            <w:top w:val="none" w:sz="0" w:space="0" w:color="auto"/>
            <w:left w:val="none" w:sz="0" w:space="0" w:color="auto"/>
            <w:bottom w:val="none" w:sz="0" w:space="0" w:color="auto"/>
            <w:right w:val="none" w:sz="0" w:space="0" w:color="auto"/>
          </w:divBdr>
        </w:div>
        <w:div w:id="74403074">
          <w:marLeft w:val="480"/>
          <w:marRight w:val="0"/>
          <w:marTop w:val="0"/>
          <w:marBottom w:val="0"/>
          <w:divBdr>
            <w:top w:val="none" w:sz="0" w:space="0" w:color="auto"/>
            <w:left w:val="none" w:sz="0" w:space="0" w:color="auto"/>
            <w:bottom w:val="none" w:sz="0" w:space="0" w:color="auto"/>
            <w:right w:val="none" w:sz="0" w:space="0" w:color="auto"/>
          </w:divBdr>
        </w:div>
      </w:divsChild>
    </w:div>
    <w:div w:id="1635720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glossaryDocument" Target="glossary/document.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5F7194EB-6FFD-4688-82BC-07653962A228}"/>
      </w:docPartPr>
      <w:docPartBody>
        <w:p w:rsidR="00000000" w:rsidRDefault="00006932">
          <w:r w:rsidRPr="00A7397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6932"/>
    <w:rsid w:val="00006932"/>
    <w:rsid w:val="00595D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0693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5FB10B2-EEFE-4AE6-A03C-3EB70EBC112D}">
  <we:reference id="wa104382081" version="1.55.1.0" store="en-US" storeType="OMEX"/>
  <we:alternateReferences>
    <we:reference id="wa104382081" version="1.55.1.0" store="wa104382081" storeType="OMEX"/>
  </we:alternateReferences>
  <we:properties>
    <we:property name="MENDELEY_CITATIONS" value="[{&quot;citationID&quot;:&quot;MENDELEY_CITATION_b3ced63a-c55f-49cd-b77c-894c2bac59cb&quot;,&quot;properties&quot;:{&quot;noteIndex&quot;:0},&quot;isEdited&quot;:false,&quot;manualOverride&quot;:{&quot;isManuallyOverridden&quot;:false,&quot;citeprocText&quot;:&quot;(Pal et al., 2014; Ramirez &amp;#38; Choucri, 2016)&quot;,&quot;manualOverrideText&quot;:&quot;&quot;},&quot;citationTag&quot;:&quot;MENDELEY_CITATION_v3_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&quot;,&quot;citationItems&quot;:[{&quot;id&quot;:&quot;ffaa3aa6-d68e-3a73-a00e-5e713eff8b3a&quot;,&quot;itemData&quot;:{&quot;type&quot;:&quot;paper-conference&quot;,&quot;id&quot;:&quot;ffaa3aa6-d68e-3a73-a00e-5e713eff8b3a&quot;,&quot;title&quot;:&quot;Will cyber-insurance improve network security? A market analysis&quot;,&quot;author&quot;:[{&quot;family&quot;:&quot;Pal&quot;,&quot;given&quot;:&quot;Ranjan&quot;,&quot;parse-names&quot;:false,&quot;dropping-particle&quot;:&quot;&quot;,&quot;non-dropping-particle&quot;:&quot;&quot;},{&quot;family&quot;:&quot;Golubchik&quot;,&quot;given&quot;:&quot;Leana&quot;,&quot;parse-names&quot;:false,&quot;dropping-particle&quot;:&quot;&quot;,&quot;non-dropping-particle&quot;:&quot;&quot;},{&quot;family&quot;:&quot;Psounis&quot;,&quot;given&quot;:&quot;Konstantinos&quot;,&quot;parse-names&quot;:false,&quot;dropping-particle&quot;:&quot;&quot;,&quot;non-dropping-particle&quot;:&quot;&quot;},{&quot;family&quot;:&quot;Hui&quot;,&quot;given&quot;:&quot;Pan&quot;,&quot;parse-names&quot;:false,&quot;dropping-particle&quot;:&quot;&quot;,&quot;non-dropping-particle&quot;:&quot;&quot;}],&quot;container-title&quot;:&quot;IEEE INFOCOM 2014 - IEEE Conference on Computer Communications&quot;,&quot;DOI&quot;:&quot;10.1109/INFOCOM.2014.6847944&quot;,&quot;issued&quot;:{&quot;date-parts&quot;:[[2014]]},&quot;page&quot;:&quot;235-243&quot;,&quot;container-title-short&quot;:&quot;&quot;},&quot;isTemporary&quot;:false},{&quot;id&quot;:&quot;b24ea610-5284-3200-b37b-a77a6c6addb6&quot;,&quot;itemData&quot;:{&quot;type&quot;:&quot;article-journal&quot;,&quot;id&quot;:&quot;b24ea610-5284-3200-b37b-a77a6c6addb6&quot;,&quot;title&quot;:&quot;Improving Interdisciplinary Communication With Standardized Cyber Security Terminology: A Literature Review&quot;,&quot;author&quot;:[{&quot;family&quot;:&quot;Ramirez&quot;,&quot;given&quot;:&quot;Robert&quot;,&quot;parse-names&quot;:false,&quot;dropping-particle&quot;:&quot;&quot;,&quot;non-dropping-particle&quot;:&quot;&quot;},{&quot;family&quot;:&quot;Choucri&quot;,&quot;given&quot;:&quot;Nazli&quot;,&quot;parse-names&quot;:false,&quot;dropping-particle&quot;:&quot;&quot;,&quot;non-dropping-particle&quot;:&quot;&quot;}],&quot;container-title&quot;:&quot;IEEE Access&quot;,&quot;DOI&quot;:&quot;10.1109/ACCESS.2016.2544381&quot;,&quot;issued&quot;:{&quot;date-parts&quot;:[[2016]]},&quot;page&quot;:&quot;2216-2243&quot;,&quot;volume&quot;:&quot;4&quot;,&quot;container-title-short&quot;:&quot;&quot;},&quot;isTemporary&quot;:false}]},{&quot;citationID&quot;:&quot;MENDELEY_CITATION_75a77018-8639-487a-b065-e9a81b89d994&quot;,&quot;properties&quot;:{&quot;noteIndex&quot;:0},&quot;isEdited&quot;:false,&quot;manualOverride&quot;:{&quot;isManuallyOverridden&quot;:false,&quot;citeprocText&quot;:&quot;(Aziz et al., 2020)&quot;,&quot;manualOverrideText&quot;:&quot;&quot;},&quot;citationTag&quot;:&quot;MENDELEY_CITATION_v3_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&quot;,&quot;citationItems&quot;:[{&quot;id&quot;:&quot;ea432a91-0f3b-32b9-83a3-c330d2a51205&quot;,&quot;itemData&quot;:{&quot;type&quot;:&quot;paper-conference&quot;,&quot;id&quot;:&quot;ea432a91-0f3b-32b9-83a3-c330d2a51205&quot;,&quot;title&quot;:&quot;A systematic literature review of cyber insurance challenges&quot;,&quot;author&quot;:[{&quot;family&quot;:&quot;Aziz&quot;,&quot;given&quot;:&quot;Baharuddin&quot;,&quot;parse-names&quot;:false,&quot;dropping-particle&quot;:&quot;&quot;,&quot;non-dropping-particle&quot;:&quot;&quot;},{&quot;family&quot;:&quot;Suhardi&quot;,&quot;given&quot;:&quot;&quot;,&quot;parse-names&quot;:false,&quot;dropping-particle&quot;:&quot;&quot;,&quot;non-dropping-particle&quot;:&quot;&quot;},{&quot;family&quot;:&quot;Kurnia&quot;,&quot;given&quot;:&quot;&quot;,&quot;parse-names&quot;:false,&quot;dropping-particle&quot;:&quot;&quot;,&quot;non-dropping-particle&quot;:&quot;&quot;}],&quot;container-title&quot;:&quot;2020 International Conference on Information Technology Systems and Innovation (ICITSI)&quot;,&quot;DOI&quot;:&quot;10.1109/ICITSI50517.2020.9264966&quot;,&quot;issued&quot;:{&quot;date-parts&quot;:[[2020]]},&quot;page&quot;:&quot;357-363&quot;,&quot;container-title-short&quot;:&quot;&quot;},&quot;isTemporary&quot;:false}]}]"/>
    <we:property name="MENDELEY_CITATIONS_LOCALE_CODE" value="&quot;da-DK&quot;"/>
    <we:property name="MENDELEY_CITATIONS_STYLE" value="{&quot;id&quot;:&quot;https://www.zotero.org/styles/ucl-university-college-apa&quot;,&quot;title&quot;:&quot;UCL University College - APA (Dansk)&quot;,&quot;format&quot;:&quot;author-date&quot;,&quot;defaultLocale&quot;:&quot;da-DK&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2552CA-062F-4923-8B99-FAF27F2F8E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1</Pages>
  <Words>420</Words>
  <Characters>2399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Yathurshika Sathiyavarman</dc:creator>
  <cp:keywords/>
  <dc:description/>
  <cp:lastModifiedBy>Yathurshika Sathiyavarman</cp:lastModifiedBy>
  <cp:revision>1</cp:revision>
  <dcterms:created xsi:type="dcterms:W3CDTF">2023-08-07T12:22:00Z</dcterms:created>
  <dcterms:modified xsi:type="dcterms:W3CDTF">2023-08-07T12:55:00Z</dcterms:modified>
</cp:coreProperties>
</file>