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0F31EEA8"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4D2290">
                  <w:rPr>
                    <w:noProof/>
                    <w:color w:val="252525" w:themeColor="text2" w:themeShade="80"/>
                    <w:sz w:val="28"/>
                    <w:szCs w:val="28"/>
                  </w:rPr>
                  <w:t>11.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596F6F"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596F6F"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596F6F"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596F6F"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596F6F"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596F6F">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596F6F">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596F6F">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596F6F">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596F6F">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596F6F">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596F6F">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596F6F">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596F6F">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596F6F">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596F6F">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596F6F">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596F6F">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596F6F">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596F6F">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596F6F">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596F6F">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596F6F">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596F6F">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596F6F">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596F6F">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596F6F">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596F6F"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596F6F"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596F6F"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596F6F"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596F6F" w:rsidP="001B37FC">
      <w:pPr>
        <w:pStyle w:val="Listenabsatz"/>
        <w:numPr>
          <w:ilvl w:val="0"/>
          <w:numId w:val="19"/>
        </w:numPr>
        <w:rPr>
          <w:lang w:val="fr-FR"/>
        </w:rPr>
      </w:pPr>
      <w:hyperlink r:id="rId25" w:anchor="action=Part&amp;id=SRV0067" w:history="1">
        <w:proofErr w:type="spellStart"/>
        <w:r w:rsidR="00F343DD" w:rsidRPr="001232FF">
          <w:rPr>
            <w:rStyle w:val="Hyperlink"/>
            <w:lang w:val="fr-FR"/>
          </w:rPr>
          <w:t>gfa</w:t>
        </w:r>
        <w:proofErr w:type="spell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596F6F"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596F6F"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596F6F"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596F6F"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596F6F"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proofErr w:type="spellStart"/>
      <w:r>
        <w:lastRenderedPageBreak/>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 xml:space="preserve">Issues in </w:t>
            </w:r>
            <w:proofErr w:type="spellStart"/>
            <w:r>
              <w:t>Github</w:t>
            </w:r>
            <w:proofErr w:type="spellEnd"/>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proofErr w:type="spellStart"/>
            <w:r>
              <w:t>Arbeiszeit</w:t>
            </w:r>
            <w:proofErr w:type="spellEnd"/>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 xml:space="preserve">Bei der Generierung der Konfigurationsdateien bin ich zwar auch gut vorangekommen, leider jedoch nicht ganz so schnell wie ich erwartet hatte – das lag vor allem an vielen kleinen Fehlern und Problemen. Dadurch, dass ich </w:t>
            </w:r>
            <w:proofErr w:type="spellStart"/>
            <w:r w:rsidRPr="00996A1D">
              <w:rPr>
                <w:bCs/>
                <w:sz w:val="20"/>
                <w:szCs w:val="22"/>
              </w:rPr>
              <w:t>heute morgen</w:t>
            </w:r>
            <w:proofErr w:type="spellEnd"/>
            <w:r w:rsidRPr="00996A1D">
              <w:rPr>
                <w:bCs/>
                <w:sz w:val="20"/>
                <w:szCs w:val="22"/>
              </w:rPr>
              <w:t xml:space="preserve">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4D2290" w14:paraId="655EBF27" w14:textId="77777777" w:rsidTr="007D2B5D">
        <w:tc>
          <w:tcPr>
            <w:tcW w:w="9016" w:type="dxa"/>
          </w:tcPr>
          <w:p w14:paraId="60656974" w14:textId="0E6552A8" w:rsidR="001F391B" w:rsidRDefault="00596F6F"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w:t>
            </w:r>
            <w:proofErr w:type="spellStart"/>
            <w:r w:rsidRPr="00037821">
              <w:rPr>
                <w:lang w:val="en-US"/>
              </w:rPr>
              <w:t>Modulen</w:t>
            </w:r>
            <w:proofErr w:type="spellEnd"/>
            <w:r w:rsidRPr="00037821">
              <w:rPr>
                <w:lang w:val="en-US"/>
              </w:rPr>
              <w:t xml:space="preserve">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 xml:space="preserve">Die Logfunktion an sich konnte ich schnell abschliessen, jedoch musste ich am Nachmittag einen Teil der Start-Per-Parameter-Funktion nochmals umschreiben – es gibt dort eine Update-Config-Funktion, welche anhand der Parameter die Konfiguration ausfüllt – ich hatte Probleme beim </w:t>
            </w:r>
            <w:proofErr w:type="spellStart"/>
            <w:r w:rsidRPr="007C72DF">
              <w:rPr>
                <w:bCs/>
                <w:sz w:val="20"/>
                <w:szCs w:val="22"/>
              </w:rPr>
              <w:t>umschreiben</w:t>
            </w:r>
            <w:proofErr w:type="spellEnd"/>
            <w:r w:rsidRPr="007C72DF">
              <w:rPr>
                <w:bCs/>
                <w:sz w:val="20"/>
                <w:szCs w:val="22"/>
              </w:rPr>
              <w:t xml:space="preserve">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w:t>
            </w:r>
            <w:proofErr w:type="spellStart"/>
            <w:r w:rsidRPr="007C72DF">
              <w:rPr>
                <w:bCs/>
                <w:sz w:val="20"/>
                <w:szCs w:val="22"/>
              </w:rPr>
              <w:t>Augaben</w:t>
            </w:r>
            <w:proofErr w:type="spellEnd"/>
            <w:r w:rsidRPr="007C72DF">
              <w:rPr>
                <w:bCs/>
                <w:sz w:val="20"/>
                <w:szCs w:val="22"/>
              </w:rPr>
              <w:t xml:space="preserve">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proofErr w:type="spellStart"/>
            <w:r w:rsidRPr="004D2290">
              <w:t>Approved</w:t>
            </w:r>
            <w:proofErr w:type="spellEnd"/>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proofErr w:type="spellStart"/>
      <w:r>
        <w:lastRenderedPageBreak/>
        <w:t>Dienstag</w:t>
      </w:r>
      <w:proofErr w:type="spellEnd"/>
      <w:r>
        <w:t>,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8C7E85">
            <w:pPr>
              <w:pStyle w:val="Listenabsatz"/>
              <w:numPr>
                <w:ilvl w:val="0"/>
                <w:numId w:val="9"/>
              </w:numPr>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2582DBB7" w14:textId="77777777" w:rsidR="00CD4AC1" w:rsidRDefault="00CD4AC1" w:rsidP="007D2B5D">
            <w:pPr>
              <w:jc w:val="both"/>
            </w:pPr>
          </w:p>
          <w:p w14:paraId="6567B07F" w14:textId="509DF7C0" w:rsidR="00CD4AC1" w:rsidRPr="00852D7D" w:rsidRDefault="00CD4AC1" w:rsidP="007D2B5D">
            <w:pPr>
              <w:jc w:val="both"/>
            </w:pPr>
            <w:r>
              <w:t>0.5h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Pr="00CD4AC1"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44F8E196" w14:textId="77777777" w:rsidR="00CD4AC1" w:rsidRPr="00CD4AC1" w:rsidRDefault="00CD4AC1" w:rsidP="00CD4AC1">
            <w:pPr>
              <w:pStyle w:val="Listenabsatz"/>
              <w:numPr>
                <w:ilvl w:val="0"/>
                <w:numId w:val="0"/>
              </w:numPr>
              <w:ind w:left="720"/>
              <w:rPr>
                <w:b/>
                <w:bCs/>
              </w:rPr>
            </w:pPr>
          </w:p>
          <w:p w14:paraId="5FFAB574" w14:textId="2A4B8994"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w:t>
      </w:r>
      <w:proofErr w:type="spellStart"/>
      <w:r w:rsidR="001205C0">
        <w:t>laufen</w:t>
      </w:r>
      <w:proofErr w:type="spell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4D229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4D229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proofErr w:type="spellStart"/>
            <w:r>
              <w:t>searchForFilesAt</w:t>
            </w:r>
            <w:proofErr w:type="spellEnd"/>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w:t>
      </w:r>
      <w:proofErr w:type="spellStart"/>
      <w:r w:rsidRPr="00041FA4">
        <w:rPr>
          <w:b/>
          <w:lang w:val="fr-FR"/>
        </w:rPr>
        <w:t>Konfiguration</w:t>
      </w:r>
      <w:proofErr w:type="spellEnd"/>
      <w:r w:rsidRPr="00041FA4">
        <w:rPr>
          <w:b/>
          <w:lang w:val="fr-FR"/>
        </w:rPr>
        <w:t xml:space="preserve">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r>
        <w:t>das</w:t>
      </w:r>
      <w:proofErr w:type="spell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113D3C85" w:rsidR="0055727B" w:rsidRDefault="0055727B" w:rsidP="0055727B">
      <w:pPr>
        <w:pStyle w:val="Beschriftung"/>
      </w:pPr>
      <w:r>
        <w:t xml:space="preserve">Codesnippet </w:t>
      </w:r>
      <w:fldSimple w:instr=" SEQ Codesnippet \* ARABIC ">
        <w:r w:rsidR="008A0EF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EC4CC0">
        <w:rPr>
          <w:rFonts w:ascii="Consolas" w:hAnsi="Consolas"/>
          <w:color w:val="FFFFFF" w:themeColor="background1"/>
          <w:sz w:val="14"/>
          <w:szCs w:val="14"/>
          <w:lang w:val="en-US" w:eastAsia="de-CH"/>
        </w:rPr>
        <w:t>ParameterSetName</w:t>
      </w:r>
      <w:proofErr w:type="spellEnd"/>
      <w:r w:rsidRPr="00EC4CC0">
        <w:rPr>
          <w:rFonts w:ascii="Consolas" w:hAnsi="Consolas"/>
          <w:color w:val="FFFFFF" w:themeColor="background1"/>
          <w:sz w:val="14"/>
          <w:szCs w:val="14"/>
          <w:lang w:val="en-US" w:eastAsia="de-CH"/>
        </w:rPr>
        <w:t xml:space="preserv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4644A4EA"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8A0EFB">
        <w:rPr>
          <w:noProof/>
          <w:lang w:val="en-US"/>
        </w:rPr>
        <w:t>2</w:t>
      </w:r>
      <w:r>
        <w:fldChar w:fldCharType="end"/>
      </w:r>
      <w:r w:rsidRPr="00EC4CC0">
        <w:rPr>
          <w:lang w:val="en-US"/>
        </w:rPr>
        <w:t xml:space="preserve">: </w:t>
      </w:r>
      <w:proofErr w:type="spellStart"/>
      <w:r w:rsidRPr="00EC4CC0">
        <w:rPr>
          <w:lang w:val="en-US"/>
        </w:rPr>
        <w:t>Geplante</w:t>
      </w:r>
      <w:proofErr w:type="spellEnd"/>
      <w:r w:rsidRPr="00EC4CC0">
        <w:rPr>
          <w:lang w:val="en-US"/>
        </w:rPr>
        <w:t xml:space="preserve"> Parameter</w:t>
      </w:r>
    </w:p>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proofErr w:type="spellStart"/>
      <w:r>
        <w:rPr>
          <w:b/>
        </w:rPr>
        <w:t>Positionalbinding</w:t>
      </w:r>
      <w:proofErr w:type="spellEnd"/>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w:t>
      </w:r>
      <w:proofErr w:type="spellStart"/>
      <w:r>
        <w:rPr>
          <w:b/>
        </w:rPr>
        <w:t>Inventorizer</w:t>
      </w:r>
      <w:proofErr w:type="spellEnd"/>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w:t>
      </w:r>
      <w:proofErr w:type="spellStart"/>
      <w:r>
        <w:rPr>
          <w:b/>
        </w:rPr>
        <w:t>Inventorizer</w:t>
      </w:r>
      <w:proofErr w:type="spellEnd"/>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 xml:space="preserve">Zur Vereinfachten </w:t>
      </w:r>
      <w:proofErr w:type="spellStart"/>
      <w:r>
        <w:t>entwicklung</w:t>
      </w:r>
      <w:proofErr w:type="spellEnd"/>
      <w:r>
        <w:t xml:space="preserve"> gibt</w:t>
      </w:r>
      <w:r w:rsidR="0055727B">
        <w:t xml:space="preserve"> es das </w:t>
      </w:r>
      <w:proofErr w:type="spellStart"/>
      <w:r w:rsidR="0055727B">
        <w:rPr>
          <w:b/>
        </w:rPr>
        <w:t>launch.json</w:t>
      </w:r>
      <w:proofErr w:type="spellEnd"/>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w:t>
      </w:r>
      <w:proofErr w:type="spellStart"/>
      <w:r w:rsidRPr="009B3BF5">
        <w:rPr>
          <w:rFonts w:ascii="Consolas" w:hAnsi="Consolas"/>
          <w:color w:val="DCDCAA"/>
          <w:sz w:val="21"/>
          <w:szCs w:val="21"/>
          <w:lang w:val="en-US" w:eastAsia="de-CH"/>
        </w:rPr>
        <w:t>HWInfoFromILO</w:t>
      </w:r>
      <w:proofErr w:type="spellEnd"/>
    </w:p>
    <w:p w14:paraId="64DA43F1" w14:textId="7E72F4F3" w:rsidR="0055727B" w:rsidRDefault="0055727B" w:rsidP="0055727B">
      <w:pPr>
        <w:pStyle w:val="Beschriftung"/>
      </w:pPr>
      <w:r>
        <w:t xml:space="preserve">Codesnippet </w:t>
      </w:r>
      <w:fldSimple w:instr=" SEQ Codesnippet \* ARABIC ">
        <w:r w:rsidR="008A0EFB">
          <w:rPr>
            <w:noProof/>
          </w:rPr>
          <w:t>3</w:t>
        </w:r>
      </w:fldSimple>
      <w:r>
        <w:t xml:space="preserve">: Inhalt des </w:t>
      </w:r>
      <w:proofErr w:type="spellStart"/>
      <w:r>
        <w:t>Startscripts</w:t>
      </w:r>
      <w:proofErr w:type="spellEnd"/>
    </w:p>
    <w:p w14:paraId="3EEFAD06" w14:textId="5E4E09FF" w:rsidR="00177000" w:rsidRDefault="00177000" w:rsidP="00177000">
      <w:r>
        <w:t xml:space="preserve">Es soll am Ende des Skriptes nur eine kleine Anzahl an Funktionen nach Aussen erreichbar sein – wie oben erkennbar ist eine davon die </w:t>
      </w:r>
      <w:proofErr w:type="spellStart"/>
      <w:r>
        <w:rPr>
          <w:b/>
        </w:rPr>
        <w:t>GetHWInfoFromILO</w:t>
      </w:r>
      <w:proofErr w:type="spellEnd"/>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w:t>
      </w:r>
      <w:proofErr w:type="spellStart"/>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proofErr w:type="spellEnd"/>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proofErr w:type="spellStart"/>
      <w:r w:rsidRPr="009B3BF5">
        <w:rPr>
          <w:rFonts w:ascii="Consolas" w:hAnsi="Consolas"/>
          <w:color w:val="D4D4D4"/>
          <w:sz w:val="21"/>
          <w:szCs w:val="21"/>
          <w:lang w:val="en-US" w:eastAsia="de-CH"/>
        </w:rPr>
        <w:t>gt</w:t>
      </w:r>
      <w:proofErr w:type="spellEnd"/>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w:t>
      </w:r>
      <w:proofErr w:type="spellStart"/>
      <w:r w:rsidR="00451E73">
        <w:rPr>
          <w:shd w:val="clear" w:color="auto" w:fill="000000" w:themeFill="text1"/>
        </w:rPr>
        <w:t>HWInfoFromILO</w:t>
      </w:r>
      <w:proofErr w:type="spellEnd"/>
      <w:r w:rsidR="00DF722A">
        <w:rPr>
          <w:shd w:val="clear" w:color="auto" w:fill="000000" w:themeFill="text1"/>
        </w:rPr>
        <w:t xml:space="preserve"> </w:t>
      </w:r>
      <w:r w:rsidR="0065047C">
        <w:rPr>
          <w:shd w:val="clear" w:color="auto" w:fill="000000" w:themeFill="text1"/>
        </w:rPr>
        <w:t>-</w:t>
      </w:r>
      <w:proofErr w:type="spellStart"/>
      <w:r w:rsidR="0065047C">
        <w:rPr>
          <w:shd w:val="clear" w:color="auto" w:fill="000000" w:themeFill="text1"/>
        </w:rPr>
        <w:t>Full</w:t>
      </w:r>
      <w:proofErr w:type="spellEnd"/>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proofErr w:type="spellStart"/>
      <w:r>
        <w:rPr>
          <w:i/>
        </w:rPr>
        <w:t>Frontends</w:t>
      </w:r>
      <w:proofErr w:type="spellEnd"/>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w:t>
      </w:r>
      <w:proofErr w:type="spellStart"/>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w:t>
      </w:r>
      <w:proofErr w:type="spellEnd"/>
      <w:r w:rsidRPr="001C0CE8">
        <w:rPr>
          <w:rFonts w:ascii="Consolas" w:hAnsi="Consolas"/>
          <w:color w:val="CE9178"/>
          <w:sz w:val="21"/>
          <w:szCs w:val="21"/>
          <w:lang w:val="en-US" w:eastAsia="de-CH"/>
        </w:rPr>
        <w:t xml:space="preserve">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WithoutInventory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06A3F756" w:rsidR="005308CE" w:rsidRDefault="003D3C7B" w:rsidP="003D3C7B">
      <w:pPr>
        <w:pStyle w:val="Beschriftung"/>
      </w:pPr>
      <w:r>
        <w:t xml:space="preserve">Codesnippet </w:t>
      </w:r>
      <w:fldSimple w:instr=" SEQ Codesnippet \* ARABIC ">
        <w:r w:rsidR="008A0EFB">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 xml:space="preserve">Da PowerShell mit den </w:t>
      </w:r>
      <w:proofErr w:type="spellStart"/>
      <w:r>
        <w:rPr>
          <w:szCs w:val="22"/>
          <w:lang w:eastAsia="de-CH"/>
        </w:rPr>
        <w:t>ParameterSets</w:t>
      </w:r>
      <w:proofErr w:type="spellEnd"/>
      <w:r>
        <w:rPr>
          <w:szCs w:val="22"/>
          <w:lang w:eastAsia="de-CH"/>
        </w:rPr>
        <w:t xml:space="preserve">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ServerPath</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ServerArray</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proofErr w:type="spellStart"/>
      <w:r w:rsidRPr="00654385">
        <w:rPr>
          <w:rFonts w:ascii="Consolas" w:hAnsi="Consolas"/>
          <w:color w:val="569CD6"/>
          <w:sz w:val="18"/>
          <w:szCs w:val="18"/>
          <w:lang w:eastAsia="de-CH"/>
        </w:rPr>
        <w:t>string</w:t>
      </w:r>
      <w:proofErr w:type="spellEnd"/>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532A7A3D" w:rsidR="00654385" w:rsidRDefault="00654385" w:rsidP="00654385">
      <w:pPr>
        <w:pStyle w:val="Beschriftung"/>
      </w:pPr>
      <w:r>
        <w:t xml:space="preserve">Codesnippet </w:t>
      </w:r>
      <w:fldSimple w:instr=" SEQ Codesnippet \* ARABIC ">
        <w:r w:rsidR="008A0EFB">
          <w:rPr>
            <w:noProof/>
          </w:rPr>
          <w:t>5</w:t>
        </w:r>
      </w:fldSimple>
      <w:r>
        <w:t xml:space="preserve">: </w:t>
      </w:r>
      <w:proofErr w:type="spellStart"/>
      <w:r>
        <w:t>ParameterSet</w:t>
      </w:r>
      <w:proofErr w:type="spellEnd"/>
      <w:r>
        <w:t xml:space="preserve">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w:t>
      </w:r>
      <w:proofErr w:type="spellStart"/>
      <w:r w:rsidR="00A0678E">
        <w:rPr>
          <w:lang w:eastAsia="de-CH"/>
        </w:rPr>
        <w:t>ParameterSet</w:t>
      </w:r>
      <w:proofErr w:type="spellEnd"/>
      <w:r w:rsidR="00A0678E">
        <w:rPr>
          <w:lang w:eastAsia="de-CH"/>
        </w:rPr>
        <w:t xml:space="preserve">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configPath</w:t>
      </w:r>
      <w:proofErr w:type="spellEnd"/>
      <w:r w:rsidRPr="00C800D0">
        <w:rPr>
          <w:rFonts w:ascii="Consolas" w:hAnsi="Consolas"/>
          <w:color w:val="FFFFFF" w:themeColor="background1"/>
          <w:sz w:val="16"/>
          <w:szCs w:val="16"/>
          <w:lang w:val="en-US" w:eastAsia="de-CH"/>
        </w:rPr>
        <w:t xml:space="preserve">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ServerPath</w:t>
      </w:r>
      <w:proofErr w:type="spellEnd"/>
      <w:r w:rsidRPr="00C800D0">
        <w:rPr>
          <w:rFonts w:ascii="Consolas" w:hAnsi="Consolas"/>
          <w:color w:val="FFFFFF" w:themeColor="background1"/>
          <w:sz w:val="16"/>
          <w:szCs w:val="16"/>
          <w:lang w:val="en-US" w:eastAsia="de-CH"/>
        </w:rPr>
        <w:t xml:space="preserve">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SearchStringInventory</w:t>
      </w:r>
      <w:proofErr w:type="spellEnd"/>
      <w:r w:rsidRPr="00C800D0">
        <w:rPr>
          <w:rFonts w:ascii="Consolas" w:hAnsi="Consolas"/>
          <w:color w:val="FFFFFF" w:themeColor="background1"/>
          <w:sz w:val="16"/>
          <w:szCs w:val="16"/>
          <w:lang w:val="en-US" w:eastAsia="de-CH"/>
        </w:rPr>
        <w:t xml:space="preserve"> &lt;string&gt; -Username &lt;string&gt; -Password &lt;string&gt; [Other Parameters] </w:t>
      </w:r>
    </w:p>
    <w:p w14:paraId="6C5431F9" w14:textId="293C3358" w:rsidR="00DB088D" w:rsidRDefault="003158A8" w:rsidP="003158A8">
      <w:pPr>
        <w:pStyle w:val="Beschriftung"/>
      </w:pPr>
      <w:r>
        <w:t xml:space="preserve">Codesnippet </w:t>
      </w:r>
      <w:fldSimple w:instr=" SEQ Codesnippet \* ARABIC ">
        <w:r w:rsidR="008A0EFB">
          <w:rPr>
            <w:noProof/>
          </w:rPr>
          <w:t>6</w:t>
        </w:r>
      </w:fldSimple>
      <w:r>
        <w:t>: Syntax Get-</w:t>
      </w:r>
      <w:proofErr w:type="spellStart"/>
      <w:r>
        <w:t>HWInfofromILO</w:t>
      </w:r>
      <w:proofErr w:type="spellEnd"/>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proofErr w:type="spellStart"/>
      <w:r>
        <w:rPr>
          <w:i/>
        </w:rPr>
        <w:t>configPath</w:t>
      </w:r>
      <w:proofErr w:type="spellEnd"/>
      <w:r>
        <w:t xml:space="preserve"> gestartet, aber mit der Änderung, dass das </w:t>
      </w:r>
      <w:proofErr w:type="spellStart"/>
      <w:r w:rsidRPr="00D0586E">
        <w:rPr>
          <w:color w:val="FFFFFF" w:themeColor="background1"/>
          <w:sz w:val="20"/>
          <w:szCs w:val="20"/>
          <w:highlight w:val="black"/>
          <w:lang w:eastAsia="de-CH"/>
        </w:rPr>
        <w:t>logLevel</w:t>
      </w:r>
      <w:proofErr w:type="spellEnd"/>
      <w:r w:rsidRPr="00D0586E">
        <w:rPr>
          <w:color w:val="FFFFFF" w:themeColor="background1"/>
          <w:sz w:val="20"/>
          <w:szCs w:val="20"/>
          <w:highlight w:val="black"/>
          <w:lang w:eastAsia="de-CH"/>
        </w:rPr>
        <w:t xml:space="preserve">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proofErr w:type="spellStart"/>
      <w:r w:rsidRPr="00917EDC">
        <w:rPr>
          <w:rFonts w:ascii="Consolas" w:hAnsi="Consolas"/>
          <w:color w:val="CCCCCC"/>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9CDCFE"/>
          <w:sz w:val="21"/>
          <w:szCs w:val="21"/>
          <w:lang w:val="en-US" w:eastAsia="de-CH"/>
        </w:rPr>
        <w:t>$</w:t>
      </w:r>
      <w:proofErr w:type="spellStart"/>
      <w:r w:rsidRPr="00917EDC">
        <w:rPr>
          <w:rFonts w:ascii="Consolas" w:hAnsi="Consolas"/>
          <w:color w:val="9CDCFE"/>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62C72255" w:rsidR="00806BC4" w:rsidRDefault="00917EDC" w:rsidP="00806BC4">
      <w:pPr>
        <w:pStyle w:val="Beschriftung"/>
      </w:pPr>
      <w:r>
        <w:t xml:space="preserve">Codesnippet </w:t>
      </w:r>
      <w:fldSimple w:instr=" SEQ Codesnippet \* ARABIC ">
        <w:r w:rsidR="008A0EFB">
          <w:rPr>
            <w:noProof/>
          </w:rPr>
          <w:t>7</w:t>
        </w:r>
      </w:fldSimple>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proofErr w:type="spellStart"/>
      <w:r>
        <w:t>Loglevels</w:t>
      </w:r>
      <w:proofErr w:type="spellEnd"/>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587EA0C5" w14:textId="793B0673" w:rsidR="001C556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7F3B14B7" w14:textId="77777777" w:rsidR="00F84B75" w:rsidRDefault="00F84B75" w:rsidP="0027146C"/>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w:t>
      </w:r>
      <w:proofErr w:type="spellStart"/>
      <w:r w:rsidRPr="002B56FF">
        <w:rPr>
          <w:rFonts w:ascii="Consolas" w:hAnsi="Consolas"/>
          <w:color w:val="FFFFFF" w:themeColor="background1"/>
          <w:sz w:val="16"/>
          <w:szCs w:val="16"/>
          <w:lang w:val="en-US" w:eastAsia="de-CH"/>
        </w:rPr>
        <w:t>Inventorizer</w:t>
      </w:r>
      <w:proofErr w:type="spellEnd"/>
      <w:r w:rsidRPr="002B56FF">
        <w:rPr>
          <w:rFonts w:ascii="Consolas" w:hAnsi="Consolas"/>
          <w:color w:val="FFFFFF" w:themeColor="background1"/>
          <w:sz w:val="16"/>
          <w:szCs w:val="16"/>
          <w:lang w:val="en-US" w:eastAsia="de-CH"/>
        </w:rPr>
        <w:t xml:space="preserve">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 xml:space="preserve">Start Updating </w:t>
      </w:r>
      <w:proofErr w:type="spellStart"/>
      <w:r w:rsidRPr="002B56FF">
        <w:rPr>
          <w:rFonts w:ascii="Consolas" w:hAnsi="Consolas"/>
          <w:color w:val="FFFFFF" w:themeColor="background1"/>
          <w:sz w:val="16"/>
          <w:szCs w:val="16"/>
          <w:lang w:val="en-US" w:eastAsia="de-CH"/>
        </w:rPr>
        <w:t>Configuraton</w:t>
      </w:r>
      <w:proofErr w:type="spellEnd"/>
      <w:r w:rsidRPr="002B56FF">
        <w:rPr>
          <w:rFonts w:ascii="Consolas" w:hAnsi="Consolas"/>
          <w:color w:val="FFFFFF" w:themeColor="background1"/>
          <w:sz w:val="16"/>
          <w:szCs w:val="16"/>
          <w:lang w:val="en-US" w:eastAsia="de-CH"/>
        </w:rPr>
        <w:t xml:space="preserve"> File</w:t>
      </w:r>
    </w:p>
    <w:p w14:paraId="7858E681" w14:textId="2C39A589" w:rsidR="002B56FF" w:rsidRDefault="002B56FF" w:rsidP="002B56FF">
      <w:pPr>
        <w:pStyle w:val="Beschriftung"/>
      </w:pPr>
      <w:r>
        <w:t xml:space="preserve">Codesnippet </w:t>
      </w:r>
      <w:fldSimple w:instr=" SEQ Codesnippet \* ARABIC ">
        <w:r w:rsidR="008A0EFB">
          <w:rPr>
            <w:noProof/>
          </w:rPr>
          <w:t>8</w:t>
        </w:r>
      </w:fldSimple>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proofErr w:type="spellStart"/>
      <w:r w:rsidRPr="007064E0">
        <w:rPr>
          <w:color w:val="FFFFFF" w:themeColor="background1"/>
          <w:highlight w:val="black"/>
        </w:rPr>
        <w:t>nslookup</w:t>
      </w:r>
      <w:proofErr w:type="spellEnd"/>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proofErr w:type="spellStart"/>
      <w:r>
        <w:t>Nslookup</w:t>
      </w:r>
      <w:proofErr w:type="spellEnd"/>
      <w:r>
        <w:t xml:space="preserve">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 xml:space="preserve">Das heisst für den User, dass wenn schon beim </w:t>
      </w:r>
      <w:proofErr w:type="spellStart"/>
      <w:r>
        <w:t>nslookup</w:t>
      </w:r>
      <w:proofErr w:type="spellEnd"/>
      <w:r>
        <w:t xml:space="preserve"> keine Antwort kommt, dann ist der Server im Netzwerk nicht erreichbar oder nicht vorhanden. Gibt es hingegen beim Test-Connection keine Antwort (trotz Auftauchen im </w:t>
      </w:r>
      <w:proofErr w:type="spellStart"/>
      <w:r>
        <w:t>lookup</w:t>
      </w:r>
      <w:proofErr w:type="spellEnd"/>
      <w:r>
        <w:t>),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D2290">
        <w:rPr>
          <w:rFonts w:ascii="Consolas" w:hAnsi="Consolas"/>
          <w:color w:val="CCCCCC"/>
          <w:sz w:val="21"/>
          <w:szCs w:val="21"/>
          <w:lang w:eastAsia="de-CH"/>
        </w:rPr>
        <w:t xml:space="preserve">        </w:t>
      </w:r>
      <w:r w:rsidRPr="0044461D">
        <w:rPr>
          <w:rFonts w:ascii="Consolas" w:hAnsi="Consolas"/>
          <w:color w:val="CCCCCC"/>
          <w:sz w:val="21"/>
          <w:szCs w:val="21"/>
          <w:lang w:val="en-US" w:eastAsia="de-CH"/>
        </w:rPr>
        <w:t>[</w:t>
      </w:r>
      <w:r w:rsidRPr="0044461D">
        <w:rPr>
          <w:rFonts w:ascii="Consolas" w:hAnsi="Consolas"/>
          <w:color w:val="569CD6"/>
          <w:sz w:val="21"/>
          <w:szCs w:val="21"/>
          <w:lang w:val="en-US" w:eastAsia="de-CH"/>
        </w:rPr>
        <w:t>Array</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w:t>
      </w:r>
    </w:p>
    <w:p w14:paraId="428FC971"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foreach</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in</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serverJSON</w:t>
      </w:r>
      <w:proofErr w:type="spellEnd"/>
      <w:r w:rsidRPr="0044461D">
        <w:rPr>
          <w:rFonts w:ascii="Consolas" w:hAnsi="Consolas"/>
          <w:color w:val="CCCCCC"/>
          <w:sz w:val="21"/>
          <w:szCs w:val="21"/>
          <w:lang w:val="en-US" w:eastAsia="de-CH"/>
        </w:rPr>
        <w:t>){</w:t>
      </w:r>
    </w:p>
    <w:p w14:paraId="212FC92C"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if</w:t>
      </w:r>
      <w:r w:rsidRPr="0044461D">
        <w:rPr>
          <w:rFonts w:ascii="Consolas" w:hAnsi="Consolas"/>
          <w:color w:val="CCCCCC"/>
          <w:sz w:val="21"/>
          <w:szCs w:val="21"/>
          <w:lang w:val="en-US" w:eastAsia="de-CH"/>
        </w:rPr>
        <w:t>(</w:t>
      </w:r>
      <w:r w:rsidRPr="0044461D">
        <w:rPr>
          <w:rFonts w:ascii="Consolas" w:hAnsi="Consolas"/>
          <w:color w:val="DCDCAA"/>
          <w:sz w:val="21"/>
          <w:szCs w:val="21"/>
          <w:lang w:val="en-US" w:eastAsia="de-CH"/>
        </w:rPr>
        <w:t>Invoke-</w:t>
      </w:r>
      <w:proofErr w:type="spellStart"/>
      <w:r w:rsidRPr="0044461D">
        <w:rPr>
          <w:rFonts w:ascii="Consolas" w:hAnsi="Consolas"/>
          <w:color w:val="DCDCAA"/>
          <w:sz w:val="21"/>
          <w:szCs w:val="21"/>
          <w:lang w:val="en-US" w:eastAsia="de-CH"/>
        </w:rPr>
        <w:t>PingTest</w:t>
      </w:r>
      <w:proofErr w:type="spellEnd"/>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w:t>
      </w:r>
    </w:p>
    <w:p w14:paraId="41455DA6"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 xml:space="preserve"> </w:t>
      </w:r>
      <w:r w:rsidRPr="0044461D">
        <w:rPr>
          <w:rFonts w:ascii="Consolas" w:hAnsi="Consolas"/>
          <w:color w:val="D4D4D4"/>
          <w:sz w:val="21"/>
          <w:szCs w:val="21"/>
          <w:lang w:val="en-US" w:eastAsia="de-CH"/>
        </w:rPr>
        <w: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w:t>
      </w:r>
    </w:p>
    <w:p w14:paraId="1D2679C8" w14:textId="77777777" w:rsidR="0044461D" w:rsidRPr="0044461D" w:rsidRDefault="0044461D" w:rsidP="0044461D">
      <w:pPr>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val="en-US" w:eastAsia="de-CH"/>
        </w:rPr>
        <w:t xml:space="preserve">            </w:t>
      </w:r>
      <w:r w:rsidRPr="0044461D">
        <w:rPr>
          <w:rFonts w:ascii="Consolas" w:hAnsi="Consolas"/>
          <w:color w:val="CCCCCC"/>
          <w:sz w:val="21"/>
          <w:szCs w:val="21"/>
          <w:lang w:eastAsia="de-CH"/>
        </w:rPr>
        <w:t>}</w:t>
      </w:r>
    </w:p>
    <w:p w14:paraId="681AA447" w14:textId="77777777" w:rsidR="0044461D" w:rsidRPr="0044461D" w:rsidRDefault="0044461D" w:rsidP="0044461D">
      <w:pPr>
        <w:keepNext/>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eastAsia="de-CH"/>
        </w:rPr>
        <w:t>        }</w:t>
      </w:r>
    </w:p>
    <w:p w14:paraId="33708FB1" w14:textId="56E1BBE4" w:rsidR="0044461D" w:rsidRPr="009655CC" w:rsidRDefault="0044461D" w:rsidP="0044461D">
      <w:pPr>
        <w:pStyle w:val="Beschriftung"/>
      </w:pPr>
      <w:r>
        <w:t xml:space="preserve">Codesnippet </w:t>
      </w:r>
      <w:fldSimple w:instr=" SEQ Codesnippet \* ARABIC ">
        <w:r w:rsidR="008A0EFB">
          <w:rPr>
            <w:noProof/>
          </w:rPr>
          <w:t>9</w:t>
        </w:r>
      </w:fldSimple>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w:t>
      </w:r>
      <w:proofErr w:type="spellStart"/>
      <w:r>
        <w:t>server.json</w:t>
      </w:r>
      <w:proofErr w:type="spellEnd"/>
      <w:r>
        <w:t xml:space="preserve">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5" w:anchor="action=Introspection" w:history="1">
        <w:r w:rsidR="00CF43B1">
          <w:rPr>
            <w:rStyle w:val="Hyperlink"/>
          </w:rPr>
          <w:t xml:space="preserve">IV4 - JSON API </w:t>
        </w:r>
        <w:proofErr w:type="spellStart"/>
        <w:r w:rsidR="00CF43B1">
          <w:rPr>
            <w:rStyle w:val="Hyperlink"/>
          </w:rPr>
          <w:t>Introspection</w:t>
        </w:r>
        <w:proofErr w:type="spellEnd"/>
      </w:hyperlink>
      <w:r w:rsidR="00CF43B1">
        <w:t xml:space="preserve">, genauer gesagt den </w:t>
      </w:r>
      <w:proofErr w:type="spellStart"/>
      <w:r w:rsidR="00CF43B1">
        <w:t>Endpoint</w:t>
      </w:r>
      <w:proofErr w:type="spellEnd"/>
      <w:r w:rsidR="00CF43B1">
        <w:t xml:space="preserve"> «</w:t>
      </w:r>
      <w:proofErr w:type="spellStart"/>
      <w:r w:rsidR="00CF43B1">
        <w:t>FindObjects</w:t>
      </w:r>
      <w:proofErr w:type="spellEnd"/>
      <w:r w:rsidR="00CF43B1">
        <w:t xml:space="preserve">»,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t>$</w:t>
      </w:r>
      <w:proofErr w:type="spellStart"/>
      <w:r w:rsidRPr="000515E3">
        <w:rPr>
          <w:rFonts w:ascii="Consolas" w:hAnsi="Consolas"/>
          <w:color w:val="9CDCFE"/>
          <w:sz w:val="21"/>
          <w:szCs w:val="21"/>
          <w:lang w:val="fr-FR" w:eastAsia="de-CH"/>
        </w:rPr>
        <w:t>uri</w:t>
      </w:r>
      <w:proofErr w:type="spellEnd"/>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"https://inventory.psi.ch/DataAccess.asmx/</w:t>
      </w:r>
      <w:proofErr w:type="spellStart"/>
      <w:r w:rsidRPr="000515E3">
        <w:rPr>
          <w:rFonts w:ascii="Consolas" w:hAnsi="Consolas"/>
          <w:color w:val="CE9178"/>
          <w:sz w:val="21"/>
          <w:szCs w:val="21"/>
          <w:lang w:val="fr-FR" w:eastAsia="de-CH"/>
        </w:rPr>
        <w:t>FindObjects</w:t>
      </w:r>
      <w:proofErr w:type="spellEnd"/>
      <w:r w:rsidRPr="000515E3">
        <w:rPr>
          <w:rFonts w:ascii="Consolas" w:hAnsi="Consolas"/>
          <w:color w:val="CE9178"/>
          <w:sz w:val="21"/>
          <w:szCs w:val="21"/>
          <w:lang w:val="fr-FR" w:eastAsia="de-CH"/>
        </w:rPr>
        <w:t>"</w:t>
      </w:r>
      <w:r w:rsidRPr="000515E3">
        <w:rPr>
          <w:rFonts w:ascii="Consolas" w:hAnsi="Consolas"/>
          <w:color w:val="CCCCCC"/>
          <w:sz w:val="21"/>
          <w:szCs w:val="21"/>
          <w:lang w:val="fr-FR" w:eastAsia="de-CH"/>
        </w:rPr>
        <w:t>;</w:t>
      </w:r>
    </w:p>
    <w:p w14:paraId="5F9C1FB8" w14:textId="0D5010E3"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lastRenderedPageBreak/>
        <w:t>$headers</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569CD6"/>
          <w:sz w:val="21"/>
          <w:szCs w:val="21"/>
          <w:lang w:val="fr-FR" w:eastAsia="de-CH"/>
        </w:rPr>
        <w:t>@</w:t>
      </w:r>
      <w:r w:rsidRPr="000515E3">
        <w:rPr>
          <w:rFonts w:ascii="Consolas" w:hAnsi="Consolas"/>
          <w:color w:val="CCCCCC"/>
          <w:sz w:val="21"/>
          <w:szCs w:val="21"/>
          <w:lang w:val="fr-FR" w:eastAsia="de-CH"/>
        </w:rPr>
        <w:t>{</w:t>
      </w:r>
      <w:r w:rsidRPr="000515E3">
        <w:rPr>
          <w:rFonts w:ascii="Consolas" w:hAnsi="Consolas"/>
          <w:color w:val="CE9178"/>
          <w:sz w:val="21"/>
          <w:szCs w:val="21"/>
          <w:lang w:val="fr-FR" w:eastAsia="de-CH"/>
        </w:rPr>
        <w:t>"Content-Type"</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 xml:space="preserve">"application/json; </w:t>
      </w:r>
      <w:proofErr w:type="spellStart"/>
      <w:r w:rsidRPr="000515E3">
        <w:rPr>
          <w:rFonts w:ascii="Consolas" w:hAnsi="Consolas"/>
          <w:color w:val="CE9178"/>
          <w:sz w:val="21"/>
          <w:szCs w:val="21"/>
          <w:lang w:val="fr-FR" w:eastAsia="de-CH"/>
        </w:rPr>
        <w:t>charset</w:t>
      </w:r>
      <w:proofErr w:type="spellEnd"/>
      <w:r w:rsidRPr="000515E3">
        <w:rPr>
          <w:rFonts w:ascii="Consolas" w:hAnsi="Consolas"/>
          <w:color w:val="CE9178"/>
          <w:sz w:val="21"/>
          <w:szCs w:val="21"/>
          <w:lang w:val="fr-FR" w:eastAsia="de-CH"/>
        </w:rPr>
        <w:t>= utf-8"</w:t>
      </w:r>
      <w:r w:rsidRPr="000515E3">
        <w:rPr>
          <w:rFonts w:ascii="Consolas" w:hAnsi="Consolas"/>
          <w:color w:val="CCCCCC"/>
          <w:sz w:val="21"/>
          <w:szCs w:val="21"/>
          <w:lang w:val="fr-FR" w:eastAsia="de-CH"/>
        </w:rPr>
        <w:t xml:space="preserve"> };</w:t>
      </w:r>
    </w:p>
    <w:p w14:paraId="0379D0CE" w14:textId="673367F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734C2515" w14:textId="2593445E" w:rsidR="000515E3" w:rsidRPr="000515E3" w:rsidRDefault="000515E3" w:rsidP="000515E3">
      <w:pPr>
        <w:shd w:val="clear" w:color="auto" w:fill="1F1F1F"/>
        <w:spacing w:line="285" w:lineRule="atLeast"/>
        <w:ind w:firstLine="709"/>
        <w:rPr>
          <w:rFonts w:ascii="Consolas" w:hAnsi="Consolas"/>
          <w:color w:val="CCCCCC"/>
          <w:sz w:val="21"/>
          <w:szCs w:val="21"/>
          <w:lang w:val="en-US" w:eastAsia="de-CH"/>
        </w:rPr>
      </w:pPr>
      <w:r w:rsidRPr="000515E3">
        <w:rPr>
          <w:rFonts w:ascii="Consolas" w:hAnsi="Consolas"/>
          <w:color w:val="CE9178"/>
          <w:sz w:val="21"/>
          <w:szCs w:val="21"/>
          <w:lang w:val="en-US" w:eastAsia="de-CH"/>
        </w:rPr>
        <w:t>"search"</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4B3783F3" w14:textId="52FF5AB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"query"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2BCDDBB8" w14:textId="1E3A8C5E"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"Field"</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"ANY"</w:t>
      </w:r>
    </w:p>
    <w:p w14:paraId="1372DE8A" w14:textId="489620D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"Operator"</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"Contains"</w:t>
      </w:r>
    </w:p>
    <w:p w14:paraId="38D00C8E" w14:textId="46FE2B97"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"Value"</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searchStringInventory</w:t>
      </w:r>
      <w:proofErr w:type="spellEnd"/>
    </w:p>
    <w:p w14:paraId="207E74CF" w14:textId="3F49FCEA"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w:t>
      </w:r>
    </w:p>
    <w:p w14:paraId="2E53FF25" w14:textId="2D3EA869"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"columns"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676FEF07" w14:textId="47EEF9E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"Label"</w:t>
      </w:r>
      <w:r w:rsidRPr="000515E3">
        <w:rPr>
          <w:rFonts w:ascii="Consolas" w:hAnsi="Consolas"/>
          <w:color w:val="D4D4D4"/>
          <w:sz w:val="21"/>
          <w:szCs w:val="21"/>
          <w:lang w:val="en-US" w:eastAsia="de-CH"/>
        </w:rPr>
        <w:t>,</w:t>
      </w:r>
    </w:p>
    <w:p w14:paraId="4C31CF69" w14:textId="57D05D83"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"Hostname"</w:t>
      </w:r>
      <w:r w:rsidRPr="000515E3">
        <w:rPr>
          <w:rFonts w:ascii="Consolas" w:hAnsi="Consolas"/>
          <w:color w:val="D4D4D4"/>
          <w:sz w:val="21"/>
          <w:szCs w:val="21"/>
          <w:lang w:val="en-US" w:eastAsia="de-CH"/>
        </w:rPr>
        <w:t>,</w:t>
      </w:r>
    </w:p>
    <w:p w14:paraId="2DEED041" w14:textId="0442A27A" w:rsidR="000515E3" w:rsidRDefault="000515E3" w:rsidP="000515E3">
      <w:pPr>
        <w:shd w:val="clear" w:color="auto" w:fill="1F1F1F"/>
        <w:spacing w:line="285" w:lineRule="atLeast"/>
        <w:rPr>
          <w:rFonts w:ascii="Consolas" w:hAnsi="Consolas"/>
          <w:color w:val="9CDCFE"/>
          <w:sz w:val="21"/>
          <w:szCs w:val="21"/>
          <w:lang w:val="en-US" w:eastAsia="de-CH"/>
        </w:rPr>
      </w:pPr>
      <w:r w:rsidRPr="000515E3">
        <w:rPr>
          <w:rFonts w:ascii="Consolas" w:hAnsi="Consolas"/>
          <w:color w:val="CCCCCC"/>
          <w:sz w:val="21"/>
          <w:szCs w:val="21"/>
          <w:lang w:val="en-US" w:eastAsia="de-CH"/>
        </w:rPr>
        <w:t>   </w:t>
      </w:r>
      <w:r w:rsidR="00DA4DEE">
        <w:rPr>
          <w:rFonts w:ascii="Consolas" w:hAnsi="Consolas"/>
          <w:color w:val="CCCCCC"/>
          <w:sz w:val="21"/>
          <w:szCs w:val="21"/>
          <w:lang w:val="en-US" w:eastAsia="de-CH"/>
        </w:rPr>
        <w:t xml:space="preserve">         </w:t>
      </w:r>
      <w:r w:rsidR="00DA4DEE">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remoteMgmntField</w:t>
      </w:r>
      <w:proofErr w:type="spellEnd"/>
      <w:r w:rsidR="00DA4DEE">
        <w:rPr>
          <w:rFonts w:ascii="Consolas" w:hAnsi="Consolas"/>
          <w:color w:val="9CDCFE"/>
          <w:sz w:val="21"/>
          <w:szCs w:val="21"/>
          <w:lang w:val="en-US" w:eastAsia="de-CH"/>
        </w:rPr>
        <w:t>,</w:t>
      </w:r>
    </w:p>
    <w:p w14:paraId="5B99045F" w14:textId="7597106B" w:rsidR="00DA4DEE" w:rsidRPr="00DA4DEE" w:rsidRDefault="00DA4DEE" w:rsidP="00DA4DEE">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"Serial"</w:t>
      </w:r>
      <w:r w:rsidRPr="00DA4DEE">
        <w:rPr>
          <w:rFonts w:ascii="Consolas" w:hAnsi="Consolas"/>
          <w:color w:val="D4D4D4"/>
          <w:sz w:val="21"/>
          <w:szCs w:val="21"/>
          <w:lang w:val="en-US" w:eastAsia="de-CH"/>
        </w:rPr>
        <w:t>,</w:t>
      </w:r>
    </w:p>
    <w:p w14:paraId="1849A481" w14:textId="315DD2D3"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"Part Type"</w:t>
      </w:r>
      <w:r w:rsidRPr="00DA4DEE">
        <w:rPr>
          <w:rFonts w:ascii="Consolas" w:hAnsi="Consolas"/>
          <w:color w:val="D4D4D4"/>
          <w:sz w:val="21"/>
          <w:szCs w:val="21"/>
          <w:lang w:val="en-US" w:eastAsia="de-CH"/>
        </w:rPr>
        <w:t>,</w:t>
      </w:r>
    </w:p>
    <w:p w14:paraId="5C38A33B" w14:textId="658CA2B7"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"Facility"</w:t>
      </w:r>
      <w:r w:rsidRPr="00DA4DEE">
        <w:rPr>
          <w:rFonts w:ascii="Consolas" w:hAnsi="Consolas"/>
          <w:color w:val="D4D4D4"/>
          <w:sz w:val="21"/>
          <w:szCs w:val="21"/>
          <w:lang w:val="en-US" w:eastAsia="de-CH"/>
        </w:rPr>
        <w:t>,</w:t>
      </w:r>
    </w:p>
    <w:p w14:paraId="03DAFB62" w14:textId="187B18D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1"</w:t>
      </w:r>
      <w:r w:rsidRPr="00DA4DEE">
        <w:rPr>
          <w:rFonts w:ascii="Consolas" w:hAnsi="Consolas"/>
          <w:color w:val="D4D4D4"/>
          <w:sz w:val="21"/>
          <w:szCs w:val="21"/>
          <w:lang w:val="en-US" w:eastAsia="de-CH"/>
        </w:rPr>
        <w:t>,</w:t>
      </w:r>
    </w:p>
    <w:p w14:paraId="02EA9621" w14:textId="5DF53E88"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2"</w:t>
      </w:r>
      <w:r w:rsidRPr="00DA4DEE">
        <w:rPr>
          <w:rFonts w:ascii="Consolas" w:hAnsi="Consolas"/>
          <w:color w:val="D4D4D4"/>
          <w:sz w:val="21"/>
          <w:szCs w:val="21"/>
          <w:lang w:val="en-US" w:eastAsia="de-CH"/>
        </w:rPr>
        <w:t>,</w:t>
      </w:r>
    </w:p>
    <w:p w14:paraId="7C8E13F3" w14:textId="2E8ACCE0"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3"</w:t>
      </w:r>
      <w:r w:rsidRPr="00DA4DEE">
        <w:rPr>
          <w:rFonts w:ascii="Consolas" w:hAnsi="Consolas"/>
          <w:color w:val="D4D4D4"/>
          <w:sz w:val="21"/>
          <w:szCs w:val="21"/>
          <w:lang w:val="en-US" w:eastAsia="de-CH"/>
        </w:rPr>
        <w:t>,</w:t>
      </w:r>
    </w:p>
    <w:p w14:paraId="71A058AC" w14:textId="7B13BD5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4"</w:t>
      </w:r>
      <w:r w:rsidRPr="00DA4DEE">
        <w:rPr>
          <w:rFonts w:ascii="Consolas" w:hAnsi="Consolas"/>
          <w:color w:val="D4D4D4"/>
          <w:sz w:val="21"/>
          <w:szCs w:val="21"/>
          <w:lang w:val="en-US" w:eastAsia="de-CH"/>
        </w:rPr>
        <w:t>,</w:t>
      </w:r>
    </w:p>
    <w:p w14:paraId="2F76B7F2" w14:textId="422C2FEE"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w:t>
      </w:r>
      <w:proofErr w:type="spellStart"/>
      <w:r w:rsidRPr="00DA4DEE">
        <w:rPr>
          <w:rFonts w:ascii="Consolas" w:hAnsi="Consolas"/>
          <w:color w:val="CE9178"/>
          <w:sz w:val="21"/>
          <w:szCs w:val="21"/>
          <w:lang w:val="en-US" w:eastAsia="de-CH"/>
        </w:rPr>
        <w:t>Mgnt</w:t>
      </w:r>
      <w:proofErr w:type="spellEnd"/>
      <w:r w:rsidRPr="00DA4DEE">
        <w:rPr>
          <w:rFonts w:ascii="Consolas" w:hAnsi="Consolas"/>
          <w:color w:val="CE9178"/>
          <w:sz w:val="21"/>
          <w:szCs w:val="21"/>
          <w:lang w:val="en-US" w:eastAsia="de-CH"/>
        </w:rPr>
        <w:t xml:space="preserve"> MAC"</w:t>
      </w:r>
      <w:r w:rsidRPr="00DA4DEE">
        <w:rPr>
          <w:rFonts w:ascii="Consolas" w:hAnsi="Consolas"/>
          <w:color w:val="D4D4D4"/>
          <w:sz w:val="21"/>
          <w:szCs w:val="21"/>
          <w:lang w:val="en-US" w:eastAsia="de-CH"/>
        </w:rPr>
        <w:t>,</w:t>
      </w:r>
    </w:p>
    <w:p w14:paraId="787B8352" w14:textId="03BC50B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"HW Status"</w:t>
      </w:r>
      <w:r w:rsidRPr="00DA4DEE">
        <w:rPr>
          <w:rFonts w:ascii="Consolas" w:hAnsi="Consolas"/>
          <w:color w:val="D4D4D4"/>
          <w:sz w:val="21"/>
          <w:szCs w:val="21"/>
          <w:lang w:val="en-US" w:eastAsia="de-CH"/>
        </w:rPr>
        <w:t>,</w:t>
      </w:r>
    </w:p>
    <w:p w14:paraId="4BB02E9E" w14:textId="1F1CD302" w:rsidR="00DA4DEE" w:rsidRPr="000515E3" w:rsidRDefault="00DA4DEE" w:rsidP="000515E3">
      <w:pPr>
        <w:shd w:val="clear" w:color="auto" w:fill="1F1F1F"/>
        <w:spacing w:line="285" w:lineRule="atLeast"/>
        <w:rPr>
          <w:rFonts w:ascii="Consolas" w:hAnsi="Consolas"/>
          <w:color w:val="CCCCCC"/>
          <w:sz w:val="21"/>
          <w:szCs w:val="21"/>
          <w:lang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eastAsia="de-CH"/>
        </w:rPr>
        <w:t>"OS"</w:t>
      </w:r>
    </w:p>
    <w:p w14:paraId="3DB810AD" w14:textId="46AF332B"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59648620" w14:textId="15A70A3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007A6C32" w14:textId="1EF41A7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ConvertTo-Json</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Depth </w:t>
      </w:r>
      <w:r w:rsidRPr="000515E3">
        <w:rPr>
          <w:rFonts w:ascii="Consolas" w:hAnsi="Consolas"/>
          <w:color w:val="B5CEA8"/>
          <w:sz w:val="21"/>
          <w:szCs w:val="21"/>
          <w:lang w:val="en-US" w:eastAsia="de-CH"/>
        </w:rPr>
        <w:t>4</w:t>
      </w:r>
    </w:p>
    <w:p w14:paraId="73956339" w14:textId="77777777" w:rsidR="000515E3" w:rsidRPr="000515E3" w:rsidRDefault="000515E3" w:rsidP="000515E3">
      <w:pPr>
        <w:shd w:val="clear" w:color="auto" w:fill="1F1F1F"/>
        <w:spacing w:line="285" w:lineRule="atLeast"/>
        <w:rPr>
          <w:rFonts w:ascii="Consolas" w:hAnsi="Consolas"/>
          <w:color w:val="CCCCCC"/>
          <w:sz w:val="21"/>
          <w:szCs w:val="21"/>
          <w:lang w:val="en-US" w:eastAsia="de-CH"/>
        </w:rPr>
      </w:pPr>
    </w:p>
    <w:p w14:paraId="450C703A" w14:textId="2204F6E0" w:rsidR="000515E3" w:rsidRPr="000515E3" w:rsidRDefault="000515E3" w:rsidP="008A0EFB">
      <w:pPr>
        <w:keepNext/>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$resp</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Invoke-</w:t>
      </w:r>
      <w:proofErr w:type="spellStart"/>
      <w:r w:rsidRPr="000515E3">
        <w:rPr>
          <w:rFonts w:ascii="Consolas" w:hAnsi="Consolas"/>
          <w:color w:val="DCDCAA"/>
          <w:sz w:val="21"/>
          <w:szCs w:val="21"/>
          <w:lang w:val="en-US" w:eastAsia="de-CH"/>
        </w:rPr>
        <w:t>RestMethod</w:t>
      </w:r>
      <w:proofErr w:type="spellEnd"/>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Uri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uri</w:t>
      </w:r>
      <w:proofErr w:type="spellEnd"/>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Method Post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Headers </w:t>
      </w:r>
      <w:r w:rsidRPr="000515E3">
        <w:rPr>
          <w:rFonts w:ascii="Consolas" w:hAnsi="Consolas"/>
          <w:color w:val="9CDCFE"/>
          <w:sz w:val="21"/>
          <w:szCs w:val="21"/>
          <w:lang w:val="en-US" w:eastAsia="de-CH"/>
        </w:rPr>
        <w:t>$headers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Body </w:t>
      </w: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proofErr w:type="spellStart"/>
      <w:r w:rsidRPr="000515E3">
        <w:rPr>
          <w:rFonts w:ascii="Consolas" w:hAnsi="Consolas"/>
          <w:color w:val="CCCCCC"/>
          <w:sz w:val="21"/>
          <w:szCs w:val="21"/>
          <w:lang w:val="en-US" w:eastAsia="de-CH"/>
        </w:rPr>
        <w:t>HttpVersion</w:t>
      </w:r>
      <w:proofErr w:type="spellEnd"/>
      <w:r w:rsidRPr="000515E3">
        <w:rPr>
          <w:rFonts w:ascii="Consolas" w:hAnsi="Consolas"/>
          <w:color w:val="CCCCCC"/>
          <w:sz w:val="21"/>
          <w:szCs w:val="21"/>
          <w:lang w:val="en-US" w:eastAsia="de-CH"/>
        </w:rPr>
        <w:t xml:space="preserve"> </w:t>
      </w:r>
      <w:r w:rsidRPr="000515E3">
        <w:rPr>
          <w:rFonts w:ascii="Consolas" w:hAnsi="Consolas"/>
          <w:color w:val="B5CEA8"/>
          <w:sz w:val="21"/>
          <w:szCs w:val="21"/>
          <w:lang w:val="en-US" w:eastAsia="de-CH"/>
        </w:rPr>
        <w:t>3.0</w:t>
      </w:r>
    </w:p>
    <w:p w14:paraId="3F3AFC57" w14:textId="2C3FE6F9" w:rsidR="004D2290" w:rsidRDefault="008A0EFB" w:rsidP="008A0EFB">
      <w:pPr>
        <w:pStyle w:val="Beschriftung"/>
      </w:pPr>
      <w:r>
        <w:t xml:space="preserve">Codesnippet </w:t>
      </w:r>
      <w:fldSimple w:instr=" SEQ Codesnippet \* ARABIC ">
        <w:r>
          <w:rPr>
            <w:noProof/>
          </w:rPr>
          <w:t>10</w:t>
        </w:r>
      </w:fldSimple>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2A8C55BB" w14:textId="77777777" w:rsidR="008A0EFB" w:rsidRPr="008A0EFB" w:rsidRDefault="008A0EFB" w:rsidP="008A0EFB"/>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w:lastRenderedPageBreak/>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6"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596F6F">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7"/>
      <w:headerReference w:type="default" r:id="rId48"/>
      <w:footerReference w:type="even" r:id="rId49"/>
      <w:footerReference w:type="default" r:id="rId50"/>
      <w:headerReference w:type="first" r:id="rId51"/>
      <w:footerReference w:type="first" r:id="rId52"/>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047C5D25"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4D2290">
          <w:rPr>
            <w:noProof/>
          </w:rPr>
          <w:t>11.03.2025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1B647840"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4D2290">
          <w:rPr>
            <w:noProof/>
          </w:rPr>
          <w:t>11.03.2025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6B010A50"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4D2290">
          <w:rPr>
            <w:noProof/>
          </w:rPr>
          <w:t>11.03.2025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3E13"/>
    <w:rsid w:val="00093FA2"/>
    <w:rsid w:val="0009454C"/>
    <w:rsid w:val="00094F15"/>
    <w:rsid w:val="00096E8E"/>
    <w:rsid w:val="000A0A89"/>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5C2D"/>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1D"/>
    <w:rsid w:val="00444695"/>
    <w:rsid w:val="00445619"/>
    <w:rsid w:val="00451E73"/>
    <w:rsid w:val="00452D49"/>
    <w:rsid w:val="0045362B"/>
    <w:rsid w:val="004546F8"/>
    <w:rsid w:val="00455CAC"/>
    <w:rsid w:val="00456F8C"/>
    <w:rsid w:val="00466CC5"/>
    <w:rsid w:val="00467E63"/>
    <w:rsid w:val="00471D34"/>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802A86"/>
    <w:rsid w:val="00802CAC"/>
    <w:rsid w:val="00804AB5"/>
    <w:rsid w:val="0080657E"/>
    <w:rsid w:val="00806BC4"/>
    <w:rsid w:val="0081493D"/>
    <w:rsid w:val="0081679A"/>
    <w:rsid w:val="00820969"/>
    <w:rsid w:val="00827194"/>
    <w:rsid w:val="008327D7"/>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0EFB"/>
    <w:rsid w:val="008A4E13"/>
    <w:rsid w:val="008A4E6A"/>
    <w:rsid w:val="008A72CC"/>
    <w:rsid w:val="008A78DE"/>
    <w:rsid w:val="008B182B"/>
    <w:rsid w:val="008B1C4F"/>
    <w:rsid w:val="008B463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349C"/>
    <w:rsid w:val="00A35676"/>
    <w:rsid w:val="00A379F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1B74"/>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5EF8"/>
    <w:rsid w:val="00CA6689"/>
    <w:rsid w:val="00CB2CE6"/>
    <w:rsid w:val="00CB306C"/>
    <w:rsid w:val="00CC06EF"/>
    <w:rsid w:val="00CC43B6"/>
    <w:rsid w:val="00CC5310"/>
    <w:rsid w:val="00CC5CDD"/>
    <w:rsid w:val="00CD0374"/>
    <w:rsid w:val="00CD3BD3"/>
    <w:rsid w:val="00CD4AC1"/>
    <w:rsid w:val="00CD74BF"/>
    <w:rsid w:val="00CD775B"/>
    <w:rsid w:val="00CE0851"/>
    <w:rsid w:val="00CE2A0C"/>
    <w:rsid w:val="00CE73C8"/>
    <w:rsid w:val="00CE74B5"/>
    <w:rsid w:val="00CF08BB"/>
    <w:rsid w:val="00CF1E53"/>
    <w:rsid w:val="00CF2A0D"/>
    <w:rsid w:val="00CF2ABD"/>
    <w:rsid w:val="00CF43B1"/>
    <w:rsid w:val="00CF4930"/>
    <w:rsid w:val="00D00E26"/>
    <w:rsid w:val="00D031C3"/>
    <w:rsid w:val="00D031FB"/>
    <w:rsid w:val="00D0586E"/>
    <w:rsid w:val="00D06220"/>
    <w:rsid w:val="00D106AE"/>
    <w:rsid w:val="00D111D9"/>
    <w:rsid w:val="00D1170D"/>
    <w:rsid w:val="00D12077"/>
    <w:rsid w:val="00D13134"/>
    <w:rsid w:val="00D1389A"/>
    <w:rsid w:val="00D13DAC"/>
    <w:rsid w:val="00D1465B"/>
    <w:rsid w:val="00D25394"/>
    <w:rsid w:val="00D26E6A"/>
    <w:rsid w:val="00D30E68"/>
    <w:rsid w:val="00D31037"/>
    <w:rsid w:val="00D3292D"/>
    <w:rsid w:val="00D35B7E"/>
    <w:rsid w:val="00D36D26"/>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s://inventory.psi.ch/"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www.xxxxx.com"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B1063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1A005-2B39-48AD-A332-C136D0E72B1C}">
  <ds:schemaRefs>
    <ds:schemaRef ds:uri="http://schemas.openxmlformats.org/officeDocument/2006/bibliography"/>
  </ds:schemaRefs>
</ds:datastoreItem>
</file>

<file path=customXml/itemProps3.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55</Pages>
  <Words>11233</Words>
  <Characters>70768</Characters>
  <Application>Microsoft Office Word</Application>
  <DocSecurity>0</DocSecurity>
  <Lines>589</Lines>
  <Paragraphs>163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81838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374</cp:revision>
  <dcterms:created xsi:type="dcterms:W3CDTF">2025-03-03T12:47:00Z</dcterms:created>
  <dcterms:modified xsi:type="dcterms:W3CDTF">2025-03-11T10:02:00Z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