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44"/>
        </w:rPr>
        <w:t>BIZPULSE BUSINESS INTELLIGENCE PLATFORM</w:t>
        <w:br/>
      </w:r>
      <w:r>
        <w:rPr>
          <w:i/>
          <w:color w:val="4B5563"/>
          <w:sz w:val="28"/>
        </w:rPr>
        <w:t>System Workflow Flowchart &amp; Database ER Diagram Specification</w:t>
      </w:r>
    </w:p>
    <w:p>
      <w:r>
        <w:br/>
        <w:br/>
      </w:r>
    </w:p>
    <w:p>
      <w:pPr>
        <w:pStyle w:val="Heading1"/>
      </w:pPr>
      <w:r>
        <w:t>1. Executive Technical Overview</w:t>
      </w:r>
    </w:p>
    <w:p>
      <w:r>
        <w:rPr>
          <w:sz w:val="22"/>
        </w:rPr>
        <w:t>BizPulse is a high-fidelity Business Intelligence suite designed to ingest multi-channel sales, inventory, and competitor pricing metrics, process them in real-time, generate alerts (CSAT, low stock warnings), and serve insights back to terminal users. This document details the core workflow path and the database structure.</w:t>
      </w:r>
    </w:p>
    <w:p/>
    <w:p>
      <w:pPr>
        <w:pStyle w:val="Heading1"/>
      </w:pPr>
      <w:r>
        <w:t>2. Operational Workflow Specification</w:t>
      </w:r>
    </w:p>
    <w:p>
      <w:r>
        <w:rPr>
          <w:sz w:val="22"/>
        </w:rPr>
        <w:t>The workflow defines how a user navigates the platform and how data changes state from import stages to database records.</w:t>
      </w:r>
    </w:p>
    <w:p>
      <w:pPr>
        <w:pStyle w:val="Heading2"/>
      </w:pPr>
      <w:r>
        <w:t>Core Workflow Step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1"/>
              </w:rPr>
              <w:t>Step / Stage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1"/>
              </w:rPr>
              <w:t>Description / Decision</w:t>
            </w:r>
          </w:p>
        </w:tc>
        <w:tc>
          <w:tcPr>
            <w:tcW w:type="dxa" w:w="3135"/>
            <w:shd w:val="clear" w:color="auto" w:fill="1E3A8A"/>
          </w:tcPr>
          <w:p>
            <w:r>
              <w:rPr>
                <w:b/>
                <w:color w:val="FFFFFF"/>
                <w:sz w:val="21"/>
              </w:rPr>
              <w:t>Database Actions Involved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1. Session Authentication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 signs in via standard credentials or third-party Google auth.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Queries UserTable and fetches local preferences (UserSettings).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2. Company Registry Gate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Verifies active company context. If missing, prompts to register one.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Pulls from Business registry, switches selected active company.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3. Dashboard Switchboard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Directs traffic based on sidebar selection (Sales, CSV Import, Scraper, Settings).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Loads summary metrics, trends, and warning logs.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4. Data Ingestion (CSV)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Matches headers and maps columns to persist raw inventory, review, or sales rows.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Writes directly to core metric database (SalesRecord, InventorySnapshot).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5. Scraper Engine Sync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Fetches live price parameters via SerpAPI (Google/Amazon) or Flipkart scraper.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Writes competitor price points to CompetitorPrice index.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6. Alert Engine Loop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Asynchronously parses fresh persist rows against user preferences (CSAT limit, safety stock).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Writes Low Stock alerts and Warning flags directly to Notification tables.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7. Settings Modification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 adjusts CSAT and safety stock parameters, or purges target company data.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Updates UserSettings table, or deletes transaction records recursively.</w:t>
            </w:r>
          </w:p>
        </w:tc>
      </w:tr>
    </w:tbl>
    <w:p>
      <w:r>
        <w:br/>
      </w:r>
    </w:p>
    <w:p>
      <w:pPr>
        <w:pStyle w:val="Heading1"/>
      </w:pPr>
      <w:r>
        <w:t>3. Database Schema Entity-Relationship (ER) Specification</w:t>
      </w:r>
    </w:p>
    <w:p>
      <w:r>
        <w:rPr>
          <w:sz w:val="22"/>
        </w:rPr>
        <w:t>The relational database utilizes a multi-tenant business model structure. Deleting a company or product segment cascades and erases metrics cleanly due to CASCADE foreign key mapping constraints.</w:t>
      </w:r>
    </w:p>
    <w:p>
      <w:pPr>
        <w:pStyle w:val="Heading2"/>
      </w:pPr>
      <w:r>
        <w:t>Core Entities Reference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F46E5"/>
          </w:tcPr>
          <w:p>
            <w:r>
              <w:rPr>
                <w:b/>
                <w:color w:val="FFFFFF"/>
                <w:sz w:val="21"/>
              </w:rPr>
              <w:t>Entity Model Name</w:t>
            </w:r>
          </w:p>
        </w:tc>
        <w:tc>
          <w:tcPr>
            <w:tcW w:type="dxa" w:w="3135"/>
            <w:shd w:val="clear" w:color="auto" w:fill="4F46E5"/>
          </w:tcPr>
          <w:p>
            <w:r>
              <w:rPr>
                <w:b/>
                <w:color w:val="FFFFFF"/>
                <w:sz w:val="21"/>
              </w:rPr>
              <w:t>Primary / Foreign Keys</w:t>
            </w:r>
          </w:p>
        </w:tc>
        <w:tc>
          <w:tcPr>
            <w:tcW w:type="dxa" w:w="3135"/>
            <w:shd w:val="clear" w:color="auto" w:fill="4F46E5"/>
          </w:tcPr>
          <w:p>
            <w:r>
              <w:rPr>
                <w:b/>
                <w:color w:val="FFFFFF"/>
                <w:sz w:val="21"/>
              </w:rPr>
              <w:t>Field Attributes &amp; Descriptions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User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 (PK)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email (UK), username, first_name, last_name, avatar, auth_provider, social_uid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UserSettings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 (PK), user_id (FK)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safety_stock, csat_threshold, star_rating, email_alerts, auto_sync, sync_frequency, import_method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Business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 (PK), owner_id (FK)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name (Company name), industry segment, created_at timestamp, updated_at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Product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 (PK), business_id (FK)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name, sku (UK), category, price, cost, stock, created_at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SalesRecord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 (PK), business_id (FK), product_id (FK), import_batch_id (FK)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date, quantity, revenue, unit_price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InventorySnapshot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 (PK), business_id (FK), product_id (FK), import_batch_id (FK)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date, stock_level, reorder_status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CustomerReview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 (PK), business_id (FK), product_id (FK), import_batch_id (FK)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date, rating, review_text, sentiment analysis score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CompetitorPrice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 (PK), business_id (FK), product_id (FK)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competitor_name, price, competitor_url, updated_at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GoogleTrendsData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 (PK), business_id (FK)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keyword, interest_score index, date stamp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ImportBatch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 (PK), business_id (FK)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status, rows_imported count, created_at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Report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 (PK), business_id (FK)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name, type (PDF/CSV/Excel), created_at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Insight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 (PK), business_id (FK), import_batch_id (FK)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title, description, severity, insight_type (warnings/trends)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Prediction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id (PK), business_id (FK), product_id (FK), import_batch_id (FK)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target_date, predicted_sales, predicted_demand_level</w:t>
            </w:r>
          </w:p>
        </w:tc>
      </w:tr>
    </w:tbl>
    <w:p>
      <w:r>
        <w:br/>
      </w:r>
    </w:p>
    <w:p>
      <w:pPr>
        <w:pStyle w:val="Heading2"/>
      </w:pPr>
      <w:r>
        <w:t>Important Model Constraints &amp;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2F2"/>
          </w:tcPr>
          <w:p>
            <w:r>
              <w:rPr>
                <w:b/>
                <w:color w:val="991B1B"/>
                <w:sz w:val="21"/>
              </w:rPr>
              <w:t>⚠️  DANGER ZONE DATA DELETION</w:t>
              <w:br/>
            </w:r>
            <w:r>
              <w:rPr>
                <w:color w:val="991B1B"/>
                <w:sz w:val="20"/>
              </w:rPr>
              <w:t>Deleting or purging 'Company Data' from Settings triggers the deletion of all records in: SalesRecord, InventorySnapshot, CustomerReview, CompetitorPrice, GoogleTrendsData, ImportBatch, Report, Insight, and Prediction models. The Product list and Business profile records remain untouched.</w:t>
            </w:r>
          </w:p>
        </w:tc>
      </w:tr>
    </w:tbl>
    <w:p>
      <w:r>
        <w:br/>
      </w:r>
    </w:p>
    <w:p>
      <w:pPr>
        <w:pStyle w:val="Heading1"/>
      </w:pPr>
      <w:r>
        <w:t>4. Recent Core System Enhancements</w:t>
      </w:r>
    </w:p>
    <w:p>
      <w:r>
        <w:rPr>
          <w:sz w:val="22"/>
        </w:rPr>
        <w:t>Following the initial system launch, several core preferences, alerting, and navigation systems were updated for increased usability, reliability, and security.</w:t>
      </w:r>
    </w:p>
    <w:p>
      <w:pPr>
        <w:pStyle w:val="Heading2"/>
      </w:pPr>
      <w:r>
        <w:t>4.1. Database-Backed UserSettings Persistence</w:t>
      </w:r>
    </w:p>
    <w:p>
      <w:r>
        <w:rPr>
          <w:sz w:val="20"/>
        </w:rPr>
        <w:t>We migrated local storage settings (safety stock level, target CSAT triggers, auto sync frequencies, data import channel) to a custom database-backed model UserSettings (One-to-One linked to User). The frontend now fetches and updates these properties dynamically using GET and PATCH requests at /api/accounts/settings/.</w:t>
      </w:r>
    </w:p>
    <w:p>
      <w:pPr>
        <w:pStyle w:val="Heading2"/>
      </w:pPr>
      <w:r>
        <w:t>4.2. Interactive Notification Hub</w:t>
      </w:r>
    </w:p>
    <w:p>
      <w:r>
        <w:rPr>
          <w:sz w:val="20"/>
        </w:rPr>
        <w:t>The header alert bell was converted into a fully interactive dropdown container. It displays warnings (low stock, competitor price drops) with dynamic badge indicators, a 'Mark all read' action, a 'Clear all' button, and a document mousedown listener to automatically dismiss the popover when clicking outside.</w:t>
      </w:r>
    </w:p>
    <w:p>
      <w:pPr>
        <w:pStyle w:val="Heading2"/>
      </w:pPr>
      <w:r>
        <w:t>4.3. Delete Company Data Action</w:t>
      </w:r>
    </w:p>
    <w:p>
      <w:r>
        <w:rPr>
          <w:sz w:val="20"/>
        </w:rPr>
        <w:t>Users can securely purge transactional metrics of the active business company segment via a custom action POST /api/businesses/{id}/clear-data/ on BusinessViewSet. This drops inventory, sales, review logs, and reports without deleting the company registry record itself. All dialog labels read 'Delete Company Data' for consistency.</w:t>
      </w:r>
    </w:p>
    <w:p>
      <w:pPr>
        <w:pStyle w:val="Heading2"/>
      </w:pPr>
      <w:r>
        <w:t>4.4. Route Navigation Subtab Resets</w:t>
      </w:r>
    </w:p>
    <w:p>
      <w:r>
        <w:rPr>
          <w:sz w:val="20"/>
        </w:rPr>
        <w:t>Subtab panels in Reports, Analytics, DataViewer, and Settings observe router transitions (location.key changes). Clicking a sidebar or navbar route redirects the user back to the default general/overview page tab.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