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tentflow-one-page-report"/>
    <w:p>
      <w:pPr>
        <w:pStyle w:val="Heading1"/>
      </w:pPr>
      <w:r>
        <w:t xml:space="preserve">IntentFlow — One-Page Report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Most websites show the same homepage to every visitor, regardless of why they arrived. Enterprise companies solve this with expensive personalization tools (Optimizely, Dynamic Yield — $50K+ annually). Small and medium businesses, Shopify stores, and independent websites cannot access this technology, leaving massive conversion potential untapped.</w:t>
      </w:r>
    </w:p>
    <w:bookmarkEnd w:id="20"/>
    <w:bookmarkStart w:id="21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rPr>
          <w:b/>
          <w:bCs/>
        </w:rPr>
        <w:t xml:space="preserve">IntentFlow</w:t>
      </w:r>
      <w:r>
        <w:t xml:space="preserve"> </w:t>
      </w:r>
      <w:r>
        <w:t xml:space="preserve">is a plug-and-play AI personalization widget installable via a single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tag. It detects visitor intent from context signals and instantly personalizes the hero section with the optimal template, image, headline, and CTA — all client-side, with zero backend required.</w:t>
      </w:r>
    </w:p>
    <w:bookmarkEnd w:id="21"/>
    <w:bookmarkStart w:id="25" w:name="how-it-works"/>
    <w:p>
      <w:pPr>
        <w:pStyle w:val="Heading2"/>
      </w:pPr>
      <w:r>
        <w:t xml:space="preserve">How It Works</w:t>
      </w:r>
    </w:p>
    <w:p>
      <w:pPr>
        <w:pStyle w:val="CaptionedFigure"/>
      </w:pPr>
      <w:r>
        <w:drawing>
          <wp:inline>
            <wp:extent cx="5334000" cy="2540941"/>
            <wp:effectExtent b="0" l="0" r="0" t="0"/>
            <wp:docPr descr="IntentFlow Architecture" title="" id="23" name="Picture"/>
            <a:graphic>
              <a:graphicData uri="http://schemas.openxmlformats.org/drawingml/2006/picture">
                <pic:pic>
                  <pic:nvPicPr>
                    <pic:cNvPr descr="architecture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IntentFlow Architecture</w:t>
      </w:r>
    </w:p>
    <w:p>
      <w:pPr>
        <w:pStyle w:val="BodyText"/>
      </w:pPr>
      <w:r>
        <w:rPr>
          <w:b/>
          <w:bCs/>
        </w:rPr>
        <w:t xml:space="preserve">Core Pipeline:</w:t>
      </w:r>
      <w:r>
        <w:t xml:space="preserve"> </w:t>
      </w:r>
      <w:r>
        <w:t xml:space="preserve">Visitor → Intent Detector (7 signals) → Decision Engine → DOM Injector → Personalized Hero</w:t>
      </w:r>
    </w:p>
    <w:p>
      <w:pPr>
        <w:pStyle w:val="BodyText"/>
      </w:pPr>
      <w:r>
        <w:rPr>
          <w:b/>
          <w:bCs/>
        </w:rPr>
        <w:t xml:space="preserve">Feedback Loop:</w:t>
      </w:r>
      <w:r>
        <w:t xml:space="preserve"> </w:t>
      </w:r>
      <w:r>
        <w:t xml:space="preserve">Context Observer watches real-time behavior → re-triggers Intent Detector → re-personalizes mid-session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Intent Detection</w:t>
      </w:r>
      <w:r>
        <w:t xml:space="preserve"> </w:t>
      </w:r>
      <w:r>
        <w:t xml:space="preserve">— Analyzes 7 signal types: URL/UTM params, referrer, behavior, persona toggle, device type, time of day, and screen size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Decision Engine</w:t>
      </w:r>
      <w:r>
        <w:t xml:space="preserve"> </w:t>
      </w:r>
      <w:r>
        <w:t xml:space="preserve">— Scores signals, selects the best template and content from a finite registry, outputs an explainable decision object with confidence and reasoning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 Injection</w:t>
      </w:r>
      <w:r>
        <w:t xml:space="preserve"> </w:t>
      </w:r>
      <w:r>
        <w:t xml:space="preserve">— Safely swaps hero content with smooth transitions; graceful fallback on error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Observer</w:t>
      </w:r>
      <w:r>
        <w:t xml:space="preserve"> </w:t>
      </w:r>
      <w:r>
        <w:t xml:space="preserve">— Watches real-time behavior (scroll velocity, clicks, hover dwell, section visibility) and re-personalizes mid-session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A/B Explorer</w:t>
      </w:r>
      <w:r>
        <w:t xml:space="preserve"> </w:t>
      </w:r>
      <w:r>
        <w:t xml:space="preserve">— Random variant split per intent with automatic winner selection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Multi-Page</w:t>
      </w:r>
      <w:r>
        <w:t xml:space="preserve"> </w:t>
      </w:r>
      <w:r>
        <w:t xml:space="preserve">— Page-aware personalization across homepage, product, category, and landing pages</w:t>
      </w:r>
    </w:p>
    <w:bookmarkEnd w:id="25"/>
    <w:bookmarkStart w:id="26" w:name="technical-highlights"/>
    <w:p>
      <w:pPr>
        <w:pStyle w:val="Heading2"/>
      </w:pPr>
      <w:r>
        <w:t xml:space="preserve">Technical Highlights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client-side JavaScript, zero dependencies, no build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Intent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types: UTM/query params, referrer, behavior, persona toggle, device type, time of day, screen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hero layouts: Impact, Comparison, Value — stored as JSON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hero images, 6 badge icons, 5 content variants per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 outputs structured JSON with signals, confidence, and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Re-Personalization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behavioral observer adapts hero DURING visit (IntersectionObserver, scroll velocity, click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Finite templates (no generation), fallback to default, error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overlay (Ctrl+Shift+D), preview mode, event tracking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A/B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variant split per intent, localStorage CTR tracking, auto-winner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Page-aware personalization: homepage, product, category, and landing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funnel, intent distribution, signal breakdown, ROI projections</w:t>
            </w:r>
          </w:p>
        </w:tc>
      </w:tr>
    </w:tbl>
    <w:bookmarkEnd w:id="26"/>
    <w:bookmarkStart w:id="27" w:name="results-demo"/>
    <w:p>
      <w:pPr>
        <w:pStyle w:val="Heading2"/>
      </w:pPr>
      <w:r>
        <w:t xml:space="preserve">Results &amp; Demo</w:t>
      </w:r>
    </w:p>
    <w:p>
      <w:pPr>
        <w:pStyle w:val="FirstParagraph"/>
      </w:pPr>
      <w:r>
        <w:t xml:space="preserve">The demo store (UltraView Monitors) demonstrates 5 distinct hero experiences based on visitor intent: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 Now</w:t>
      </w:r>
      <w:r>
        <w:t xml:space="preserve"> </w:t>
      </w:r>
      <w:r>
        <w:t xml:space="preserve">→ Gaming hero +</w:t>
      </w:r>
      <w:r>
        <w:t xml:space="preserve"> </w:t>
      </w:r>
      <w:r>
        <w:t xml:space="preserve">“</w:t>
      </w:r>
      <w:r>
        <w:t xml:space="preserve">Shop Now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Compare</w:t>
      </w:r>
      <w:r>
        <w:t xml:space="preserve"> </w:t>
      </w:r>
      <w:r>
        <w:t xml:space="preserve">→ Split-screen comparison +</w:t>
      </w:r>
      <w:r>
        <w:t xml:space="preserve"> </w:t>
      </w:r>
      <w:r>
        <w:t xml:space="preserve">“</w:t>
      </w:r>
      <w:r>
        <w:t xml:space="preserve">Compare Models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→ Design studio +</w:t>
      </w:r>
      <w:r>
        <w:t xml:space="preserve"> </w:t>
      </w:r>
      <w:r>
        <w:t xml:space="preserve">“</w:t>
      </w:r>
      <w:r>
        <w:t xml:space="preserve">Explore by Use Case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→ Value-focused +</w:t>
      </w:r>
      <w:r>
        <w:t xml:space="preserve"> </w:t>
      </w:r>
      <w:r>
        <w:t xml:space="preserve">“</w:t>
      </w:r>
      <w:r>
        <w:t xml:space="preserve">View Deals</w:t>
      </w:r>
      <w:r>
        <w:t xml:space="preserve">”</w:t>
      </w:r>
      <w:r>
        <w:t xml:space="preserve"> </w:t>
      </w:r>
      <w:r>
        <w:t xml:space="preserve">CTA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→ Premium general hero</w:t>
      </w:r>
    </w:p>
    <w:p>
      <w:pPr>
        <w:pStyle w:val="BodyText"/>
      </w:pPr>
      <w:r>
        <w:t xml:space="preserve">All variants are accessible via URL parameters (</w:t>
      </w:r>
      <w:r>
        <w:rPr>
          <w:rStyle w:val="VerbatimChar"/>
        </w:rPr>
        <w:t xml:space="preserve">?intent=buy_now</w:t>
      </w:r>
      <w:r>
        <w:t xml:space="preserve">) or the live persona toggle bar.</w:t>
      </w:r>
    </w:p>
    <w:bookmarkEnd w:id="27"/>
    <w:bookmarkStart w:id="29" w:name="market-opportunity"/>
    <w:p>
      <w:pPr>
        <w:pStyle w:val="Heading2"/>
      </w:pPr>
      <w:r>
        <w:t xml:space="preserve">Market Opportunity</w:t>
      </w:r>
    </w:p>
    <w:p>
      <w:pPr>
        <w:pStyle w:val="FirstParagraph"/>
      </w:pPr>
      <w:r>
        <w:t xml:space="preserve">Personalization for the long tail —</w:t>
      </w:r>
      <w:r>
        <w:t xml:space="preserve"> </w:t>
      </w:r>
      <w:r>
        <w:rPr>
          <w:b/>
          <w:bCs/>
        </w:rPr>
        <w:t xml:space="preserve">6M+ Shopify stores</w:t>
      </w:r>
      <w:r>
        <w:t xml:space="preserve">, millions of SMB websites, all currently showing static content. IntentFlow is the</w:t>
      </w:r>
      <w:r>
        <w:t xml:space="preserve"> </w:t>
      </w:r>
      <w:r>
        <w:t xml:space="preserve">“</w:t>
      </w:r>
      <w:r>
        <w:t xml:space="preserve">Stripe for website experiences</w:t>
      </w:r>
      <w:r>
        <w:t xml:space="preserve">”</w:t>
      </w:r>
      <w:r>
        <w:t xml:space="preserve">: simple to install, powerful under the hood. If plug-and-play personalization becomes easy and safe, it becomes a default growth lever for every small business online.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by Yannik Trinn</w:t>
      </w:r>
      <w:r>
        <w:t xml:space="preserve"> </w:t>
      </w:r>
      <w:r>
        <w:t xml:space="preserve">| 4th Hack-Nation Global AI Hackathon 2026 |</w:t>
      </w:r>
      <w:r>
        <w:t xml:space="preserve"> </w:t>
      </w:r>
      <w:hyperlink r:id="rId28">
        <w:r>
          <w:rPr>
            <w:rStyle w:val="Hyperlink"/>
          </w:rPr>
          <w:t xml:space="preserve">github.com/yatrinn/intentflow</w:t>
        </w:r>
      </w:hyperlink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28" Target="https://github.com/yatrinn/intent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yatrinn/intent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2026-02-08T01:24:53Z</dcterms:created>
  <dcterms:modified xsi:type="dcterms:W3CDTF">2026-02-08T01:24:53Z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