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Discrepancy and RCA Report</w:t>
      </w:r>
    </w:p>
    <w:p>
      <w:r>
        <w:t>Date: 12 August 2025</w:t>
      </w:r>
    </w:p>
    <w:p>
      <w:r>
        <w:t>Prepared by: Tejas Gunjal</w:t>
      </w:r>
    </w:p>
    <w:p>
      <w:pPr>
        <w:pStyle w:val="Heading2"/>
      </w:pPr>
      <w:r>
        <w:t>A) vw_rebateext</w:t>
      </w:r>
    </w:p>
    <w:p>
      <w:r>
        <w:t>Problem Statement:</w:t>
        <w:br/>
        <w:t>Data in vw_rebateext is stale because underlying bronze tables are not receiving updated records.</w:t>
        <w:br/>
        <w:t>Affected Tables:</w:t>
        <w:br/>
        <w:t>- ana_prd_bronze.d365.ledgerjournaltrans</w:t>
        <w:br/>
        <w:t>- ana_prd_bronze.d365.generaljournalentry</w:t>
        <w:br/>
        <w:t>- ana_prd_bronze.d365.generaljournalaccountentry</w:t>
        <w:br/>
        <w:t>Observation:</w:t>
        <w:br/>
        <w:t>- Latest snapshots indicate these tables have not been updated recently.</w:t>
        <w:br/>
        <w:t>- This leads to outdated or incomplete results in the dependent view vw_rebateext.</w:t>
        <w:br/>
        <w:t>Impact:</w:t>
        <w:br/>
        <w:t>- All downstream silver/gold views or reports depending on vw_rebateext will reflect outdated journal transaction data.</w:t>
      </w:r>
    </w:p>
    <w:p>
      <w:r>
        <w:t>Evidence:</w:t>
      </w:r>
    </w:p>
    <w:p>
      <w:r>
        <w:drawing>
          <wp:inline xmlns:a="http://schemas.openxmlformats.org/drawingml/2006/main" xmlns:pic="http://schemas.openxmlformats.org/drawingml/2006/picture">
            <wp:extent cx="5029200" cy="16215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7455b1a-64d9-4a38-9a01-3b46c492f58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21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167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cc72b89-024e-464c-8314-1c7f3238ecc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7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174785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243b4e-7677-4c1d-8f05-e5b4cca2d4e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478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17855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9ef076d-b75c-4f82-bf8a-811ce447e52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85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B) ana_prd_silver.edw_stg.vw_freetext_invoice</w:t>
      </w:r>
    </w:p>
    <w:p>
      <w:r>
        <w:t>Problem Statement:</w:t>
        <w:br/>
        <w:t>1) The view definition in Synapse SQL was changed after conversion &amp; deployment to production in Databricks.</w:t>
        <w:br/>
        <w:t>2) Data count mismatch due to differences in underlying bronze data.</w:t>
        <w:br/>
        <w:t>Affected Tables:</w:t>
        <w:br/>
        <w:t>- ana_prd_bronze.d365.CustInvoiceTable</w:t>
        <w:br/>
        <w:t>- ana_prd_bronze.d365.CustInvoiceLine</w:t>
        <w:br/>
        <w:t>Observation:</w:t>
        <w:br/>
        <w:t>- Production view definition is not in sync with the original Synapse SQL definition.</w:t>
        <w:br/>
        <w:t>- Bronze tables have inconsistent or missing data, causing record count differences.</w:t>
        <w:br/>
        <w:t>Impact:</w:t>
        <w:br/>
        <w:t>- Inconsistent invoice reporting between old Synapse environment and new Databricks environment.</w:t>
        <w:br/>
        <w:t>- Possible financial reporting discrepancies.</w:t>
      </w:r>
    </w:p>
    <w:p>
      <w:r>
        <w:t>Evidence:</w:t>
      </w:r>
    </w:p>
    <w:p>
      <w:r>
        <w:drawing>
          <wp:inline xmlns:a="http://schemas.openxmlformats.org/drawingml/2006/main" xmlns:pic="http://schemas.openxmlformats.org/drawingml/2006/picture">
            <wp:extent cx="5029200" cy="96351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cbb6949-1951-421b-ad2e-0d7cb3f8e20f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35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228390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98c8bb-1257-4d3c-93d4-763d9674d2c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839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C) usp_salesline_delta</w:t>
      </w:r>
    </w:p>
    <w:p>
      <w:r>
        <w:t>Problem Statement:</w:t>
        <w:br/>
        <w:t>Data source for vw_ct_dynamic_bundle changed between 11 August and 12 August, resulting in different counts.</w:t>
        <w:br/>
        <w:t>Timeline:</w:t>
        <w:br/>
        <w:t>- 11 August: ana_prd_silver.beanz.vw_ct_dynamic_bundle contained dummy data.</w:t>
        <w:br/>
        <w:t>- 12 August: View recreated from table ana_prd_silver.beanz.ct_dynamic_bundle, which has different data counts.</w:t>
        <w:br/>
        <w:t>Observation:</w:t>
        <w:br/>
        <w:t>- Change in data source from a dummy dataset to actual table without proper change control communication.</w:t>
        <w:br/>
        <w:t>Impact:</w:t>
        <w:br/>
        <w:t>- Historical runs on or before 11 August will not match post-change results.</w:t>
        <w:br/>
        <w:t>- Potential downstream mismatches for dependent logic in usp_salesline_delta.</w:t>
      </w:r>
    </w:p>
    <w:p>
      <w:r>
        <w:t>Evidence: [Insert Image Here]</w:t>
      </w:r>
    </w:p>
    <w:p>
      <w:pPr>
        <w:pStyle w:val="Heading2"/>
      </w:pPr>
      <w:r>
        <w:t>D) usp_LedgerJournalFact_Delta</w:t>
      </w:r>
    </w:p>
    <w:p>
      <w:r>
        <w:t>Problem Statement:</w:t>
        <w:br/>
        <w:t>usp_LedgerJournalFact_Delta uses view vw_LedgerJournalFact, which in turn has underlying tables with mismatched counts.</w:t>
        <w:br/>
        <w:t>Observation:</w:t>
        <w:br/>
        <w:t>- Underlying source tables feeding vw_LedgerJournalFact have discrepancies in row counts compared to expected values.</w:t>
        <w:br/>
        <w:t>- Additional unidentified tables may also have count mismatches.</w:t>
        <w:br/>
        <w:t>Impact:</w:t>
        <w:br/>
        <w:t>- Ledger fact delta processing will be inconsistent.</w:t>
        <w:br/>
        <w:t>- Risk of partial or incorrect financial ledger facts in downstream systems.</w:t>
      </w:r>
    </w:p>
    <w:p>
      <w:r>
        <w:t>Evidence: [Insert Image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