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Структура проекта Завод строительных материалов</w:t>
      </w:r>
    </w:p>
    <w:p>
      <w:pPr>
        <w:spacing w:after="160"/>
      </w:pPr>
      <w:r>
        <w:rPr>
          <w:color w:val="526477"/>
          <w:sz w:val="20"/>
        </w:rPr>
        <w:t>Текущая структура репозитория и назначение основных компонентов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250"/>
      </w:tblGrid>
      <w:tr>
        <w:tc>
          <w:tcPr>
            <w:tcW w:type="dxa" w:w="15250"/>
            <w:shd w:fill="F3F6FA"/>
            <w:tcMar>
              <w:top w:w="130" w:type="dxa"/>
              <w:start w:w="180" w:type="dxa"/>
              <w:bottom w:w="130" w:type="dxa"/>
              <w:end w:w="180" w:type="dxa"/>
            </w:tcMar>
            <w:tcBorders>
              <w:top w:val="single" w:sz="5" w:color="D9E1EA"/>
              <w:left w:val="single" w:sz="5" w:color="D9E1EA"/>
              <w:bottom w:val="single" w:sz="5" w:color="D9E1EA"/>
              <w:right w:val="single" w:sz="5" w:color="D9E1EA"/>
              <w:insideH w:val="single" w:sz="5" w:color="D9E1EA"/>
              <w:insideV w:val="single" w:sz="5" w:color="D9E1EA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233346"/>
                <w:sz w:val="16"/>
              </w:rPr>
              <w:t>smart_factory/</w:t>
              <w:br/>
              <w:t>├── data/</w:t>
              <w:br/>
              <w:t>│   └── plant.yaml                         описание завода, цехов и оборудования</w:t>
              <w:br/>
              <w:t>├── docs/</w:t>
              <w:br/>
              <w:t>│   ├── architecture.md                    архитектура системы</w:t>
              <w:br/>
              <w:t>│   ├── ipr-roadmap.md                     план работ по ИПР</w:t>
              <w:br/>
              <w:t>│   ├── plant-scheme.png                   схема завода</w:t>
              <w:br/>
              <w:t>│   └── plant.md                           описание площадки</w:t>
              <w:br/>
              <w:t>├── infra/</w:t>
              <w:br/>
              <w:t>│   ├── docker-compose.yml                 запуск сервисов и инфраструктуры</w:t>
              <w:br/>
              <w:t>│   ├── README.md                           инструкция по инфраструктуре</w:t>
              <w:br/>
              <w:t>│   └── observability/</w:t>
              <w:br/>
              <w:t>│       ├── prometheus.yml                 настройка сбора метрик</w:t>
              <w:br/>
              <w:t>│       └── grafana/</w:t>
              <w:br/>
              <w:t>│           ├── dashboards/                общий и ПТО-дашборды</w:t>
              <w:br/>
              <w:t>│           └── provisioning/              источники данных и загрузка дашбордов</w:t>
              <w:br/>
              <w:t>├── packages/contracts/</w:t>
              <w:br/>
              <w:t>│   ├── schemas/                            JSON-контракты данных и оборудования</w:t>
              <w:br/>
              <w:t>│   └── README.md                           описание контрактов</w:t>
              <w:br/>
              <w:t>├── services/</w:t>
              <w:br/>
              <w:t>│   ├── catalog/                            каталог завода, цехов и оборудования</w:t>
              <w:br/>
              <w:t>│   ├── ktp/                                пока документация по КТП</w:t>
              <w:br/>
              <w:t>│   ├── maintenance/                        ПТО: оборудование, планы, заявки, история</w:t>
              <w:br/>
              <w:t>│   ├── production/                         производственные данные и заказы</w:t>
              <w:br/>
              <w:t>│   ├── simulator/                          генератор тестовых данных</w:t>
              <w:br/>
              <w:t>│   └── telemetry/                          приём и отображение показаний датчиков</w:t>
              <w:br/>
              <w:t>├── .env.example                            пример переменных окружения</w:t>
              <w:br/>
              <w:t>├── Makefile                                команды разработки и запуска</w:t>
              <w:br/>
              <w:t>└── README.md                               главная документация проекта</w:t>
            </w:r>
          </w:p>
        </w:tc>
      </w:tr>
    </w:tbl>
    <w:p>
      <w:pPr>
        <w:spacing w:before="120" w:after="60"/>
      </w:pPr>
      <w:r>
        <w:rPr>
          <w:b/>
          <w:color w:val="000000"/>
          <w:sz w:val="22"/>
        </w:rPr>
        <w:t>Как устроена система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498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D9E1EA"/>
              <w:left w:val="single" w:sz="5" w:color="D9E1EA"/>
              <w:bottom w:val="single" w:sz="5" w:color="D9E1EA"/>
              <w:right w:val="single" w:sz="5" w:color="D9E1EA"/>
              <w:insideH w:val="single" w:sz="5" w:color="D9E1EA"/>
              <w:insideV w:val="single" w:sz="5" w:color="D9E1EA"/>
            </w:tcBorders>
            <w:shd w:fill="FFFFFF"/>
          </w:tcPr>
          <w:p>
            <w:pPr>
              <w:spacing w:after="40"/>
            </w:pPr>
            <w:r>
              <w:rPr>
                <w:b/>
                <w:sz w:val="18"/>
              </w:rPr>
              <w:t>Каталог и цеха</w:t>
            </w:r>
          </w:p>
          <w:p>
            <w:pPr>
              <w:spacing w:after="40"/>
            </w:pPr>
            <w:r>
              <w:rPr>
                <w:rFonts w:ascii="Consolas" w:hAnsi="Consolas"/>
                <w:color w:val="265C91"/>
                <w:sz w:val="15"/>
              </w:rPr>
              <w:t>catalog + plant.yaml</w:t>
            </w:r>
          </w:p>
          <w:p>
            <w:pPr>
              <w:spacing w:after="0"/>
            </w:pPr>
            <w:r>
              <w:rPr>
                <w:sz w:val="16"/>
              </w:rPr>
              <w:t>Единое описание площадки и перечня оборудования.</w:t>
            </w:r>
          </w:p>
        </w:tc>
        <w:tc>
          <w:tcPr>
            <w:tcW w:type="dxa" w:w="5329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D9E1EA"/>
              <w:left w:val="single" w:sz="5" w:color="D9E1EA"/>
              <w:bottom w:val="single" w:sz="5" w:color="D9E1EA"/>
              <w:right w:val="single" w:sz="5" w:color="D9E1EA"/>
              <w:insideH w:val="single" w:sz="5" w:color="D9E1EA"/>
              <w:insideV w:val="single" w:sz="5" w:color="D9E1EA"/>
            </w:tcBorders>
            <w:shd w:fill="F7F9FC"/>
          </w:tcPr>
          <w:p>
            <w:pPr>
              <w:spacing w:after="40"/>
            </w:pPr>
            <w:r>
              <w:rPr>
                <w:b/>
                <w:sz w:val="18"/>
              </w:rPr>
              <w:t>Датчики и производство</w:t>
            </w:r>
          </w:p>
          <w:p>
            <w:pPr>
              <w:spacing w:after="40"/>
            </w:pPr>
            <w:r>
              <w:rPr>
                <w:rFonts w:ascii="Consolas" w:hAnsi="Consolas"/>
                <w:color w:val="265C91"/>
                <w:sz w:val="15"/>
              </w:rPr>
              <w:t>telemetry + simulator + production</w:t>
            </w:r>
          </w:p>
          <w:p>
            <w:pPr>
              <w:spacing w:after="0"/>
            </w:pPr>
            <w:r>
              <w:rPr>
                <w:sz w:val="16"/>
              </w:rPr>
              <w:t>Поток показаний, тестовая генерация и производственные данные.</w:t>
            </w:r>
          </w:p>
        </w:tc>
        <w:tc>
          <w:tcPr>
            <w:tcW w:type="dxa" w:w="4932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5" w:color="D9E1EA"/>
              <w:left w:val="single" w:sz="5" w:color="D9E1EA"/>
              <w:bottom w:val="single" w:sz="5" w:color="D9E1EA"/>
              <w:right w:val="single" w:sz="5" w:color="D9E1EA"/>
              <w:insideH w:val="single" w:sz="5" w:color="D9E1EA"/>
              <w:insideV w:val="single" w:sz="5" w:color="D9E1EA"/>
            </w:tcBorders>
            <w:shd w:fill="FFFFFF"/>
          </w:tcPr>
          <w:p>
            <w:pPr>
              <w:spacing w:after="40"/>
            </w:pPr>
            <w:r>
              <w:rPr>
                <w:b/>
                <w:sz w:val="18"/>
              </w:rPr>
              <w:t>ПТО и мониторинг</w:t>
            </w:r>
          </w:p>
          <w:p>
            <w:pPr>
              <w:spacing w:after="40"/>
            </w:pPr>
            <w:r>
              <w:rPr>
                <w:rFonts w:ascii="Consolas" w:hAnsi="Consolas"/>
                <w:color w:val="265C91"/>
                <w:sz w:val="15"/>
              </w:rPr>
              <w:t>maintenance + Prometheus + Grafana</w:t>
            </w:r>
          </w:p>
          <w:p>
            <w:pPr>
              <w:spacing w:after="0"/>
            </w:pPr>
            <w:r>
              <w:rPr>
                <w:sz w:val="16"/>
              </w:rPr>
              <w:t>Планы обслуживания, наработка, заявки, метрики и дашборды.</w:t>
            </w:r>
          </w:p>
        </w:tc>
      </w:tr>
    </w:tbl>
    <w:p>
      <w:pPr>
        <w:spacing w:before="100" w:after="0"/>
      </w:pPr>
      <w:r>
        <w:rPr>
          <w:b/>
          <w:sz w:val="16"/>
        </w:rPr>
        <w:t xml:space="preserve">Примечание. </w:t>
      </w:r>
      <w:r>
        <w:rPr>
          <w:sz w:val="16"/>
        </w:rPr>
        <w:t>Grafana и Prometheus настроены в проекте, но контейнеры пока не запущены. Папка services/ktp пока содержит документацию, отдельный API КТП ещё не реализован.</w:t>
      </w:r>
    </w:p>
    <w:sectPr w:rsidR="00FC693F" w:rsidRPr="0006063C" w:rsidSect="00034616">
      <w:pgSz w:w="16838" w:h="11906" w:orient="landscape"/>
      <w:pgMar w:top="680" w:right="794" w:bottom="62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8344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проекта Завод строительных материалов</dc:title>
  <dc:subject>Актуальное дерево каталогов и компонентов проекта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