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mbria" w:cs="Cambria" w:eastAsia="Cambria" w:hAnsi="Cambria"/>
          <w:b/>
          <w:bCs/>
          <w:color w:val="0B4F9C"/>
          <w:sz w:val="44"/>
          <w:szCs w:val="44"/>
        </w:rPr>
        <w:t xml:space="preserve">Tata Power EV Charging Infrastructure Analytics</w:t>
      </w:r>
    </w:p>
    <w:p>
      <w:pPr>
        <w:spacing w:after="60"/>
      </w:pPr>
      <w:r>
        <w:rPr>
          <w:rFonts w:ascii="Calibri" w:cs="Calibri" w:eastAsia="Calibri" w:hAnsi="Calibri"/>
          <w:b/>
          <w:bCs/>
          <w:color w:val="00A99D"/>
          <w:sz w:val="24"/>
          <w:szCs w:val="24"/>
        </w:rPr>
        <w:t xml:space="preserve">Milestone Project 1: findings and expansion recommendations</w:t>
      </w:r>
    </w:p>
    <w:p>
      <w:pPr>
        <w:spacing w:after="120"/>
      </w:pPr>
      <w:r>
        <w:rPr>
          <w:rFonts w:ascii="Calibri" w:cs="Calibri" w:eastAsia="Calibri" w:hAnsi="Calibri"/>
          <w:color w:val="5B6B7B"/>
          <w:sz w:val="17"/>
          <w:szCs w:val="17"/>
        </w:rPr>
        <w:t xml:space="preserve">Data window 11 Aug – 8 Nov 2024  |  Prepared by Yavan Pratap, Cohort 13, WsCube Tech  |  Tools: Excel, Power Query, Power Pivot, DAX</w:t>
      </w:r>
    </w:p>
    <w:tbl>
      <w:tblPr>
        <w:tblW w:type="dxa" w:w="9905"/>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1"/>
      </w:tblGrid>
      <w:tr>
        <w:tc>
          <w:tcPr>
            <w:tcW w:type="dxa" w:w="1981"/>
            <w:tcBorders>
              <w:top w:val="single" w:color="0B4F9C" w:sz="18"/>
              <w:left w:val="single" w:color="FFFFFF" w:sz="12"/>
              <w:bottom w:val="none" w:color="FFFFFF" w:sz="0"/>
              <w:right w:val="single" w:color="FFFFFF" w:sz="12"/>
            </w:tcBorders>
            <w:shd w:fill="EAF3FB" w:color="auto" w:val="clear"/>
            <w:tcMar>
              <w:top w:type="dxa" w:w="70"/>
              <w:left w:type="dxa" w:w="80"/>
              <w:bottom w:type="dxa" w:w="70"/>
              <w:right w:type="dxa" w:w="80"/>
            </w:tcMar>
          </w:tcPr>
          <w:p>
            <w:pPr>
              <w:jc w:val="center"/>
            </w:pPr>
            <w:r>
              <w:rPr>
                <w:rFonts w:ascii="Cambria" w:cs="Cambria" w:eastAsia="Cambria" w:hAnsi="Cambria"/>
                <w:b/>
                <w:bCs/>
                <w:color w:val="0B4F9C"/>
                <w:sz w:val="30"/>
                <w:szCs w:val="30"/>
              </w:rPr>
              <w:t xml:space="preserve">114,000</w:t>
            </w:r>
          </w:p>
          <w:p>
            <w:pPr>
              <w:jc w:val="center"/>
            </w:pPr>
            <w:r>
              <w:rPr>
                <w:rFonts w:ascii="Calibri" w:cs="Calibri" w:eastAsia="Calibri" w:hAnsi="Calibri"/>
                <w:color w:val="5B6B7B"/>
                <w:sz w:val="16"/>
                <w:szCs w:val="16"/>
              </w:rPr>
              <w:t xml:space="preserve">Charging sessions</w:t>
            </w:r>
          </w:p>
        </w:tc>
        <w:tc>
          <w:tcPr>
            <w:tcW w:type="dxa" w:w="1981"/>
            <w:tcBorders>
              <w:top w:val="single" w:color="00A99D" w:sz="18"/>
              <w:left w:val="single" w:color="FFFFFF" w:sz="12"/>
              <w:bottom w:val="none" w:color="FFFFFF" w:sz="0"/>
              <w:right w:val="single" w:color="FFFFFF" w:sz="12"/>
            </w:tcBorders>
            <w:shd w:fill="EAF3FB" w:color="auto" w:val="clear"/>
            <w:tcMar>
              <w:top w:type="dxa" w:w="70"/>
              <w:left w:type="dxa" w:w="80"/>
              <w:bottom w:type="dxa" w:w="70"/>
              <w:right w:type="dxa" w:w="80"/>
            </w:tcMar>
          </w:tcPr>
          <w:p>
            <w:pPr>
              <w:jc w:val="center"/>
            </w:pPr>
            <w:r>
              <w:rPr>
                <w:rFonts w:ascii="Cambria" w:cs="Cambria" w:eastAsia="Cambria" w:hAnsi="Cambria"/>
                <w:b/>
                <w:bCs/>
                <w:color w:val="0B4F9C"/>
                <w:sz w:val="30"/>
                <w:szCs w:val="30"/>
              </w:rPr>
              <w:t xml:space="preserve">2.86 M kWh</w:t>
            </w:r>
          </w:p>
          <w:p>
            <w:pPr>
              <w:jc w:val="center"/>
            </w:pPr>
            <w:r>
              <w:rPr>
                <w:rFonts w:ascii="Calibri" w:cs="Calibri" w:eastAsia="Calibri" w:hAnsi="Calibri"/>
                <w:color w:val="5B6B7B"/>
                <w:sz w:val="16"/>
                <w:szCs w:val="16"/>
              </w:rPr>
              <w:t xml:space="preserve">Energy delivered</w:t>
            </w:r>
          </w:p>
        </w:tc>
        <w:tc>
          <w:tcPr>
            <w:tcW w:type="dxa" w:w="1981"/>
            <w:tcBorders>
              <w:top w:val="single" w:color="0B4F9C" w:sz="18"/>
              <w:left w:val="single" w:color="FFFFFF" w:sz="12"/>
              <w:bottom w:val="none" w:color="FFFFFF" w:sz="0"/>
              <w:right w:val="single" w:color="FFFFFF" w:sz="12"/>
            </w:tcBorders>
            <w:shd w:fill="EAF3FB" w:color="auto" w:val="clear"/>
            <w:tcMar>
              <w:top w:type="dxa" w:w="70"/>
              <w:left w:type="dxa" w:w="80"/>
              <w:bottom w:type="dxa" w:w="70"/>
              <w:right w:type="dxa" w:w="80"/>
            </w:tcMar>
          </w:tcPr>
          <w:p>
            <w:pPr>
              <w:jc w:val="center"/>
            </w:pPr>
            <w:r>
              <w:rPr>
                <w:rFonts w:ascii="Cambria" w:cs="Cambria" w:eastAsia="Cambria" w:hAnsi="Cambria"/>
                <w:b/>
                <w:bCs/>
                <w:color w:val="0B4F9C"/>
                <w:sz w:val="30"/>
                <w:szCs w:val="30"/>
              </w:rPr>
              <w:t xml:space="preserve">₹4.97 Cr</w:t>
            </w:r>
          </w:p>
          <w:p>
            <w:pPr>
              <w:jc w:val="center"/>
            </w:pPr>
            <w:r>
              <w:rPr>
                <w:rFonts w:ascii="Calibri" w:cs="Calibri" w:eastAsia="Calibri" w:hAnsi="Calibri"/>
                <w:color w:val="5B6B7B"/>
                <w:sz w:val="16"/>
                <w:szCs w:val="16"/>
              </w:rPr>
              <w:t xml:space="preserve">Revenue (₹17.4/kWh)</w:t>
            </w:r>
          </w:p>
        </w:tc>
        <w:tc>
          <w:tcPr>
            <w:tcW w:type="dxa" w:w="1981"/>
            <w:tcBorders>
              <w:top w:val="single" w:color="00A99D" w:sz="18"/>
              <w:left w:val="single" w:color="FFFFFF" w:sz="12"/>
              <w:bottom w:val="none" w:color="FFFFFF" w:sz="0"/>
              <w:right w:val="single" w:color="FFFFFF" w:sz="12"/>
            </w:tcBorders>
            <w:shd w:fill="EAF3FB" w:color="auto" w:val="clear"/>
            <w:tcMar>
              <w:top w:type="dxa" w:w="70"/>
              <w:left w:type="dxa" w:w="80"/>
              <w:bottom w:type="dxa" w:w="70"/>
              <w:right w:type="dxa" w:w="80"/>
            </w:tcMar>
          </w:tcPr>
          <w:p>
            <w:pPr>
              <w:jc w:val="center"/>
            </w:pPr>
            <w:r>
              <w:rPr>
                <w:rFonts w:ascii="Cambria" w:cs="Cambria" w:eastAsia="Cambria" w:hAnsi="Cambria"/>
                <w:b/>
                <w:bCs/>
                <w:color w:val="0B4F9C"/>
                <w:sz w:val="30"/>
                <w:szCs w:val="30"/>
              </w:rPr>
              <w:t xml:space="preserve">8,000</w:t>
            </w:r>
          </w:p>
          <w:p>
            <w:pPr>
              <w:jc w:val="center"/>
            </w:pPr>
            <w:r>
              <w:rPr>
                <w:rFonts w:ascii="Calibri" w:cs="Calibri" w:eastAsia="Calibri" w:hAnsi="Calibri"/>
                <w:color w:val="5B6B7B"/>
                <w:sz w:val="16"/>
                <w:szCs w:val="16"/>
              </w:rPr>
              <w:t xml:space="preserve">Customers</w:t>
            </w:r>
          </w:p>
        </w:tc>
        <w:tc>
          <w:tcPr>
            <w:tcW w:type="dxa" w:w="1981"/>
            <w:tcBorders>
              <w:top w:val="single" w:color="0B4F9C" w:sz="18"/>
              <w:left w:val="single" w:color="FFFFFF" w:sz="12"/>
              <w:bottom w:val="none" w:color="FFFFFF" w:sz="0"/>
              <w:right w:val="single" w:color="FFFFFF" w:sz="12"/>
            </w:tcBorders>
            <w:shd w:fill="EAF3FB" w:color="auto" w:val="clear"/>
            <w:tcMar>
              <w:top w:type="dxa" w:w="70"/>
              <w:left w:type="dxa" w:w="80"/>
              <w:bottom w:type="dxa" w:w="70"/>
              <w:right w:type="dxa" w:w="80"/>
            </w:tcMar>
          </w:tcPr>
          <w:p>
            <w:pPr>
              <w:jc w:val="center"/>
            </w:pPr>
            <w:r>
              <w:rPr>
                <w:rFonts w:ascii="Cambria" w:cs="Cambria" w:eastAsia="Cambria" w:hAnsi="Cambria"/>
                <w:b/>
                <w:bCs/>
                <w:color w:val="0B4F9C"/>
                <w:sz w:val="30"/>
                <w:szCs w:val="30"/>
              </w:rPr>
              <w:t xml:space="preserve">₹436</w:t>
            </w:r>
          </w:p>
          <w:p>
            <w:pPr>
              <w:jc w:val="center"/>
            </w:pPr>
            <w:r>
              <w:rPr>
                <w:rFonts w:ascii="Calibri" w:cs="Calibri" w:eastAsia="Calibri" w:hAnsi="Calibri"/>
                <w:color w:val="5B6B7B"/>
                <w:sz w:val="16"/>
                <w:szCs w:val="16"/>
              </w:rPr>
              <w:t xml:space="preserve">Revenue / session</w:t>
            </w:r>
          </w:p>
        </w:tc>
      </w:tr>
    </w:tbl>
    <w:p>
      <w:pPr>
        <w:keepNext/>
        <w:pBdr>
          <w:bottom w:val="single" w:color="00A99D" w:sz="6" w:space="2"/>
        </w:pBdr>
        <w:spacing w:after="70" w:before="160"/>
      </w:pPr>
      <w:r>
        <w:rPr>
          <w:rFonts w:ascii="Cambria" w:cs="Cambria" w:eastAsia="Cambria" w:hAnsi="Cambria"/>
          <w:b/>
          <w:bCs/>
          <w:color w:val="0B4F9C"/>
          <w:sz w:val="26"/>
          <w:szCs w:val="26"/>
        </w:rPr>
        <w:t xml:space="preserve">1. Executive summary</w:t>
      </w:r>
    </w:p>
    <w:p>
      <w:pPr>
        <w:spacing w:after="80" w:line="264"/>
      </w:pPr>
      <w:r>
        <w:rPr>
          <w:rFonts w:ascii="Calibri" w:cs="Calibri" w:eastAsia="Calibri" w:hAnsi="Calibri"/>
          <w:color w:val="1F2D3D"/>
          <w:sz w:val="20"/>
          <w:szCs w:val="20"/>
        </w:rPr>
        <w:t xml:space="preserve">Tata Power’s Bengaluru network of 65 stations (390 plugs) delivered 2.86 million kWh across 114,000 sessions, earning ₹4.97 crore. Demand is steady rather than growing, at about 1,280 sessions and 32,100 kWh a day. The real differences are in when, where and who:</w:t>
      </w:r>
    </w:p>
    <w:p>
      <w:pPr>
        <w:pStyle w:val="ListParagraph"/>
        <w:numPr>
          <w:ilvl w:val="0"/>
          <w:numId w:val="2"/>
        </w:numPr>
        <w:spacing w:after="40" w:line="259"/>
      </w:pPr>
      <w:r>
        <w:rPr>
          <w:rFonts w:ascii="Calibri" w:cs="Calibri" w:eastAsia="Calibri" w:hAnsi="Calibri"/>
          <w:b/>
          <w:bCs/>
          <w:color w:val="1F2D3D"/>
          <w:sz w:val="20"/>
          <w:szCs w:val="20"/>
        </w:rPr>
        <w:t xml:space="preserve">Time of day: </w:t>
      </w:r>
      <w:r>
        <w:rPr>
          <w:rFonts w:ascii="Calibri" w:cs="Calibri" w:eastAsia="Calibri" w:hAnsi="Calibri"/>
          <w:color w:val="1F2D3D"/>
          <w:sz w:val="20"/>
          <w:szCs w:val="20"/>
        </w:rPr>
        <w:t xml:space="preserve">08:00–15:59 carries 50% of energy and 16:00–19:59 another 20%; overnight plugs run at only 39% of peak load.</w:t>
      </w:r>
    </w:p>
    <w:p>
      <w:pPr>
        <w:pStyle w:val="ListParagraph"/>
        <w:numPr>
          <w:ilvl w:val="0"/>
          <w:numId w:val="2"/>
        </w:numPr>
        <w:spacing w:after="40" w:line="259"/>
      </w:pPr>
      <w:r>
        <w:rPr>
          <w:rFonts w:ascii="Calibri" w:cs="Calibri" w:eastAsia="Calibri" w:hAnsi="Calibri"/>
          <w:b/>
          <w:bCs/>
          <w:color w:val="1F2D3D"/>
          <w:sz w:val="20"/>
          <w:szCs w:val="20"/>
        </w:rPr>
        <w:t xml:space="preserve">Customers: </w:t>
      </w:r>
      <w:r>
        <w:rPr>
          <w:rFonts w:ascii="Calibri" w:cs="Calibri" w:eastAsia="Calibri" w:hAnsi="Calibri"/>
          <w:color w:val="1F2D3D"/>
          <w:sz w:val="20"/>
          <w:szCs w:val="20"/>
        </w:rPr>
        <w:t xml:space="preserve">Mid-Range income customers pay ₹23.12/kWh against ₹13.85–14.48 for the other tiers, giving 48% of revenue from 36% of energy.</w:t>
      </w:r>
    </w:p>
    <w:p>
      <w:pPr>
        <w:pStyle w:val="ListParagraph"/>
        <w:numPr>
          <w:ilvl w:val="0"/>
          <w:numId w:val="2"/>
        </w:numPr>
        <w:spacing w:after="40" w:line="259"/>
      </w:pPr>
      <w:r>
        <w:rPr>
          <w:rFonts w:ascii="Calibri" w:cs="Calibri" w:eastAsia="Calibri" w:hAnsi="Calibri"/>
          <w:b/>
          <w:bCs/>
          <w:color w:val="1F2D3D"/>
          <w:sz w:val="20"/>
          <w:szCs w:val="20"/>
        </w:rPr>
        <w:t xml:space="preserve">Economics: </w:t>
      </w:r>
      <w:r>
        <w:rPr>
          <w:rFonts w:ascii="Calibri" w:cs="Calibri" w:eastAsia="Calibri" w:hAnsi="Calibri"/>
          <w:color w:val="1F2D3D"/>
          <w:sz w:val="20"/>
          <w:szCs w:val="20"/>
        </w:rPr>
        <w:t xml:space="preserve">70% EBITDA margin on ₹13,922 lakh of planned CAPEX, but a 4.3-year payback (4.1 with subsidy) and a 16% five-year portfolio ROI.</w:t>
      </w:r>
    </w:p>
    <w:p>
      <w:pPr>
        <w:pStyle w:val="ListParagraph"/>
        <w:numPr>
          <w:ilvl w:val="0"/>
          <w:numId w:val="2"/>
        </w:numPr>
        <w:spacing w:after="40" w:line="259"/>
      </w:pPr>
      <w:r>
        <w:rPr>
          <w:rFonts w:ascii="Calibri" w:cs="Calibri" w:eastAsia="Calibri" w:hAnsi="Calibri"/>
          <w:b/>
          <w:bCs/>
          <w:color w:val="1F2D3D"/>
          <w:sz w:val="20"/>
          <w:szCs w:val="20"/>
        </w:rPr>
        <w:t xml:space="preserve">Expansion: </w:t>
      </w:r>
      <w:r>
        <w:rPr>
          <w:rFonts w:ascii="Calibri" w:cs="Calibri" w:eastAsia="Calibri" w:hAnsi="Calibri"/>
          <w:color w:val="1F2D3D"/>
          <w:sz w:val="20"/>
          <w:szCs w:val="20"/>
        </w:rPr>
        <w:t xml:space="preserve">Plugs must grow from 390 to 1,067 (+677). Jayanagar, HSR Layout and Banashankari combine strong ROI with a large gap and should go first.</w:t>
      </w:r>
    </w:p>
    <w:p>
      <w:pPr>
        <w:keepNext/>
        <w:pBdr>
          <w:bottom w:val="single" w:color="00A99D" w:sz="6" w:space="2"/>
        </w:pBdr>
        <w:spacing w:after="70" w:before="160"/>
      </w:pPr>
      <w:r>
        <w:rPr>
          <w:rFonts w:ascii="Cambria" w:cs="Cambria" w:eastAsia="Cambria" w:hAnsi="Cambria"/>
          <w:b/>
          <w:bCs/>
          <w:color w:val="0B4F9C"/>
          <w:sz w:val="26"/>
          <w:szCs w:val="26"/>
        </w:rPr>
        <w:t xml:space="preserve">2. Network usage and station utilisation</w:t>
      </w:r>
    </w:p>
    <w:p>
      <w:pPr>
        <w:spacing w:after="80" w:line="264"/>
      </w:pPr>
      <w:r>
        <w:rPr>
          <w:rFonts w:ascii="Calibri" w:cs="Calibri" w:eastAsia="Calibri" w:hAnsi="Calibri"/>
          <w:color w:val="1F2D3D"/>
          <w:sz w:val="20"/>
          <w:szCs w:val="20"/>
        </w:rPr>
        <w:t xml:space="preserve">Sessions are spread almost evenly: 1,754 sessions and 43,996 kWh per station, or 292 per plug (range 287 in Banashankari to 297 in HSR Layout and Electronic City). The busiest station (24) logged 1,862 sessions, 6.2% above average; the weakest (75) logged 1,635, 6.8% below, with stations 155 and 151 also at the low end. Station density is 5 per district in 3 districts, 4 in 7, 3 in 6 and 2 in just 2. Each customer averages 14.25 sessions, 357.5 kWh and ₹6,212 of revenue; an average session is 25.09 kWh and ₹435.91.</w:t>
      </w:r>
    </w:p>
    <w:p>
      <w:pPr>
        <w:spacing w:after="60" w:before="60"/>
        <w:jc w:val="center"/>
      </w:pPr>
      <w:r>
        <w:drawing>
          <wp:inline distT="0" distB="0" distL="0" distR="0">
            <wp:extent cx="5334000" cy="1800225"/>
            <wp:effectExtent t="0" r="0" b="0" l="0"/>
            <wp:docPr id="1" name="charts" descr="Hourly energy delivered and plug gap by district" title="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00225"/>
                    </a:xfrm>
                    <a:prstGeom prst="rect">
                      <a:avLst/>
                    </a:prstGeom>
                  </pic:spPr>
                </pic:pic>
              </a:graphicData>
            </a:graphic>
          </wp:inline>
        </w:drawing>
      </w:r>
    </w:p>
    <w:p>
      <w:pPr>
        <w:keepNext/>
        <w:pBdr>
          <w:bottom w:val="single" w:color="00A99D" w:sz="6" w:space="2"/>
        </w:pBdr>
        <w:spacing w:after="70" w:before="160"/>
      </w:pPr>
      <w:r>
        <w:rPr>
          <w:rFonts w:ascii="Cambria" w:cs="Cambria" w:eastAsia="Cambria" w:hAnsi="Cambria"/>
          <w:b/>
          <w:bCs/>
          <w:color w:val="0B4F9C"/>
          <w:sz w:val="26"/>
          <w:szCs w:val="26"/>
        </w:rPr>
        <w:t xml:space="preserve">3. Customers and vehicles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700"/>
        <w:gridCol w:w="1600"/>
        <w:gridCol w:w="1400"/>
        <w:gridCol w:w="1806"/>
      </w:tblGrid>
      <w:tr>
        <w:trPr>
          <w:tblHeader/>
        </w:trPr>
        <w:tc>
          <w:tcPr>
            <w:tcW w:type="dxa" w:w="1900"/>
            <w:tcBorders>
              <w:top w:val="single" w:color="C5D3E3" w:sz="4"/>
              <w:left w:val="single" w:color="C5D3E3" w:sz="4"/>
              <w:bottom w:val="single" w:color="C5D3E3" w:sz="4"/>
              <w:right w:val="single" w:color="C5D3E3" w:sz="4"/>
            </w:tcBorders>
            <w:shd w:fill="0B4F9C" w:color="auto" w:val="clear"/>
            <w:tcMar>
              <w:top w:type="dxa" w:w="45"/>
              <w:left w:type="dxa" w:w="90"/>
              <w:bottom w:type="dxa" w:w="45"/>
              <w:right w:type="dxa" w:w="90"/>
            </w:tcMar>
            <w:vAlign w:val="center"/>
          </w:tcPr>
          <w:p>
            <w:pPr>
              <w:jc w:val="left"/>
            </w:pPr>
            <w:r>
              <w:rPr>
                <w:rFonts w:ascii="Calibri" w:cs="Calibri" w:eastAsia="Calibri" w:hAnsi="Calibri"/>
                <w:b/>
                <w:bCs/>
                <w:color w:val="FFFFFF"/>
                <w:sz w:val="18"/>
                <w:szCs w:val="18"/>
              </w:rPr>
              <w:t xml:space="preserve">Income tier</w:t>
            </w:r>
          </w:p>
        </w:tc>
        <w:tc>
          <w:tcPr>
            <w:tcW w:type="dxa" w:w="1500"/>
            <w:tcBorders>
              <w:top w:val="single" w:color="C5D3E3" w:sz="4"/>
              <w:left w:val="single" w:color="C5D3E3" w:sz="4"/>
              <w:bottom w:val="single" w:color="C5D3E3" w:sz="4"/>
              <w:right w:val="single" w:color="C5D3E3" w:sz="4"/>
            </w:tcBorders>
            <w:shd w:fill="0B4F9C" w:color="auto" w:val="clear"/>
            <w:tcMar>
              <w:top w:type="dxa" w:w="45"/>
              <w:left w:type="dxa" w:w="90"/>
              <w:bottom w:type="dxa" w:w="45"/>
              <w:right w:type="dxa" w:w="90"/>
            </w:tcMar>
            <w:vAlign w:val="center"/>
          </w:tcPr>
          <w:p>
            <w:pPr>
              <w:jc w:val="right"/>
            </w:pPr>
            <w:r>
              <w:rPr>
                <w:rFonts w:ascii="Calibri" w:cs="Calibri" w:eastAsia="Calibri" w:hAnsi="Calibri"/>
                <w:b/>
                <w:bCs/>
                <w:color w:val="FFFFFF"/>
                <w:sz w:val="18"/>
                <w:szCs w:val="18"/>
              </w:rPr>
              <w:t xml:space="preserve">Customers</w:t>
            </w:r>
          </w:p>
        </w:tc>
        <w:tc>
          <w:tcPr>
            <w:tcW w:type="dxa" w:w="1700"/>
            <w:tcBorders>
              <w:top w:val="single" w:color="C5D3E3" w:sz="4"/>
              <w:left w:val="single" w:color="C5D3E3" w:sz="4"/>
              <w:bottom w:val="single" w:color="C5D3E3" w:sz="4"/>
              <w:right w:val="single" w:color="C5D3E3" w:sz="4"/>
            </w:tcBorders>
            <w:shd w:fill="0B4F9C" w:color="auto" w:val="clear"/>
            <w:tcMar>
              <w:top w:type="dxa" w:w="45"/>
              <w:left w:type="dxa" w:w="90"/>
              <w:bottom w:type="dxa" w:w="45"/>
              <w:right w:type="dxa" w:w="90"/>
            </w:tcMar>
            <w:vAlign w:val="center"/>
          </w:tcPr>
          <w:p>
            <w:pPr>
              <w:jc w:val="right"/>
            </w:pPr>
            <w:r>
              <w:rPr>
                <w:rFonts w:ascii="Calibri" w:cs="Calibri" w:eastAsia="Calibri" w:hAnsi="Calibri"/>
                <w:b/>
                <w:bCs/>
                <w:color w:val="FFFFFF"/>
                <w:sz w:val="18"/>
                <w:szCs w:val="18"/>
              </w:rPr>
              <w:t xml:space="preserve">Revenue (₹ lakh)</w:t>
            </w:r>
          </w:p>
        </w:tc>
        <w:tc>
          <w:tcPr>
            <w:tcW w:type="dxa" w:w="1600"/>
            <w:tcBorders>
              <w:top w:val="single" w:color="C5D3E3" w:sz="4"/>
              <w:left w:val="single" w:color="C5D3E3" w:sz="4"/>
              <w:bottom w:val="single" w:color="C5D3E3" w:sz="4"/>
              <w:right w:val="single" w:color="C5D3E3" w:sz="4"/>
            </w:tcBorders>
            <w:shd w:fill="0B4F9C" w:color="auto" w:val="clear"/>
            <w:tcMar>
              <w:top w:type="dxa" w:w="45"/>
              <w:left w:type="dxa" w:w="90"/>
              <w:bottom w:type="dxa" w:w="45"/>
              <w:right w:type="dxa" w:w="90"/>
            </w:tcMar>
            <w:vAlign w:val="center"/>
          </w:tcPr>
          <w:p>
            <w:pPr>
              <w:jc w:val="right"/>
            </w:pPr>
            <w:r>
              <w:rPr>
                <w:rFonts w:ascii="Calibri" w:cs="Calibri" w:eastAsia="Calibri" w:hAnsi="Calibri"/>
                <w:b/>
                <w:bCs/>
                <w:color w:val="FFFFFF"/>
                <w:sz w:val="18"/>
                <w:szCs w:val="18"/>
              </w:rPr>
              <w:t xml:space="preserve">Revenue share</w:t>
            </w:r>
          </w:p>
        </w:tc>
        <w:tc>
          <w:tcPr>
            <w:tcW w:type="dxa" w:w="1400"/>
            <w:tcBorders>
              <w:top w:val="single" w:color="C5D3E3" w:sz="4"/>
              <w:left w:val="single" w:color="C5D3E3" w:sz="4"/>
              <w:bottom w:val="single" w:color="C5D3E3" w:sz="4"/>
              <w:right w:val="single" w:color="C5D3E3" w:sz="4"/>
            </w:tcBorders>
            <w:shd w:fill="0B4F9C" w:color="auto" w:val="clear"/>
            <w:tcMar>
              <w:top w:type="dxa" w:w="45"/>
              <w:left w:type="dxa" w:w="90"/>
              <w:bottom w:type="dxa" w:w="45"/>
              <w:right w:type="dxa" w:w="90"/>
            </w:tcMar>
            <w:vAlign w:val="center"/>
          </w:tcPr>
          <w:p>
            <w:pPr>
              <w:jc w:val="right"/>
            </w:pPr>
            <w:r>
              <w:rPr>
                <w:rFonts w:ascii="Calibri" w:cs="Calibri" w:eastAsia="Calibri" w:hAnsi="Calibri"/>
                <w:b/>
                <w:bCs/>
                <w:color w:val="FFFFFF"/>
                <w:sz w:val="18"/>
                <w:szCs w:val="18"/>
              </w:rPr>
              <w:t xml:space="preserve">kWh share</w:t>
            </w:r>
          </w:p>
        </w:tc>
        <w:tc>
          <w:tcPr>
            <w:tcW w:type="dxa" w:w="1806"/>
            <w:tcBorders>
              <w:top w:val="single" w:color="C5D3E3" w:sz="4"/>
              <w:left w:val="single" w:color="C5D3E3" w:sz="4"/>
              <w:bottom w:val="single" w:color="C5D3E3" w:sz="4"/>
              <w:right w:val="single" w:color="C5D3E3" w:sz="4"/>
            </w:tcBorders>
            <w:shd w:fill="0B4F9C" w:color="auto" w:val="clear"/>
            <w:tcMar>
              <w:top w:type="dxa" w:w="45"/>
              <w:left w:type="dxa" w:w="90"/>
              <w:bottom w:type="dxa" w:w="45"/>
              <w:right w:type="dxa" w:w="90"/>
            </w:tcMar>
            <w:vAlign w:val="center"/>
          </w:tcPr>
          <w:p>
            <w:pPr>
              <w:jc w:val="right"/>
            </w:pPr>
            <w:r>
              <w:rPr>
                <w:rFonts w:ascii="Calibri" w:cs="Calibri" w:eastAsia="Calibri" w:hAnsi="Calibri"/>
                <w:b/>
                <w:bCs/>
                <w:color w:val="FFFFFF"/>
                <w:sz w:val="18"/>
                <w:szCs w:val="18"/>
              </w:rPr>
              <w:t xml:space="preserve">Revenue per kWh</w:t>
            </w:r>
          </w:p>
        </w:tc>
      </w:tr>
      <w:tr>
        <w:trPr>
          <w:cantSplit/>
        </w:trPr>
        <w:tc>
          <w:tcPr>
            <w:tcW w:type="dxa" w:w="1900"/>
            <w:tcBorders>
              <w:top w:val="single" w:color="C5D3E3" w:sz="4"/>
              <w:left w:val="single" w:color="C5D3E3" w:sz="4"/>
              <w:bottom w:val="single" w:color="C5D3E3" w:sz="4"/>
              <w:right w:val="single" w:color="C5D3E3"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1F2D3D"/>
                <w:sz w:val="18"/>
                <w:szCs w:val="18"/>
              </w:rPr>
              <w:t xml:space="preserve">High</w:t>
            </w:r>
          </w:p>
        </w:tc>
        <w:tc>
          <w:tcPr>
            <w:tcW w:type="dxa" w:w="1500"/>
            <w:tcBorders>
              <w:top w:val="single" w:color="C5D3E3" w:sz="4"/>
              <w:left w:val="single" w:color="C5D3E3" w:sz="4"/>
              <w:bottom w:val="single" w:color="C5D3E3" w:sz="4"/>
              <w:right w:val="single" w:color="C5D3E3" w:sz="4"/>
            </w:tcBorders>
            <w:shd w:fill="FFFFFF" w:color="auto" w:val="clear"/>
            <w:tcMar>
              <w:top w:type="dxa" w:w="45"/>
              <w:left w:type="dxa" w:w="90"/>
              <w:bottom w:type="dxa" w:w="45"/>
              <w:right w:type="dxa" w:w="90"/>
            </w:tcMar>
            <w:vAlign w:val="center"/>
          </w:tcPr>
          <w:p>
            <w:pPr>
              <w:jc w:val="right"/>
            </w:pPr>
            <w:r>
              <w:rPr>
                <w:rFonts w:ascii="Calibri" w:cs="Calibri" w:eastAsia="Calibri" w:hAnsi="Calibri"/>
                <w:b w:val="false"/>
                <w:bCs w:val="false"/>
                <w:color w:val="1F2D3D"/>
                <w:sz w:val="18"/>
                <w:szCs w:val="18"/>
              </w:rPr>
              <w:t xml:space="preserve">1,190</w:t>
            </w:r>
          </w:p>
        </w:tc>
        <w:tc>
          <w:tcPr>
            <w:tcW w:type="dxa" w:w="1700"/>
            <w:tcBorders>
              <w:top w:val="single" w:color="C5D3E3" w:sz="4"/>
              <w:left w:val="single" w:color="C5D3E3" w:sz="4"/>
              <w:bottom w:val="single" w:color="C5D3E3" w:sz="4"/>
              <w:right w:val="single" w:color="C5D3E3" w:sz="4"/>
            </w:tcBorders>
            <w:shd w:fill="FFFFFF" w:color="auto" w:val="clear"/>
            <w:tcMar>
              <w:top w:type="dxa" w:w="45"/>
              <w:left w:type="dxa" w:w="90"/>
              <w:bottom w:type="dxa" w:w="45"/>
              <w:right w:type="dxa" w:w="90"/>
            </w:tcMar>
            <w:vAlign w:val="center"/>
          </w:tcPr>
          <w:p>
            <w:pPr>
              <w:jc w:val="right"/>
            </w:pPr>
            <w:r>
              <w:rPr>
                <w:rFonts w:ascii="Calibri" w:cs="Calibri" w:eastAsia="Calibri" w:hAnsi="Calibri"/>
                <w:b w:val="false"/>
                <w:bCs w:val="false"/>
                <w:color w:val="1F2D3D"/>
                <w:sz w:val="18"/>
                <w:szCs w:val="18"/>
              </w:rPr>
              <w:t xml:space="preserve">128.69</w:t>
            </w:r>
          </w:p>
        </w:tc>
        <w:tc>
          <w:tcPr>
            <w:tcW w:type="dxa" w:w="1600"/>
            <w:tcBorders>
              <w:top w:val="single" w:color="C5D3E3" w:sz="4"/>
              <w:left w:val="single" w:color="C5D3E3" w:sz="4"/>
              <w:bottom w:val="single" w:color="C5D3E3" w:sz="4"/>
              <w:right w:val="single" w:color="C5D3E3" w:sz="4"/>
            </w:tcBorders>
            <w:shd w:fill="FFFFFF" w:color="auto" w:val="clear"/>
            <w:tcMar>
              <w:top w:type="dxa" w:w="45"/>
              <w:left w:type="dxa" w:w="90"/>
              <w:bottom w:type="dxa" w:w="45"/>
              <w:right w:type="dxa" w:w="90"/>
            </w:tcMar>
            <w:vAlign w:val="center"/>
          </w:tcPr>
          <w:p>
            <w:pPr>
              <w:jc w:val="right"/>
            </w:pPr>
            <w:r>
              <w:rPr>
                <w:rFonts w:ascii="Calibri" w:cs="Calibri" w:eastAsia="Calibri" w:hAnsi="Calibri"/>
                <w:b w:val="false"/>
                <w:bCs w:val="false"/>
                <w:color w:val="1F2D3D"/>
                <w:sz w:val="18"/>
                <w:szCs w:val="18"/>
              </w:rPr>
              <w:t xml:space="preserve">26%</w:t>
            </w:r>
          </w:p>
        </w:tc>
        <w:tc>
          <w:tcPr>
            <w:tcW w:type="dxa" w:w="1400"/>
            <w:tcBorders>
              <w:top w:val="single" w:color="C5D3E3" w:sz="4"/>
              <w:left w:val="single" w:color="C5D3E3" w:sz="4"/>
              <w:bottom w:val="single" w:color="C5D3E3" w:sz="4"/>
              <w:right w:val="single" w:color="C5D3E3" w:sz="4"/>
            </w:tcBorders>
            <w:shd w:fill="FFFFFF" w:color="auto" w:val="clear"/>
            <w:tcMar>
              <w:top w:type="dxa" w:w="45"/>
              <w:left w:type="dxa" w:w="90"/>
              <w:bottom w:type="dxa" w:w="45"/>
              <w:right w:type="dxa" w:w="90"/>
            </w:tcMar>
            <w:vAlign w:val="center"/>
          </w:tcPr>
          <w:p>
            <w:pPr>
              <w:jc w:val="right"/>
            </w:pPr>
            <w:r>
              <w:rPr>
                <w:rFonts w:ascii="Calibri" w:cs="Calibri" w:eastAsia="Calibri" w:hAnsi="Calibri"/>
                <w:b w:val="false"/>
                <w:bCs w:val="false"/>
                <w:color w:val="1F2D3D"/>
                <w:sz w:val="18"/>
                <w:szCs w:val="18"/>
              </w:rPr>
              <w:t xml:space="preserve">31%</w:t>
            </w:r>
          </w:p>
        </w:tc>
        <w:tc>
          <w:tcPr>
            <w:tcW w:type="dxa" w:w="1806"/>
            <w:tcBorders>
              <w:top w:val="single" w:color="C5D3E3" w:sz="4"/>
              <w:left w:val="single" w:color="C5D3E3" w:sz="4"/>
              <w:bottom w:val="single" w:color="C5D3E3" w:sz="4"/>
              <w:right w:val="single" w:color="C5D3E3" w:sz="4"/>
            </w:tcBorders>
            <w:shd w:fill="FFFFFF" w:color="auto" w:val="clear"/>
            <w:tcMar>
              <w:top w:type="dxa" w:w="45"/>
              <w:left w:type="dxa" w:w="90"/>
              <w:bottom w:type="dxa" w:w="45"/>
              <w:right w:type="dxa" w:w="90"/>
            </w:tcMar>
            <w:vAlign w:val="center"/>
          </w:tcPr>
          <w:p>
            <w:pPr>
              <w:jc w:val="right"/>
            </w:pPr>
            <w:r>
              <w:rPr>
                <w:rFonts w:ascii="Calibri" w:cs="Calibri" w:eastAsia="Calibri" w:hAnsi="Calibri"/>
                <w:b w:val="false"/>
                <w:bCs w:val="false"/>
                <w:color w:val="1F2D3D"/>
                <w:sz w:val="18"/>
                <w:szCs w:val="18"/>
              </w:rPr>
              <w:t xml:space="preserve">₹14.48</w:t>
            </w:r>
          </w:p>
        </w:tc>
      </w:tr>
      <w:tr>
        <w:trPr>
          <w:cantSplit/>
        </w:trPr>
        <w:tc>
          <w:tcPr>
            <w:tcW w:type="dxa" w:w="1900"/>
            <w:tcBorders>
              <w:top w:val="single" w:color="C5D3E3" w:sz="4"/>
              <w:left w:val="single" w:color="C5D3E3" w:sz="4"/>
              <w:bottom w:val="single" w:color="C5D3E3" w:sz="4"/>
              <w:right w:val="single" w:color="C5D3E3" w:sz="4"/>
            </w:tcBorders>
            <w:shd w:fill="EAF3FB" w:color="auto" w:val="clear"/>
            <w:tcMar>
              <w:top w:type="dxa" w:w="45"/>
              <w:left w:type="dxa" w:w="90"/>
              <w:bottom w:type="dxa" w:w="45"/>
              <w:right w:type="dxa" w:w="90"/>
            </w:tcMar>
            <w:vAlign w:val="center"/>
          </w:tcPr>
          <w:p>
            <w:pPr>
              <w:jc w:val="left"/>
            </w:pPr>
            <w:r>
              <w:rPr>
                <w:rFonts w:ascii="Calibri" w:cs="Calibri" w:eastAsia="Calibri" w:hAnsi="Calibri"/>
                <w:b/>
                <w:bCs/>
                <w:color w:val="1F2D3D"/>
                <w:sz w:val="18"/>
                <w:szCs w:val="18"/>
              </w:rPr>
              <w:t xml:space="preserve">Low-Mid</w:t>
            </w:r>
          </w:p>
        </w:tc>
        <w:tc>
          <w:tcPr>
            <w:tcW w:type="dxa" w:w="1500"/>
            <w:tcBorders>
              <w:top w:val="single" w:color="C5D3E3" w:sz="4"/>
              <w:left w:val="single" w:color="C5D3E3" w:sz="4"/>
              <w:bottom w:val="single" w:color="C5D3E3" w:sz="4"/>
              <w:right w:val="single" w:color="C5D3E3" w:sz="4"/>
            </w:tcBorders>
            <w:shd w:fill="EAF3FB" w:color="auto" w:val="clear"/>
            <w:tcMar>
              <w:top w:type="dxa" w:w="45"/>
              <w:left w:type="dxa" w:w="90"/>
              <w:bottom w:type="dxa" w:w="45"/>
              <w:right w:type="dxa" w:w="90"/>
            </w:tcMar>
            <w:vAlign w:val="center"/>
          </w:tcPr>
          <w:p>
            <w:pPr>
              <w:jc w:val="right"/>
            </w:pPr>
            <w:r>
              <w:rPr>
                <w:rFonts w:ascii="Calibri" w:cs="Calibri" w:eastAsia="Calibri" w:hAnsi="Calibri"/>
                <w:b w:val="false"/>
                <w:bCs w:val="false"/>
                <w:color w:val="1F2D3D"/>
                <w:sz w:val="18"/>
                <w:szCs w:val="18"/>
              </w:rPr>
              <w:t xml:space="preserve">3,990</w:t>
            </w:r>
          </w:p>
        </w:tc>
        <w:tc>
          <w:tcPr>
            <w:tcW w:type="dxa" w:w="1700"/>
            <w:tcBorders>
              <w:top w:val="single" w:color="C5D3E3" w:sz="4"/>
              <w:left w:val="single" w:color="C5D3E3" w:sz="4"/>
              <w:bottom w:val="single" w:color="C5D3E3" w:sz="4"/>
              <w:right w:val="single" w:color="C5D3E3" w:sz="4"/>
            </w:tcBorders>
            <w:shd w:fill="EAF3FB" w:color="auto" w:val="clear"/>
            <w:tcMar>
              <w:top w:type="dxa" w:w="45"/>
              <w:left w:type="dxa" w:w="90"/>
              <w:bottom w:type="dxa" w:w="45"/>
              <w:right w:type="dxa" w:w="90"/>
            </w:tcMar>
            <w:vAlign w:val="center"/>
          </w:tcPr>
          <w:p>
            <w:pPr>
              <w:jc w:val="right"/>
            </w:pPr>
            <w:r>
              <w:rPr>
                <w:rFonts w:ascii="Calibri" w:cs="Calibri" w:eastAsia="Calibri" w:hAnsi="Calibri"/>
                <w:b w:val="false"/>
                <w:bCs w:val="false"/>
                <w:color w:val="1F2D3D"/>
                <w:sz w:val="18"/>
                <w:szCs w:val="18"/>
              </w:rPr>
              <w:t xml:space="preserve">130.68</w:t>
            </w:r>
          </w:p>
        </w:tc>
        <w:tc>
          <w:tcPr>
            <w:tcW w:type="dxa" w:w="1600"/>
            <w:tcBorders>
              <w:top w:val="single" w:color="C5D3E3" w:sz="4"/>
              <w:left w:val="single" w:color="C5D3E3" w:sz="4"/>
              <w:bottom w:val="single" w:color="C5D3E3" w:sz="4"/>
              <w:right w:val="single" w:color="C5D3E3" w:sz="4"/>
            </w:tcBorders>
            <w:shd w:fill="EAF3FB" w:color="auto" w:val="clear"/>
            <w:tcMar>
              <w:top w:type="dxa" w:w="45"/>
              <w:left w:type="dxa" w:w="90"/>
              <w:bottom w:type="dxa" w:w="45"/>
              <w:right w:type="dxa" w:w="90"/>
            </w:tcMar>
            <w:vAlign w:val="center"/>
          </w:tcPr>
          <w:p>
            <w:pPr>
              <w:jc w:val="right"/>
            </w:pPr>
            <w:r>
              <w:rPr>
                <w:rFonts w:ascii="Calibri" w:cs="Calibri" w:eastAsia="Calibri" w:hAnsi="Calibri"/>
                <w:b w:val="false"/>
                <w:bCs w:val="false"/>
                <w:color w:val="1F2D3D"/>
                <w:sz w:val="18"/>
                <w:szCs w:val="18"/>
              </w:rPr>
              <w:t xml:space="preserve">26%</w:t>
            </w:r>
          </w:p>
        </w:tc>
        <w:tc>
          <w:tcPr>
            <w:tcW w:type="dxa" w:w="1400"/>
            <w:tcBorders>
              <w:top w:val="single" w:color="C5D3E3" w:sz="4"/>
              <w:left w:val="single" w:color="C5D3E3" w:sz="4"/>
              <w:bottom w:val="single" w:color="C5D3E3" w:sz="4"/>
              <w:right w:val="single" w:color="C5D3E3" w:sz="4"/>
            </w:tcBorders>
            <w:shd w:fill="EAF3FB" w:color="auto" w:val="clear"/>
            <w:tcMar>
              <w:top w:type="dxa" w:w="45"/>
              <w:left w:type="dxa" w:w="90"/>
              <w:bottom w:type="dxa" w:w="45"/>
              <w:right w:type="dxa" w:w="90"/>
            </w:tcMar>
            <w:vAlign w:val="center"/>
          </w:tcPr>
          <w:p>
            <w:pPr>
              <w:jc w:val="right"/>
            </w:pPr>
            <w:r>
              <w:rPr>
                <w:rFonts w:ascii="Calibri" w:cs="Calibri" w:eastAsia="Calibri" w:hAnsi="Calibri"/>
                <w:b w:val="false"/>
                <w:bCs w:val="false"/>
                <w:color w:val="1F2D3D"/>
                <w:sz w:val="18"/>
                <w:szCs w:val="18"/>
              </w:rPr>
              <w:t xml:space="preserve">33%</w:t>
            </w:r>
          </w:p>
        </w:tc>
        <w:tc>
          <w:tcPr>
            <w:tcW w:type="dxa" w:w="1806"/>
            <w:tcBorders>
              <w:top w:val="single" w:color="C5D3E3" w:sz="4"/>
              <w:left w:val="single" w:color="C5D3E3" w:sz="4"/>
              <w:bottom w:val="single" w:color="C5D3E3" w:sz="4"/>
              <w:right w:val="single" w:color="C5D3E3" w:sz="4"/>
            </w:tcBorders>
            <w:shd w:fill="EAF3FB" w:color="auto" w:val="clear"/>
            <w:tcMar>
              <w:top w:type="dxa" w:w="45"/>
              <w:left w:type="dxa" w:w="90"/>
              <w:bottom w:type="dxa" w:w="45"/>
              <w:right w:type="dxa" w:w="90"/>
            </w:tcMar>
            <w:vAlign w:val="center"/>
          </w:tcPr>
          <w:p>
            <w:pPr>
              <w:jc w:val="right"/>
            </w:pPr>
            <w:r>
              <w:rPr>
                <w:rFonts w:ascii="Calibri" w:cs="Calibri" w:eastAsia="Calibri" w:hAnsi="Calibri"/>
                <w:b w:val="false"/>
                <w:bCs w:val="false"/>
                <w:color w:val="1F2D3D"/>
                <w:sz w:val="18"/>
                <w:szCs w:val="18"/>
              </w:rPr>
              <w:t xml:space="preserve">₹13.85</w:t>
            </w:r>
          </w:p>
        </w:tc>
      </w:tr>
      <w:tr>
        <w:trPr>
          <w:cantSplit/>
        </w:trPr>
        <w:tc>
          <w:tcPr>
            <w:tcW w:type="dxa" w:w="1900"/>
            <w:tcBorders>
              <w:top w:val="single" w:color="C5D3E3" w:sz="4"/>
              <w:left w:val="single" w:color="C5D3E3" w:sz="4"/>
              <w:bottom w:val="single" w:color="C5D3E3" w:sz="4"/>
              <w:right w:val="single" w:color="C5D3E3"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1F2D3D"/>
                <w:sz w:val="18"/>
                <w:szCs w:val="18"/>
              </w:rPr>
              <w:t xml:space="preserve">Mid-Range</w:t>
            </w:r>
          </w:p>
        </w:tc>
        <w:tc>
          <w:tcPr>
            <w:tcW w:type="dxa" w:w="1500"/>
            <w:tcBorders>
              <w:top w:val="single" w:color="C5D3E3" w:sz="4"/>
              <w:left w:val="single" w:color="C5D3E3" w:sz="4"/>
              <w:bottom w:val="single" w:color="C5D3E3" w:sz="4"/>
              <w:right w:val="single" w:color="C5D3E3" w:sz="4"/>
            </w:tcBorders>
            <w:shd w:fill="FFFFFF" w:color="auto" w:val="clear"/>
            <w:tcMar>
              <w:top w:type="dxa" w:w="45"/>
              <w:left w:type="dxa" w:w="90"/>
              <w:bottom w:type="dxa" w:w="45"/>
              <w:right w:type="dxa" w:w="90"/>
            </w:tcMar>
            <w:vAlign w:val="center"/>
          </w:tcPr>
          <w:p>
            <w:pPr>
              <w:jc w:val="right"/>
            </w:pPr>
            <w:r>
              <w:rPr>
                <w:rFonts w:ascii="Calibri" w:cs="Calibri" w:eastAsia="Calibri" w:hAnsi="Calibri"/>
                <w:b w:val="false"/>
                <w:bCs w:val="false"/>
                <w:color w:val="1F2D3D"/>
                <w:sz w:val="18"/>
                <w:szCs w:val="18"/>
              </w:rPr>
              <w:t xml:space="preserve">2,820</w:t>
            </w:r>
          </w:p>
        </w:tc>
        <w:tc>
          <w:tcPr>
            <w:tcW w:type="dxa" w:w="1700"/>
            <w:tcBorders>
              <w:top w:val="single" w:color="C5D3E3" w:sz="4"/>
              <w:left w:val="single" w:color="C5D3E3" w:sz="4"/>
              <w:bottom w:val="single" w:color="C5D3E3" w:sz="4"/>
              <w:right w:val="single" w:color="C5D3E3" w:sz="4"/>
            </w:tcBorders>
            <w:shd w:fill="FFFFFF" w:color="auto" w:val="clear"/>
            <w:tcMar>
              <w:top w:type="dxa" w:w="45"/>
              <w:left w:type="dxa" w:w="90"/>
              <w:bottom w:type="dxa" w:w="45"/>
              <w:right w:type="dxa" w:w="90"/>
            </w:tcMar>
            <w:vAlign w:val="center"/>
          </w:tcPr>
          <w:p>
            <w:pPr>
              <w:jc w:val="right"/>
            </w:pPr>
            <w:r>
              <w:rPr>
                <w:rFonts w:ascii="Calibri" w:cs="Calibri" w:eastAsia="Calibri" w:hAnsi="Calibri"/>
                <w:b w:val="false"/>
                <w:bCs w:val="false"/>
                <w:color w:val="1F2D3D"/>
                <w:sz w:val="18"/>
                <w:szCs w:val="18"/>
              </w:rPr>
              <w:t xml:space="preserve">237.57</w:t>
            </w:r>
          </w:p>
        </w:tc>
        <w:tc>
          <w:tcPr>
            <w:tcW w:type="dxa" w:w="1600"/>
            <w:tcBorders>
              <w:top w:val="single" w:color="C5D3E3" w:sz="4"/>
              <w:left w:val="single" w:color="C5D3E3" w:sz="4"/>
              <w:bottom w:val="single" w:color="C5D3E3" w:sz="4"/>
              <w:right w:val="single" w:color="C5D3E3" w:sz="4"/>
            </w:tcBorders>
            <w:shd w:fill="FFFFFF" w:color="auto" w:val="clear"/>
            <w:tcMar>
              <w:top w:type="dxa" w:w="45"/>
              <w:left w:type="dxa" w:w="90"/>
              <w:bottom w:type="dxa" w:w="45"/>
              <w:right w:type="dxa" w:w="90"/>
            </w:tcMar>
            <w:vAlign w:val="center"/>
          </w:tcPr>
          <w:p>
            <w:pPr>
              <w:jc w:val="right"/>
            </w:pPr>
            <w:r>
              <w:rPr>
                <w:rFonts w:ascii="Calibri" w:cs="Calibri" w:eastAsia="Calibri" w:hAnsi="Calibri"/>
                <w:b w:val="false"/>
                <w:bCs w:val="false"/>
                <w:color w:val="1F2D3D"/>
                <w:sz w:val="18"/>
                <w:szCs w:val="18"/>
              </w:rPr>
              <w:t xml:space="preserve">48%</w:t>
            </w:r>
          </w:p>
        </w:tc>
        <w:tc>
          <w:tcPr>
            <w:tcW w:type="dxa" w:w="1400"/>
            <w:tcBorders>
              <w:top w:val="single" w:color="C5D3E3" w:sz="4"/>
              <w:left w:val="single" w:color="C5D3E3" w:sz="4"/>
              <w:bottom w:val="single" w:color="C5D3E3" w:sz="4"/>
              <w:right w:val="single" w:color="C5D3E3" w:sz="4"/>
            </w:tcBorders>
            <w:shd w:fill="FFFFFF" w:color="auto" w:val="clear"/>
            <w:tcMar>
              <w:top w:type="dxa" w:w="45"/>
              <w:left w:type="dxa" w:w="90"/>
              <w:bottom w:type="dxa" w:w="45"/>
              <w:right w:type="dxa" w:w="90"/>
            </w:tcMar>
            <w:vAlign w:val="center"/>
          </w:tcPr>
          <w:p>
            <w:pPr>
              <w:jc w:val="right"/>
            </w:pPr>
            <w:r>
              <w:rPr>
                <w:rFonts w:ascii="Calibri" w:cs="Calibri" w:eastAsia="Calibri" w:hAnsi="Calibri"/>
                <w:b w:val="false"/>
                <w:bCs w:val="false"/>
                <w:color w:val="1F2D3D"/>
                <w:sz w:val="18"/>
                <w:szCs w:val="18"/>
              </w:rPr>
              <w:t xml:space="preserve">36%</w:t>
            </w:r>
          </w:p>
        </w:tc>
        <w:tc>
          <w:tcPr>
            <w:tcW w:type="dxa" w:w="1806"/>
            <w:tcBorders>
              <w:top w:val="single" w:color="C5D3E3" w:sz="4"/>
              <w:left w:val="single" w:color="C5D3E3" w:sz="4"/>
              <w:bottom w:val="single" w:color="C5D3E3" w:sz="4"/>
              <w:right w:val="single" w:color="C5D3E3" w:sz="4"/>
            </w:tcBorders>
            <w:shd w:fill="FFFFFF" w:color="auto" w:val="clear"/>
            <w:tcMar>
              <w:top w:type="dxa" w:w="45"/>
              <w:left w:type="dxa" w:w="90"/>
              <w:bottom w:type="dxa" w:w="45"/>
              <w:right w:type="dxa" w:w="90"/>
            </w:tcMar>
            <w:vAlign w:val="center"/>
          </w:tcPr>
          <w:p>
            <w:pPr>
              <w:jc w:val="right"/>
            </w:pPr>
            <w:r>
              <w:rPr>
                <w:rFonts w:ascii="Calibri" w:cs="Calibri" w:eastAsia="Calibri" w:hAnsi="Calibri"/>
                <w:b w:val="false"/>
                <w:bCs w:val="false"/>
                <w:color w:val="1F2D3D"/>
                <w:sz w:val="18"/>
                <w:szCs w:val="18"/>
              </w:rPr>
              <w:t xml:space="preserve">₹23.12</w:t>
            </w:r>
          </w:p>
        </w:tc>
      </w:tr>
      <w:tr>
        <w:trPr>
          <w:cantSplit/>
        </w:trPr>
        <w:tc>
          <w:tcPr>
            <w:tcW w:type="dxa" w:w="1900"/>
            <w:tcBorders>
              <w:top w:val="single" w:color="C5D3E3" w:sz="4"/>
              <w:left w:val="single" w:color="C5D3E3" w:sz="4"/>
              <w:bottom w:val="single" w:color="C5D3E3" w:sz="4"/>
              <w:right w:val="single" w:color="C5D3E3" w:sz="4"/>
            </w:tcBorders>
            <w:shd w:fill="EAF3FB" w:color="auto" w:val="clear"/>
            <w:tcMar>
              <w:top w:type="dxa" w:w="45"/>
              <w:left w:type="dxa" w:w="90"/>
              <w:bottom w:type="dxa" w:w="45"/>
              <w:right w:type="dxa" w:w="90"/>
            </w:tcMar>
            <w:vAlign w:val="center"/>
          </w:tcPr>
          <w:p>
            <w:pPr>
              <w:jc w:val="left"/>
            </w:pPr>
            <w:r>
              <w:rPr>
                <w:rFonts w:ascii="Calibri" w:cs="Calibri" w:eastAsia="Calibri" w:hAnsi="Calibri"/>
                <w:b/>
                <w:bCs/>
                <w:color w:val="1F2D3D"/>
                <w:sz w:val="18"/>
                <w:szCs w:val="18"/>
              </w:rPr>
              <w:t xml:space="preserve">Total</w:t>
            </w:r>
          </w:p>
        </w:tc>
        <w:tc>
          <w:tcPr>
            <w:tcW w:type="dxa" w:w="1500"/>
            <w:tcBorders>
              <w:top w:val="single" w:color="C5D3E3" w:sz="4"/>
              <w:left w:val="single" w:color="C5D3E3" w:sz="4"/>
              <w:bottom w:val="single" w:color="C5D3E3" w:sz="4"/>
              <w:right w:val="single" w:color="C5D3E3" w:sz="4"/>
            </w:tcBorders>
            <w:shd w:fill="EAF3FB" w:color="auto" w:val="clear"/>
            <w:tcMar>
              <w:top w:type="dxa" w:w="45"/>
              <w:left w:type="dxa" w:w="90"/>
              <w:bottom w:type="dxa" w:w="45"/>
              <w:right w:type="dxa" w:w="90"/>
            </w:tcMar>
            <w:vAlign w:val="center"/>
          </w:tcPr>
          <w:p>
            <w:pPr>
              <w:jc w:val="right"/>
            </w:pPr>
            <w:r>
              <w:rPr>
                <w:rFonts w:ascii="Calibri" w:cs="Calibri" w:eastAsia="Calibri" w:hAnsi="Calibri"/>
                <w:b w:val="false"/>
                <w:bCs w:val="false"/>
                <w:color w:val="1F2D3D"/>
                <w:sz w:val="18"/>
                <w:szCs w:val="18"/>
              </w:rPr>
              <w:t xml:space="preserve">8,000</w:t>
            </w:r>
          </w:p>
        </w:tc>
        <w:tc>
          <w:tcPr>
            <w:tcW w:type="dxa" w:w="1700"/>
            <w:tcBorders>
              <w:top w:val="single" w:color="C5D3E3" w:sz="4"/>
              <w:left w:val="single" w:color="C5D3E3" w:sz="4"/>
              <w:bottom w:val="single" w:color="C5D3E3" w:sz="4"/>
              <w:right w:val="single" w:color="C5D3E3" w:sz="4"/>
            </w:tcBorders>
            <w:shd w:fill="EAF3FB" w:color="auto" w:val="clear"/>
            <w:tcMar>
              <w:top w:type="dxa" w:w="45"/>
              <w:left w:type="dxa" w:w="90"/>
              <w:bottom w:type="dxa" w:w="45"/>
              <w:right w:type="dxa" w:w="90"/>
            </w:tcMar>
            <w:vAlign w:val="center"/>
          </w:tcPr>
          <w:p>
            <w:pPr>
              <w:jc w:val="right"/>
            </w:pPr>
            <w:r>
              <w:rPr>
                <w:rFonts w:ascii="Calibri" w:cs="Calibri" w:eastAsia="Calibri" w:hAnsi="Calibri"/>
                <w:b w:val="false"/>
                <w:bCs w:val="false"/>
                <w:color w:val="1F2D3D"/>
                <w:sz w:val="18"/>
                <w:szCs w:val="18"/>
              </w:rPr>
              <w:t xml:space="preserve">496.94</w:t>
            </w:r>
          </w:p>
        </w:tc>
        <w:tc>
          <w:tcPr>
            <w:tcW w:type="dxa" w:w="1600"/>
            <w:tcBorders>
              <w:top w:val="single" w:color="C5D3E3" w:sz="4"/>
              <w:left w:val="single" w:color="C5D3E3" w:sz="4"/>
              <w:bottom w:val="single" w:color="C5D3E3" w:sz="4"/>
              <w:right w:val="single" w:color="C5D3E3" w:sz="4"/>
            </w:tcBorders>
            <w:shd w:fill="EAF3FB" w:color="auto" w:val="clear"/>
            <w:tcMar>
              <w:top w:type="dxa" w:w="45"/>
              <w:left w:type="dxa" w:w="90"/>
              <w:bottom w:type="dxa" w:w="45"/>
              <w:right w:type="dxa" w:w="90"/>
            </w:tcMar>
            <w:vAlign w:val="center"/>
          </w:tcPr>
          <w:p>
            <w:pPr>
              <w:jc w:val="right"/>
            </w:pPr>
            <w:r>
              <w:rPr>
                <w:rFonts w:ascii="Calibri" w:cs="Calibri" w:eastAsia="Calibri" w:hAnsi="Calibri"/>
                <w:b w:val="false"/>
                <w:bCs w:val="false"/>
                <w:color w:val="1F2D3D"/>
                <w:sz w:val="18"/>
                <w:szCs w:val="18"/>
              </w:rPr>
              <w:t xml:space="preserve">100%</w:t>
            </w:r>
          </w:p>
        </w:tc>
        <w:tc>
          <w:tcPr>
            <w:tcW w:type="dxa" w:w="1400"/>
            <w:tcBorders>
              <w:top w:val="single" w:color="C5D3E3" w:sz="4"/>
              <w:left w:val="single" w:color="C5D3E3" w:sz="4"/>
              <w:bottom w:val="single" w:color="C5D3E3" w:sz="4"/>
              <w:right w:val="single" w:color="C5D3E3" w:sz="4"/>
            </w:tcBorders>
            <w:shd w:fill="EAF3FB" w:color="auto" w:val="clear"/>
            <w:tcMar>
              <w:top w:type="dxa" w:w="45"/>
              <w:left w:type="dxa" w:w="90"/>
              <w:bottom w:type="dxa" w:w="45"/>
              <w:right w:type="dxa" w:w="90"/>
            </w:tcMar>
            <w:vAlign w:val="center"/>
          </w:tcPr>
          <w:p>
            <w:pPr>
              <w:jc w:val="right"/>
            </w:pPr>
            <w:r>
              <w:rPr>
                <w:rFonts w:ascii="Calibri" w:cs="Calibri" w:eastAsia="Calibri" w:hAnsi="Calibri"/>
                <w:b w:val="false"/>
                <w:bCs w:val="false"/>
                <w:color w:val="1F2D3D"/>
                <w:sz w:val="18"/>
                <w:szCs w:val="18"/>
              </w:rPr>
              <w:t xml:space="preserve">100%</w:t>
            </w:r>
          </w:p>
        </w:tc>
        <w:tc>
          <w:tcPr>
            <w:tcW w:type="dxa" w:w="1806"/>
            <w:tcBorders>
              <w:top w:val="single" w:color="C5D3E3" w:sz="4"/>
              <w:left w:val="single" w:color="C5D3E3" w:sz="4"/>
              <w:bottom w:val="single" w:color="C5D3E3" w:sz="4"/>
              <w:right w:val="single" w:color="C5D3E3" w:sz="4"/>
            </w:tcBorders>
            <w:shd w:fill="EAF3FB" w:color="auto" w:val="clear"/>
            <w:tcMar>
              <w:top w:type="dxa" w:w="45"/>
              <w:left w:type="dxa" w:w="90"/>
              <w:bottom w:type="dxa" w:w="45"/>
              <w:right w:type="dxa" w:w="90"/>
            </w:tcMar>
            <w:vAlign w:val="center"/>
          </w:tcPr>
          <w:p>
            <w:pPr>
              <w:jc w:val="right"/>
            </w:pPr>
            <w:r>
              <w:rPr>
                <w:rFonts w:ascii="Calibri" w:cs="Calibri" w:eastAsia="Calibri" w:hAnsi="Calibri"/>
                <w:b w:val="false"/>
                <w:bCs w:val="false"/>
                <w:color w:val="1F2D3D"/>
                <w:sz w:val="18"/>
                <w:szCs w:val="18"/>
              </w:rPr>
              <w:t xml:space="preserve">₹17.38</w:t>
            </w:r>
          </w:p>
        </w:tc>
      </w:tr>
    </w:tbl>
    <w:p>
      <w:pPr>
        <w:spacing w:after="40"/>
      </w:pPr>
      <w:r>
        <w:rPr>
          <w:rFonts w:ascii="Calibri" w:cs="Calibri" w:eastAsia="Calibri" w:hAnsi="Calibri"/>
          <w:color w:val="1F2D3D"/>
          <w:sz w:val="20"/>
          <w:szCs w:val="20"/>
        </w:rPr>
        <w:t xml:space="preserve"/>
      </w:r>
    </w:p>
    <w:p>
      <w:pPr>
        <w:spacing w:after="80" w:line="264"/>
      </w:pPr>
      <w:r>
        <w:rPr>
          <w:rFonts w:ascii="Calibri" w:cs="Calibri" w:eastAsia="Calibri" w:hAnsi="Calibri"/>
          <w:color w:val="1F2D3D"/>
          <w:sz w:val="20"/>
          <w:szCs w:val="20"/>
        </w:rPr>
        <w:t xml:space="preserve">Across 25 EV models (average battery 31.4 kWh), the Mahindra XUV400 EC Pro (158k kWh), Hyundai Kona (157k) and Tata Punch (145k) lead; the Tata Nexon EV Max trails at 71k. Mid-size batteries (25–40 kWh) draw the most energy per model, 32% above small packs and 78% above large ones (40–65 kWh), while premium packs (&gt;65 kWh) sit about 22% below the mid band. The High-income tier owns 9 of the 25 models yet shows the lowest usage.</w:t>
      </w:r>
    </w:p>
    <w:p>
      <w:pPr>
        <w:keepNext/>
        <w:pBdr>
          <w:bottom w:val="single" w:color="00A99D" w:sz="6" w:space="2"/>
        </w:pBdr>
        <w:spacing w:after="70" w:before="160"/>
      </w:pPr>
      <w:r>
        <w:rPr>
          <w:rFonts w:ascii="Cambria" w:cs="Cambria" w:eastAsia="Cambria" w:hAnsi="Cambria"/>
          <w:b/>
          <w:bCs/>
          <w:color w:val="0B4F9C"/>
          <w:sz w:val="26"/>
          <w:szCs w:val="26"/>
        </w:rPr>
        <w:t xml:space="preserve">4. Financial performance and expansion</w:t>
      </w:r>
    </w:p>
    <w:p>
      <w:pPr>
        <w:spacing w:after="80" w:line="264"/>
      </w:pPr>
      <w:r>
        <w:rPr>
          <w:rFonts w:ascii="Calibri" w:cs="Calibri" w:eastAsia="Calibri" w:hAnsi="Calibri"/>
          <w:color w:val="1F2D3D"/>
          <w:sz w:val="20"/>
          <w:szCs w:val="20"/>
        </w:rPr>
        <w:t xml:space="preserve">Across 98 proposed projects, CAPEX is ₹13,921.62 lakh against annual revenue of ₹4,628.64 lakh (CAPEX is 3.0× revenue), OPEX of ₹1,390.11 lakh (30%) and EBITDA of ₹3,238.53 lakh (70% margin). The ten largest projects hold ₹3,474 lakh (25% of CAPEX); the top three (PRJ007, PRJ017, PRJ012) alone are 10.6%. Of the 98 sites, 54 are High priority (55%), 7 Medium and 37 Low; 55 are subsidy-eligible. Payback with subsidy rises with charger power: 2.0 years for AC 7.4 kW, 3.0 for AC 22 kW, 5.7 for DC 50 kW and 9.6 for DC 150 kW.</w:t>
      </w:r>
    </w:p>
    <w:p>
      <w:pPr>
        <w:spacing w:after="80" w:line="264"/>
      </w:pPr>
      <w:r>
        <w:rPr>
          <w:rFonts w:ascii="Calibri" w:cs="Calibri" w:eastAsia="Calibri" w:hAnsi="Calibri"/>
          <w:color w:val="1F2D3D"/>
          <w:sz w:val="20"/>
          <w:szCs w:val="20"/>
        </w:rPr>
        <w:t xml:space="preserve">Projected EVs of 35,200 imply about 33 vehicles per planned plug, against roughly 90 per existing plug today. Combining district ROI with the plug gap gives the sequencing below.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606"/>
      </w:tblGrid>
      <w:tr>
        <w:trPr>
          <w:tblHeader/>
        </w:trPr>
        <w:tc>
          <w:tcPr>
            <w:tcW w:type="dxa" w:w="1900"/>
            <w:tcBorders>
              <w:top w:val="single" w:color="C5D3E3" w:sz="4"/>
              <w:left w:val="single" w:color="C5D3E3" w:sz="4"/>
              <w:bottom w:val="single" w:color="C5D3E3" w:sz="4"/>
              <w:right w:val="single" w:color="C5D3E3" w:sz="4"/>
            </w:tcBorders>
            <w:shd w:fill="0B4F9C" w:color="auto" w:val="clear"/>
            <w:tcMar>
              <w:top w:type="dxa" w:w="45"/>
              <w:left w:type="dxa" w:w="90"/>
              <w:bottom w:type="dxa" w:w="45"/>
              <w:right w:type="dxa" w:w="90"/>
            </w:tcMar>
            <w:vAlign w:val="center"/>
          </w:tcPr>
          <w:p>
            <w:pPr>
              <w:jc w:val="left"/>
            </w:pPr>
            <w:r>
              <w:rPr>
                <w:rFonts w:ascii="Calibri" w:cs="Calibri" w:eastAsia="Calibri" w:hAnsi="Calibri"/>
                <w:b/>
                <w:bCs/>
                <w:color w:val="FFFFFF"/>
                <w:sz w:val="18"/>
                <w:szCs w:val="18"/>
              </w:rPr>
              <w:t xml:space="preserve">Action</w:t>
            </w:r>
          </w:p>
        </w:tc>
        <w:tc>
          <w:tcPr>
            <w:tcW w:type="dxa" w:w="3400"/>
            <w:tcBorders>
              <w:top w:val="single" w:color="C5D3E3" w:sz="4"/>
              <w:left w:val="single" w:color="C5D3E3" w:sz="4"/>
              <w:bottom w:val="single" w:color="C5D3E3" w:sz="4"/>
              <w:right w:val="single" w:color="C5D3E3" w:sz="4"/>
            </w:tcBorders>
            <w:shd w:fill="0B4F9C" w:color="auto" w:val="clear"/>
            <w:tcMar>
              <w:top w:type="dxa" w:w="45"/>
              <w:left w:type="dxa" w:w="90"/>
              <w:bottom w:type="dxa" w:w="45"/>
              <w:right w:type="dxa" w:w="90"/>
            </w:tcMar>
            <w:vAlign w:val="center"/>
          </w:tcPr>
          <w:p>
            <w:pPr>
              <w:jc w:val="left"/>
            </w:pPr>
            <w:r>
              <w:rPr>
                <w:rFonts w:ascii="Calibri" w:cs="Calibri" w:eastAsia="Calibri" w:hAnsi="Calibri"/>
                <w:b/>
                <w:bCs/>
                <w:color w:val="FFFFFF"/>
                <w:sz w:val="18"/>
                <w:szCs w:val="18"/>
              </w:rPr>
              <w:t xml:space="preserve">Districts</w:t>
            </w:r>
          </w:p>
        </w:tc>
        <w:tc>
          <w:tcPr>
            <w:tcW w:type="dxa" w:w="4606"/>
            <w:tcBorders>
              <w:top w:val="single" w:color="C5D3E3" w:sz="4"/>
              <w:left w:val="single" w:color="C5D3E3" w:sz="4"/>
              <w:bottom w:val="single" w:color="C5D3E3" w:sz="4"/>
              <w:right w:val="single" w:color="C5D3E3" w:sz="4"/>
            </w:tcBorders>
            <w:shd w:fill="0B4F9C" w:color="auto" w:val="clear"/>
            <w:tcMar>
              <w:top w:type="dxa" w:w="45"/>
              <w:left w:type="dxa" w:w="90"/>
              <w:bottom w:type="dxa" w:w="45"/>
              <w:right w:type="dxa" w:w="90"/>
            </w:tcMar>
            <w:vAlign w:val="center"/>
          </w:tcPr>
          <w:p>
            <w:pPr>
              <w:jc w:val="left"/>
            </w:pPr>
            <w:r>
              <w:rPr>
                <w:rFonts w:ascii="Calibri" w:cs="Calibri" w:eastAsia="Calibri" w:hAnsi="Calibri"/>
                <w:b/>
                <w:bCs/>
                <w:color w:val="FFFFFF"/>
                <w:sz w:val="18"/>
                <w:szCs w:val="18"/>
              </w:rPr>
              <w:t xml:space="preserve">Rule applied</w:t>
            </w:r>
          </w:p>
        </w:tc>
      </w:tr>
      <w:tr>
        <w:trPr>
          <w:cantSplit/>
        </w:trPr>
        <w:tc>
          <w:tcPr>
            <w:tcW w:type="dxa" w:w="1900"/>
            <w:tcBorders>
              <w:top w:val="single" w:color="C5D3E3" w:sz="4"/>
              <w:left w:val="single" w:color="C5D3E3" w:sz="4"/>
              <w:bottom w:val="single" w:color="C5D3E3" w:sz="4"/>
              <w:right w:val="single" w:color="C5D3E3"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1F2D3D"/>
                <w:sz w:val="18"/>
                <w:szCs w:val="18"/>
              </w:rPr>
              <w:t xml:space="preserve">Deploy first</w:t>
            </w:r>
          </w:p>
        </w:tc>
        <w:tc>
          <w:tcPr>
            <w:tcW w:type="dxa" w:w="3400"/>
            <w:tcBorders>
              <w:top w:val="single" w:color="C5D3E3" w:sz="4"/>
              <w:left w:val="single" w:color="C5D3E3" w:sz="4"/>
              <w:bottom w:val="single" w:color="C5D3E3" w:sz="4"/>
              <w:right w:val="single" w:color="C5D3E3"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1F2D3D"/>
                <w:sz w:val="18"/>
                <w:szCs w:val="18"/>
              </w:rPr>
              <w:t xml:space="preserve">Jayanagar, HSR Layout, Banashankari</w:t>
            </w:r>
          </w:p>
        </w:tc>
        <w:tc>
          <w:tcPr>
            <w:tcW w:type="dxa" w:w="4606"/>
            <w:tcBorders>
              <w:top w:val="single" w:color="C5D3E3" w:sz="4"/>
              <w:left w:val="single" w:color="C5D3E3" w:sz="4"/>
              <w:bottom w:val="single" w:color="C5D3E3" w:sz="4"/>
              <w:right w:val="single" w:color="C5D3E3"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1F2D3D"/>
                <w:sz w:val="18"/>
                <w:szCs w:val="18"/>
              </w:rPr>
              <w:t xml:space="preserve">ROI ≥ 45% and gap ≥ 50 plugs</w:t>
            </w:r>
          </w:p>
        </w:tc>
      </w:tr>
      <w:tr>
        <w:trPr>
          <w:cantSplit/>
        </w:trPr>
        <w:tc>
          <w:tcPr>
            <w:tcW w:type="dxa" w:w="1900"/>
            <w:tcBorders>
              <w:top w:val="single" w:color="C5D3E3" w:sz="4"/>
              <w:left w:val="single" w:color="C5D3E3" w:sz="4"/>
              <w:bottom w:val="single" w:color="C5D3E3" w:sz="4"/>
              <w:right w:val="single" w:color="C5D3E3" w:sz="4"/>
            </w:tcBorders>
            <w:shd w:fill="EAF3FB" w:color="auto" w:val="clear"/>
            <w:tcMar>
              <w:top w:type="dxa" w:w="45"/>
              <w:left w:type="dxa" w:w="90"/>
              <w:bottom w:type="dxa" w:w="45"/>
              <w:right w:type="dxa" w:w="90"/>
            </w:tcMar>
            <w:vAlign w:val="center"/>
          </w:tcPr>
          <w:p>
            <w:pPr>
              <w:jc w:val="left"/>
            </w:pPr>
            <w:r>
              <w:rPr>
                <w:rFonts w:ascii="Calibri" w:cs="Calibri" w:eastAsia="Calibri" w:hAnsi="Calibri"/>
                <w:b/>
                <w:bCs/>
                <w:color w:val="1F2D3D"/>
                <w:sz w:val="18"/>
                <w:szCs w:val="18"/>
              </w:rPr>
              <w:t xml:space="preserve">Quick win</w:t>
            </w:r>
          </w:p>
        </w:tc>
        <w:tc>
          <w:tcPr>
            <w:tcW w:type="dxa" w:w="3400"/>
            <w:tcBorders>
              <w:top w:val="single" w:color="C5D3E3" w:sz="4"/>
              <w:left w:val="single" w:color="C5D3E3" w:sz="4"/>
              <w:bottom w:val="single" w:color="C5D3E3" w:sz="4"/>
              <w:right w:val="single" w:color="C5D3E3" w:sz="4"/>
            </w:tcBorders>
            <w:shd w:fill="EAF3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1F2D3D"/>
                <w:sz w:val="18"/>
                <w:szCs w:val="18"/>
              </w:rPr>
              <w:t xml:space="preserve">Bommanahalli, Electronic City, JP Nagar, Marathahalli</w:t>
            </w:r>
          </w:p>
        </w:tc>
        <w:tc>
          <w:tcPr>
            <w:tcW w:type="dxa" w:w="4606"/>
            <w:tcBorders>
              <w:top w:val="single" w:color="C5D3E3" w:sz="4"/>
              <w:left w:val="single" w:color="C5D3E3" w:sz="4"/>
              <w:bottom w:val="single" w:color="C5D3E3" w:sz="4"/>
              <w:right w:val="single" w:color="C5D3E3" w:sz="4"/>
            </w:tcBorders>
            <w:shd w:fill="EAF3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1F2D3D"/>
                <w:sz w:val="18"/>
                <w:szCs w:val="18"/>
              </w:rPr>
              <w:t xml:space="preserve">ROI ≥ 50%, gap &lt; 50 plugs</w:t>
            </w:r>
          </w:p>
        </w:tc>
      </w:tr>
      <w:tr>
        <w:trPr>
          <w:cantSplit/>
        </w:trPr>
        <w:tc>
          <w:tcPr>
            <w:tcW w:type="dxa" w:w="1900"/>
            <w:tcBorders>
              <w:top w:val="single" w:color="C5D3E3" w:sz="4"/>
              <w:left w:val="single" w:color="C5D3E3" w:sz="4"/>
              <w:bottom w:val="single" w:color="C5D3E3" w:sz="4"/>
              <w:right w:val="single" w:color="C5D3E3" w:sz="4"/>
            </w:tcBorders>
            <w:shd w:fill="FFFFFF" w:color="auto" w:val="clear"/>
            <w:tcMar>
              <w:top w:type="dxa" w:w="45"/>
              <w:left w:type="dxa" w:w="90"/>
              <w:bottom w:type="dxa" w:w="45"/>
              <w:right w:type="dxa" w:w="90"/>
            </w:tcMar>
            <w:vAlign w:val="center"/>
          </w:tcPr>
          <w:p>
            <w:pPr>
              <w:jc w:val="left"/>
            </w:pPr>
            <w:r>
              <w:rPr>
                <w:rFonts w:ascii="Calibri" w:cs="Calibri" w:eastAsia="Calibri" w:hAnsi="Calibri"/>
                <w:b/>
                <w:bCs/>
                <w:color w:val="1F2D3D"/>
                <w:sz w:val="18"/>
                <w:szCs w:val="18"/>
              </w:rPr>
              <w:t xml:space="preserve">Phase 2</w:t>
            </w:r>
          </w:p>
        </w:tc>
        <w:tc>
          <w:tcPr>
            <w:tcW w:type="dxa" w:w="3400"/>
            <w:tcBorders>
              <w:top w:val="single" w:color="C5D3E3" w:sz="4"/>
              <w:left w:val="single" w:color="C5D3E3" w:sz="4"/>
              <w:bottom w:val="single" w:color="C5D3E3" w:sz="4"/>
              <w:right w:val="single" w:color="C5D3E3"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1F2D3D"/>
                <w:sz w:val="18"/>
                <w:szCs w:val="18"/>
              </w:rPr>
              <w:t xml:space="preserve">Rajajinagar, Yelahanka</w:t>
            </w:r>
          </w:p>
        </w:tc>
        <w:tc>
          <w:tcPr>
            <w:tcW w:type="dxa" w:w="4606"/>
            <w:tcBorders>
              <w:top w:val="single" w:color="C5D3E3" w:sz="4"/>
              <w:left w:val="single" w:color="C5D3E3" w:sz="4"/>
              <w:bottom w:val="single" w:color="C5D3E3" w:sz="4"/>
              <w:right w:val="single" w:color="C5D3E3" w:sz="4"/>
            </w:tcBorders>
            <w:shd w:fill="FFFFFF"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1F2D3D"/>
                <w:sz w:val="18"/>
                <w:szCs w:val="18"/>
              </w:rPr>
              <w:t xml:space="preserve">ROI 30–45%, gap ≥ 60 plugs</w:t>
            </w:r>
          </w:p>
        </w:tc>
      </w:tr>
      <w:tr>
        <w:trPr>
          <w:cantSplit/>
        </w:trPr>
        <w:tc>
          <w:tcPr>
            <w:tcW w:type="dxa" w:w="1900"/>
            <w:tcBorders>
              <w:top w:val="single" w:color="C5D3E3" w:sz="4"/>
              <w:left w:val="single" w:color="C5D3E3" w:sz="4"/>
              <w:bottom w:val="single" w:color="C5D3E3" w:sz="4"/>
              <w:right w:val="single" w:color="C5D3E3" w:sz="4"/>
            </w:tcBorders>
            <w:shd w:fill="EAF3FB" w:color="auto" w:val="clear"/>
            <w:tcMar>
              <w:top w:type="dxa" w:w="45"/>
              <w:left w:type="dxa" w:w="90"/>
              <w:bottom w:type="dxa" w:w="45"/>
              <w:right w:type="dxa" w:w="90"/>
            </w:tcMar>
            <w:vAlign w:val="center"/>
          </w:tcPr>
          <w:p>
            <w:pPr>
              <w:jc w:val="left"/>
            </w:pPr>
            <w:r>
              <w:rPr>
                <w:rFonts w:ascii="Calibri" w:cs="Calibri" w:eastAsia="Calibri" w:hAnsi="Calibri"/>
                <w:b/>
                <w:bCs/>
                <w:color w:val="1F2D3D"/>
                <w:sz w:val="18"/>
                <w:szCs w:val="18"/>
              </w:rPr>
              <w:t xml:space="preserve">Pilot only</w:t>
            </w:r>
          </w:p>
        </w:tc>
        <w:tc>
          <w:tcPr>
            <w:tcW w:type="dxa" w:w="3400"/>
            <w:tcBorders>
              <w:top w:val="single" w:color="C5D3E3" w:sz="4"/>
              <w:left w:val="single" w:color="C5D3E3" w:sz="4"/>
              <w:bottom w:val="single" w:color="C5D3E3" w:sz="4"/>
              <w:right w:val="single" w:color="C5D3E3" w:sz="4"/>
            </w:tcBorders>
            <w:shd w:fill="EAF3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1F2D3D"/>
                <w:sz w:val="18"/>
                <w:szCs w:val="18"/>
              </w:rPr>
              <w:t xml:space="preserve">Hebbal</w:t>
            </w:r>
          </w:p>
        </w:tc>
        <w:tc>
          <w:tcPr>
            <w:tcW w:type="dxa" w:w="4606"/>
            <w:tcBorders>
              <w:top w:val="single" w:color="C5D3E3" w:sz="4"/>
              <w:left w:val="single" w:color="C5D3E3" w:sz="4"/>
              <w:bottom w:val="single" w:color="C5D3E3" w:sz="4"/>
              <w:right w:val="single" w:color="C5D3E3" w:sz="4"/>
            </w:tcBorders>
            <w:shd w:fill="EAF3FB" w:color="auto" w:val="clear"/>
            <w:tcMar>
              <w:top w:type="dxa" w:w="45"/>
              <w:left w:type="dxa" w:w="90"/>
              <w:bottom w:type="dxa" w:w="45"/>
              <w:right w:type="dxa" w:w="90"/>
            </w:tcMar>
            <w:vAlign w:val="center"/>
          </w:tcPr>
          <w:p>
            <w:pPr>
              <w:jc w:val="left"/>
            </w:pPr>
            <w:r>
              <w:rPr>
                <w:rFonts w:ascii="Calibri" w:cs="Calibri" w:eastAsia="Calibri" w:hAnsi="Calibri"/>
                <w:b w:val="false"/>
                <w:bCs w:val="false"/>
                <w:color w:val="1F2D3D"/>
                <w:sz w:val="18"/>
                <w:szCs w:val="18"/>
              </w:rPr>
              <w:t xml:space="preserve">ROI below 30%</w:t>
            </w:r>
          </w:p>
        </w:tc>
      </w:tr>
    </w:tbl>
    <w:p>
      <w:pPr>
        <w:spacing w:after="60" w:before="60"/>
      </w:pPr>
      <w:r>
        <w:rPr>
          <w:rFonts w:ascii="Calibri" w:cs="Calibri" w:eastAsia="Calibri" w:hAnsi="Calibri"/>
          <w:color w:val="5B6B7B"/>
          <w:sz w:val="17"/>
          <w:szCs w:val="17"/>
        </w:rPr>
        <w:t xml:space="preserve">District ROI (top 10): Bommanahalli 133%, Electronic City 78%, JP Nagar 66%, HSR Layout 57%, Marathahalli 53%, Jayanagar 49%, Banashankari 45%, Yelahanka 42%, Rajajinagar 33%, Hebbal 19%. Indiranagar (+67 plugs) and Koramangala (+64) have no ROI in the model and are not scored.</w:t>
      </w:r>
    </w:p>
    <w:p>
      <w:pPr>
        <w:keepNext/>
        <w:pBdr>
          <w:bottom w:val="single" w:color="00A99D" w:sz="6" w:space="2"/>
        </w:pBdr>
        <w:spacing w:after="70" w:before="160"/>
      </w:pPr>
      <w:r>
        <w:rPr>
          <w:rFonts w:ascii="Cambria" w:cs="Cambria" w:eastAsia="Cambria" w:hAnsi="Cambria"/>
          <w:b/>
          <w:bCs/>
          <w:color w:val="0B4F9C"/>
          <w:sz w:val="26"/>
          <w:szCs w:val="26"/>
        </w:rPr>
        <w:t xml:space="preserve">5. Recommendations</w:t>
      </w:r>
    </w:p>
    <w:p>
      <w:pPr>
        <w:pStyle w:val="ListParagraph"/>
        <w:numPr>
          <w:ilvl w:val="0"/>
          <w:numId w:val="2"/>
        </w:numPr>
        <w:spacing w:after="40" w:line="259"/>
      </w:pPr>
      <w:r>
        <w:rPr>
          <w:rFonts w:ascii="Calibri" w:cs="Calibri" w:eastAsia="Calibri" w:hAnsi="Calibri"/>
          <w:b/>
          <w:bCs/>
          <w:color w:val="1F2D3D"/>
          <w:sz w:val="20"/>
          <w:szCs w:val="20"/>
        </w:rPr>
        <w:t xml:space="preserve">Deploy High-priority sites first </w:t>
      </w:r>
      <w:r>
        <w:rPr>
          <w:rFonts w:ascii="Calibri" w:cs="Calibri" w:eastAsia="Calibri" w:hAnsi="Calibri"/>
          <w:color w:val="1F2D3D"/>
          <w:sz w:val="20"/>
          <w:szCs w:val="20"/>
        </w:rPr>
        <w:t xml:space="preserve">and sequence districts using the table above.</w:t>
      </w:r>
    </w:p>
    <w:p>
      <w:pPr>
        <w:pStyle w:val="ListParagraph"/>
        <w:numPr>
          <w:ilvl w:val="0"/>
          <w:numId w:val="2"/>
        </w:numPr>
        <w:spacing w:after="40" w:line="259"/>
      </w:pPr>
      <w:r>
        <w:rPr>
          <w:rFonts w:ascii="Calibri" w:cs="Calibri" w:eastAsia="Calibri" w:hAnsi="Calibri"/>
          <w:b/>
          <w:bCs/>
          <w:color w:val="1F2D3D"/>
          <w:sz w:val="20"/>
          <w:szCs w:val="20"/>
        </w:rPr>
        <w:t xml:space="preserve">Favour AC Level-2 and DC Fast chargers; </w:t>
      </w:r>
      <w:r>
        <w:rPr>
          <w:rFonts w:ascii="Calibri" w:cs="Calibri" w:eastAsia="Calibri" w:hAnsi="Calibri"/>
          <w:color w:val="1F2D3D"/>
          <w:sz w:val="20"/>
          <w:szCs w:val="20"/>
        </w:rPr>
        <w:t xml:space="preserve">limit 150 kW ultra-fast units to proven corridors, since their payback is 9.6 years.</w:t>
      </w:r>
    </w:p>
    <w:p>
      <w:pPr>
        <w:pStyle w:val="ListParagraph"/>
        <w:numPr>
          <w:ilvl w:val="0"/>
          <w:numId w:val="2"/>
        </w:numPr>
        <w:spacing w:after="40" w:line="259"/>
      </w:pPr>
      <w:r>
        <w:rPr>
          <w:rFonts w:ascii="Calibri" w:cs="Calibri" w:eastAsia="Calibri" w:hAnsi="Calibri"/>
          <w:b/>
          <w:bCs/>
          <w:color w:val="1F2D3D"/>
          <w:sz w:val="20"/>
          <w:szCs w:val="20"/>
        </w:rPr>
        <w:t xml:space="preserve">Fix weak economics before scaling: </w:t>
      </w:r>
      <w:r>
        <w:rPr>
          <w:rFonts w:ascii="Calibri" w:cs="Calibri" w:eastAsia="Calibri" w:hAnsi="Calibri"/>
          <w:color w:val="1F2D3D"/>
          <w:sz w:val="20"/>
          <w:szCs w:val="20"/>
        </w:rPr>
        <w:t xml:space="preserve">Hebbal and districts outside the top-10 ROI list pull the portfolio to 16%.</w:t>
      </w:r>
    </w:p>
    <w:p>
      <w:pPr>
        <w:pStyle w:val="ListParagraph"/>
        <w:numPr>
          <w:ilvl w:val="0"/>
          <w:numId w:val="2"/>
        </w:numPr>
        <w:spacing w:after="40" w:line="259"/>
      </w:pPr>
      <w:r>
        <w:rPr>
          <w:rFonts w:ascii="Calibri" w:cs="Calibri" w:eastAsia="Calibri" w:hAnsi="Calibri"/>
          <w:b/>
          <w:bCs/>
          <w:color w:val="1F2D3D"/>
          <w:sz w:val="20"/>
          <w:szCs w:val="20"/>
        </w:rPr>
        <w:t xml:space="preserve">Price by time and tier: </w:t>
      </w:r>
      <w:r>
        <w:rPr>
          <w:rFonts w:ascii="Calibri" w:cs="Calibri" w:eastAsia="Calibri" w:hAnsi="Calibri"/>
          <w:color w:val="1F2D3D"/>
          <w:sz w:val="20"/>
          <w:szCs w:val="20"/>
        </w:rPr>
        <w:t xml:space="preserve">use overnight offers to lift the overnight 30% energy share, and protect the Mid-Range yield of ₹23/kWh.</w:t>
      </w:r>
    </w:p>
    <w:p>
      <w:pPr>
        <w:pStyle w:val="ListParagraph"/>
        <w:numPr>
          <w:ilvl w:val="0"/>
          <w:numId w:val="2"/>
        </w:numPr>
        <w:spacing w:after="40" w:line="259"/>
      </w:pPr>
      <w:r>
        <w:rPr>
          <w:rFonts w:ascii="Calibri" w:cs="Calibri" w:eastAsia="Calibri" w:hAnsi="Calibri"/>
          <w:b/>
          <w:bCs/>
          <w:color w:val="1F2D3D"/>
          <w:sz w:val="20"/>
          <w:szCs w:val="20"/>
        </w:rPr>
        <w:t xml:space="preserve">Review stations 75, 155 and 151, </w:t>
      </w:r>
      <w:r>
        <w:rPr>
          <w:rFonts w:ascii="Calibri" w:cs="Calibri" w:eastAsia="Calibri" w:hAnsi="Calibri"/>
          <w:color w:val="1F2D3D"/>
          <w:sz w:val="20"/>
          <w:szCs w:val="20"/>
        </w:rPr>
        <w:t xml:space="preserve">the lowest-loaded sites, for placement, signage and uptime.</w:t>
      </w:r>
    </w:p>
    <w:p>
      <w:pPr>
        <w:keepNext/>
        <w:pBdr>
          <w:bottom w:val="single" w:color="00A99D" w:sz="6" w:space="2"/>
        </w:pBdr>
        <w:spacing w:after="70" w:before="160"/>
      </w:pPr>
      <w:r>
        <w:rPr>
          <w:rFonts w:ascii="Cambria" w:cs="Cambria" w:eastAsia="Cambria" w:hAnsi="Cambria"/>
          <w:b/>
          <w:bCs/>
          <w:color w:val="0B4F9C"/>
          <w:sz w:val="26"/>
          <w:szCs w:val="26"/>
        </w:rPr>
        <w:t xml:space="preserve">6. Data notes and limitations</w:t>
      </w:r>
    </w:p>
    <w:p>
      <w:pPr>
        <w:spacing w:after="80" w:line="264"/>
      </w:pPr>
      <w:r>
        <w:rPr>
          <w:rFonts w:ascii="Calibri" w:cs="Calibri" w:eastAsia="Calibri" w:hAnsi="Calibri"/>
          <w:color w:val="5B6B7B"/>
          <w:sz w:val="17"/>
          <w:szCs w:val="17"/>
        </w:rPr>
        <w:t xml:space="preserve">The dataset is synthetic and covers about 90 days, so August and November are part-months. Every station has a uniform 6 plugs, which is a placeholder. The data dictionary states a range to 31 Dec 2024, but the file ends on 8 Nov. Per-model vehicle counts are unavailable, land lease and infrastructure are not split out, and the priority thresholds above are analyst-defined. Two source-dashboard KPIs were restated: “1,754 per plug” is per station, and “25.1 per station” is per session.</w:t>
      </w:r>
    </w:p>
    <w:sectPr>
      <w:headerReference w:type="default" r:id="rId7"/>
      <w:footerReference w:type="default" r:id="rId8"/>
      <w:pgSz w:w="11906" w:h="16838" w:orient="portrait"/>
      <w:pgMar w:top="1200" w:right="1000" w:bottom="1000" w:left="1000" w:header="50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06"/>
      </w:tabs>
    </w:pPr>
    <w:r>
      <w:rPr>
        <w:rFonts w:ascii="Calibri" w:cs="Calibri" w:eastAsia="Calibri" w:hAnsi="Calibri"/>
        <w:color w:val="5B6B7B"/>
        <w:sz w:val="16"/>
        <w:szCs w:val="16"/>
      </w:rPr>
      <w:t xml:space="preserve">Milestone Project 1 | Render Riot analytics</w:t>
    </w:r>
    <w:r>
      <w:rPr>
        <w:rFonts w:ascii="Calibri" w:cs="Calibri" w:eastAsia="Calibri" w:hAnsi="Calibri"/>
        <w:color w:val="5B6B7B"/>
        <w:sz w:val="16"/>
        <w:szCs w:val="16"/>
      </w:rPr>
      <w:t xml:space="preserve">	Page </w:t>
    </w:r>
    <w:r>
      <w:rPr>
        <w:rFonts w:ascii="Calibri" w:cs="Calibri" w:eastAsia="Calibri" w:hAnsi="Calibri"/>
        <w:color w:val="5B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3E3" w:sz="4" w:space="3"/>
      </w:pBdr>
      <w:tabs>
        <w:tab w:val="right" w:pos="9906"/>
      </w:tabs>
    </w:pPr>
    <w:r>
      <w:rPr>
        <w:rFonts w:ascii="Calibri" w:cs="Calibri" w:eastAsia="Calibri" w:hAnsi="Calibri"/>
        <w:b/>
        <w:bCs/>
        <w:color w:val="00A99D"/>
        <w:sz w:val="17"/>
        <w:szCs w:val="17"/>
      </w:rPr>
      <w:t xml:space="preserve">Tata Power | EV Charging Infrastructure</w:t>
    </w:r>
    <w:r>
      <w:rPr>
        <w:rFonts w:ascii="Calibri" w:cs="Calibri" w:eastAsia="Calibri" w:hAnsi="Calibri"/>
      </w:rPr>
      <w:t xml:space="preserve">	</w:t>
    </w:r>
    <w:r>
      <w:drawing>
        <wp:inline distT="0" distB="0" distL="0" distR="0">
          <wp:extent cx="285750" cy="285750"/>
          <wp:effectExtent t="0" r="0" b="0" l="0"/>
          <wp:docPr id="1" name="logo" descr="Tata Power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0A99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3ea0a2966991b505b1500b5be59329d25a54f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033db5b7e9ca3c42d4f6d67b95254f66b4e3f3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Tata Power EV Charging Infrastructure Analytics</dc:title>
  <dc:creator>Yavan Pratap</dc:creator>
  <cp:lastModifiedBy>Un-named</cp:lastModifiedBy>
  <cp:revision>1</cp:revision>
  <dcterms:created xsi:type="dcterms:W3CDTF">2026-10-15T12:46:17.017Z</dcterms:created>
  <dcterms:modified xsi:type="dcterms:W3CDTF">2026-10-15T12:46:17.018Z</dcterms:modified>
</cp:coreProperties>
</file>

<file path=docProps/custom.xml><?xml version="1.0" encoding="utf-8"?>
<Properties xmlns="http://schemas.openxmlformats.org/officeDocument/2006/custom-properties" xmlns:vt="http://schemas.openxmlformats.org/officeDocument/2006/docPropsVTypes"/>
</file>