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</w:pPr>
    </w:p>
    <w:p>
      <w:pPr>
        <w:spacing w:after="60"/>
      </w:pPr>
      <w:r>
        <w:rPr>
          <w:rFonts w:ascii="Aptos" w:hAnsi="Aptos"/>
          <w:b/>
          <w:color w:val="EAB83E"/>
          <w:sz w:val="16"/>
        </w:rPr>
        <w:t>FACILITATOR COURSE STUDIO • ANNOTATED GUIDE</w:t>
      </w:r>
    </w:p>
    <w:p>
      <w:pPr>
        <w:pStyle w:val="Title"/>
        <w:spacing w:after="160"/>
      </w:pPr>
      <w:r>
        <w:t>Build a review-ready UCC microcredential</w:t>
      </w:r>
    </w:p>
    <w:p>
      <w:pPr>
        <w:spacing w:after="360"/>
      </w:pPr>
      <w:r>
        <w:rPr>
          <w:color w:val="5F7383"/>
          <w:sz w:val="26"/>
        </w:rPr>
        <w:t>A six-stage tutorial with completion indicators, field-by-field examples and a complete illustrative course.</w:t>
      </w:r>
    </w:p>
    <w:p>
      <w:pPr>
        <w:spacing w:before="100" w:after="140"/>
        <w:ind w:left="85" w:right="85"/>
        <w:shd w:fill="FFF7DD"/>
        <w:pBdr>
          <w:left w:val="single" w:sz="22" w:space="8" w:color="EAB83E"/>
        </w:pBdr>
      </w:pPr>
      <w:r>
        <w:rPr>
          <w:b/>
          <w:color w:val="0B2E4F"/>
          <w:sz w:val="20"/>
        </w:rPr>
        <w:t>A worked model—not a prescribed course</w:t>
        <w:br/>
      </w:r>
      <w:r>
        <w:rPr>
          <w:sz w:val="18"/>
        </w:rPr>
        <w:t>Every field is filled to show the expected level of clarity. Facilitators should adapt the evidence, content, dates and assessment to their own discipline and obtain academic approval before delivery.</w:t>
      </w:r>
    </w:p>
    <w:p>
      <w:pPr>
        <w:spacing w:after="560"/>
      </w:pPr>
    </w:p>
    <w:p>
      <w:pPr>
        <w:jc w:val="right"/>
      </w:pPr>
      <w:r>
        <w:rPr>
          <w:b/>
          <w:color w:val="177E78"/>
        </w:rPr>
        <w:t>Release 10 • 5 September 2026</w:t>
      </w:r>
    </w:p>
    <w:p>
      <w:pPr>
        <w:pStyle w:val="Heading2"/>
      </w:pPr>
      <w:r>
        <w:t>What this guide gives you</w:t>
      </w:r>
    </w:p>
    <w:p>
      <w:pPr>
        <w:pStyle w:val="ListBullet"/>
        <w:spacing w:after="40"/>
      </w:pPr>
      <w:r>
        <w:t>A clean route through all six Course Studio stages.</w:t>
      </w:r>
    </w:p>
    <w:p>
      <w:pPr>
        <w:pStyle w:val="ListBullet"/>
        <w:spacing w:after="40"/>
      </w:pPr>
      <w:r>
        <w:t>Plain-language explanations of required fields and optional enhancements.</w:t>
      </w:r>
    </w:p>
    <w:p>
      <w:pPr>
        <w:pStyle w:val="ListBullet"/>
        <w:spacing w:after="40"/>
      </w:pPr>
      <w:r>
        <w:t>A complete model course that can be loaded safely into the unsaved editor.</w:t>
      </w:r>
    </w:p>
    <w:p>
      <w:pPr>
        <w:pStyle w:val="ListBullet"/>
        <w:spacing w:after="40"/>
      </w:pPr>
      <w:r>
        <w:t>Checks for outcome alignment, accessibility, authentic evidence and the certificate gate.</w:t>
      </w:r>
    </w:p>
    <w:p>
      <w:pPr>
        <w:pStyle w:val="ListBullet"/>
        <w:spacing w:after="40"/>
      </w:pPr>
      <w:r>
        <w:t>A final pre-submission checklist for academic approval.</w:t>
      </w:r>
    </w:p>
    <w:p>
      <w:pPr>
        <w:spacing w:before="100" w:after="140"/>
        <w:ind w:left="85" w:right="85"/>
        <w:shd w:fill="E9F6F4"/>
        <w:pBdr>
          <w:left w:val="single" w:sz="22" w:space="8" w:color="177E78"/>
        </w:pBdr>
      </w:pPr>
      <w:r>
        <w:rPr>
          <w:b/>
          <w:color w:val="0B2E4F"/>
          <w:sz w:val="20"/>
        </w:rPr>
        <w:t>Start in the application</w:t>
        <w:br/>
      </w:r>
      <w:r>
        <w:rPr>
          <w:sz w:val="18"/>
        </w:rPr>
        <w:t>Open Facilitator Portal → Course Studio → Load complete example. The example changes only the current unsaved editor state until you choose Save draft.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color w:val="177E78"/>
          <w:sz w:val="16"/>
        </w:rPr>
        <w:t>HOW THE STUDIO WORKS</w:t>
      </w:r>
    </w:p>
    <w:p>
      <w:pPr>
        <w:pStyle w:val="Heading1"/>
      </w:pPr>
      <w:r>
        <w:t>One course, six visible stages</w:t>
      </w:r>
    </w:p>
    <w:p>
      <w:r>
        <w:t>The redesigned workspace separates planning, content, practice, assessment and final review. The right-side checks show what is complete and what must be corrected before the draft can be submitted.</w:t>
      </w:r>
    </w:p>
    <w:tbl>
      <w:tblPr>
        <w:tblStyle w:val="TableGrid"/>
        <w:tblW w:type="dxa" w:w="8957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1531"/>
        <w:gridCol w:w="2891"/>
        <w:gridCol w:w="4535"/>
      </w:tblGrid>
      <w:tr>
        <w:trPr>
          <w:tblHeader w:val="true"/>
        </w:trPr>
        <w:tc>
          <w:tcPr>
            <w:tcW w:type="dxa" w:w="153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Stage</w:t>
            </w:r>
          </w:p>
        </w:tc>
        <w:tc>
          <w:tcPr>
            <w:tcW w:type="dxa" w:w="289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4535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Completion evidence</w:t>
            </w:r>
          </w:p>
        </w:tc>
      </w:tr>
      <w:tr>
        <w:tc>
          <w:tcPr>
            <w:tcW w:type="dxa" w:w="15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1 · Essentials</w:t>
            </w:r>
          </w:p>
        </w:tc>
        <w:tc>
          <w:tcPr>
            <w:tcW w:type="dxa" w:w="289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Define the offer and audience.</w:t>
            </w:r>
          </w:p>
        </w:tc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Code, title, description, discipline, level, language, delivery, hours, enrolment and price.</w:t>
            </w:r>
          </w:p>
        </w:tc>
      </w:tr>
      <w:tr>
        <w:tc>
          <w:tcPr>
            <w:tcW w:type="dxa" w:w="153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2 · Outcomes</w:t>
            </w:r>
          </w:p>
        </w:tc>
        <w:tc>
          <w:tcPr>
            <w:tcW w:type="dxa" w:w="289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Connect purpose, capability and evidence.</w:t>
            </w:r>
          </w:p>
        </w:tc>
        <w:tc>
          <w:tcPr>
            <w:tcW w:type="dxa" w:w="453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Objectives, measurable outcomes, skill, assessment method, skills tags and course sections.</w:t>
            </w:r>
          </w:p>
        </w:tc>
      </w:tr>
      <w:tr>
        <w:tc>
          <w:tcPr>
            <w:tcW w:type="dxa" w:w="15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3 · Learning</w:t>
            </w:r>
          </w:p>
        </w:tc>
        <w:tc>
          <w:tcPr>
            <w:tcW w:type="dxa" w:w="289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Create the learner journey.</w:t>
            </w:r>
          </w:p>
        </w:tc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Accessible learning blocks mapped to a section and at least one outcome.</w:t>
            </w:r>
          </w:p>
        </w:tc>
      </w:tr>
      <w:tr>
        <w:tc>
          <w:tcPr>
            <w:tcW w:type="dxa" w:w="153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4 · Activities</w:t>
            </w:r>
          </w:p>
        </w:tc>
        <w:tc>
          <w:tcPr>
            <w:tcW w:type="dxa" w:w="289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Add authentic practice.</w:t>
            </w:r>
          </w:p>
        </w:tc>
        <w:tc>
          <w:tcPr>
            <w:tcW w:type="dxa" w:w="453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Colab or virtual-lab instructions, rubric, pass mark, attempts, due date and required/optional status.</w:t>
            </w:r>
          </w:p>
        </w:tc>
      </w:tr>
      <w:tr>
        <w:tc>
          <w:tcPr>
            <w:tcW w:type="dxa" w:w="15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5 · Assessment</w:t>
            </w:r>
          </w:p>
        </w:tc>
        <w:tc>
          <w:tcPr>
            <w:tcW w:type="dxa" w:w="289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Configure valid judgement.</w:t>
            </w:r>
          </w:p>
        </w:tc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Assessment modes, scored questions, feedback, marking schemes, pass mark and attempts.</w:t>
            </w:r>
          </w:p>
        </w:tc>
      </w:tr>
      <w:tr>
        <w:tc>
          <w:tcPr>
            <w:tcW w:type="dxa" w:w="153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6 · Review</w:t>
            </w:r>
          </w:p>
        </w:tc>
        <w:tc>
          <w:tcPr>
            <w:tcW w:type="dxa" w:w="289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Test and submit with confidence.</w:t>
            </w:r>
          </w:p>
        </w:tc>
        <w:tc>
          <w:tcPr>
            <w:tcW w:type="dxa" w:w="453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Readiness checks, learner preview, saved draft and submission for academic approval.</w:t>
            </w:r>
          </w:p>
        </w:tc>
      </w:tr>
    </w:tbl>
    <w:p>
      <w:pPr>
        <w:spacing w:after="0"/>
      </w:pPr>
    </w:p>
    <w:p>
      <w:pPr>
        <w:pStyle w:val="Heading2"/>
      </w:pPr>
      <w:r>
        <w:t>Read the indicators</w:t>
      </w:r>
    </w:p>
    <w:tbl>
      <w:tblPr>
        <w:tblStyle w:val="TableGrid"/>
        <w:tblW w:type="dxa" w:w="8958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1701"/>
        <w:gridCol w:w="3969"/>
        <w:gridCol w:w="3288"/>
      </w:tblGrid>
      <w:tr>
        <w:trPr>
          <w:tblHeader w:val="true"/>
        </w:trPr>
        <w:tc>
          <w:tcPr>
            <w:tcW w:type="dxa" w:w="170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Indicator</w:t>
            </w:r>
          </w:p>
        </w:tc>
        <w:tc>
          <w:tcPr>
            <w:tcW w:type="dxa" w:w="3969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3288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Green tick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Every required check for the stage is satisfied.</w:t>
            </w:r>
          </w:p>
        </w:tc>
        <w:tc>
          <w:tcPr>
            <w:tcW w:type="dxa" w:w="328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Continue, but still review quality and accuracy.</w:t>
            </w:r>
          </w:p>
        </w:tc>
      </w:tr>
      <w:tr>
        <w:tc>
          <w:tcPr>
            <w:tcW w:type="dxa" w:w="170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Clock / incomplete</w:t>
            </w:r>
          </w:p>
        </w:tc>
        <w:tc>
          <w:tcPr>
            <w:tcW w:type="dxa" w:w="3969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 named required field or evidence item is missing.</w:t>
            </w:r>
          </w:p>
        </w:tc>
        <w:tc>
          <w:tcPr>
            <w:tcW w:type="dxa" w:w="3288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Open the stage and follow the exact side-check message.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Optional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The enhancement may be omitted.</w:t>
            </w:r>
          </w:p>
        </w:tc>
        <w:tc>
          <w:tcPr>
            <w:tcW w:type="dxa" w:w="328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If added, configure it fully and ensure it serves an outcome.</w:t>
            </w:r>
          </w:p>
        </w:tc>
      </w:tr>
      <w:tr>
        <w:tc>
          <w:tcPr>
            <w:tcW w:type="dxa" w:w="170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Readiness score</w:t>
            </w:r>
          </w:p>
        </w:tc>
        <w:tc>
          <w:tcPr>
            <w:tcW w:type="dxa" w:w="3969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 design-quality signal, not academic approval.</w:t>
            </w:r>
          </w:p>
        </w:tc>
        <w:tc>
          <w:tcPr>
            <w:tcW w:type="dxa" w:w="3288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Resolve all blocking checks before submission.</w:t>
            </w:r>
          </w:p>
        </w:tc>
      </w:tr>
    </w:tbl>
    <w:p>
      <w:pPr>
        <w:spacing w:after="0"/>
      </w:pPr>
    </w:p>
    <w:p>
      <w:pPr>
        <w:spacing w:before="100" w:after="140"/>
        <w:ind w:left="85" w:right="85"/>
        <w:shd w:fill="FFF7DD"/>
        <w:pBdr>
          <w:left w:val="single" w:sz="22" w:space="8" w:color="EAB83E"/>
        </w:pBdr>
      </w:pPr>
      <w:r>
        <w:rPr>
          <w:b/>
          <w:color w:val="0B2E4F"/>
          <w:sz w:val="20"/>
        </w:rPr>
        <w:t>Side-check rule</w:t>
        <w:br/>
      </w:r>
      <w:r>
        <w:rPr>
          <w:sz w:val="18"/>
        </w:rPr>
        <w:t>A completed field is not the same as a good field. Use specific language, observable verbs and evidence that a reviewer can inspect.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color w:val="177E78"/>
          <w:sz w:val="16"/>
        </w:rPr>
        <w:t>STAGES 1–2</w:t>
      </w:r>
    </w:p>
    <w:p>
      <w:pPr>
        <w:pStyle w:val="Heading1"/>
      </w:pPr>
      <w:r>
        <w:t>Define the offer, then align the design</w:t>
      </w:r>
    </w:p>
    <w:p>
      <w:pPr>
        <w:pStyle w:val="Heading2"/>
      </w:pPr>
      <w:r>
        <w:t>Stage 1 · Essentials</w:t>
      </w:r>
    </w:p>
    <w:tbl>
      <w:tblPr>
        <w:tblStyle w:val="TableGrid"/>
        <w:tblW w:type="dxa" w:w="8958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1701"/>
        <w:gridCol w:w="4252"/>
        <w:gridCol w:w="3005"/>
      </w:tblGrid>
      <w:tr>
        <w:trPr>
          <w:tblHeader w:val="true"/>
        </w:trPr>
        <w:tc>
          <w:tcPr>
            <w:tcW w:type="dxa" w:w="170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252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Illustrative entry</w:t>
            </w:r>
          </w:p>
        </w:tc>
        <w:tc>
          <w:tcPr>
            <w:tcW w:type="dxa" w:w="3005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Why it works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Course title</w:t>
            </w:r>
          </w:p>
        </w:tc>
        <w:tc>
          <w:tcPr>
            <w:tcW w:type="dxa" w:w="425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Applied Data Literacy for Evidence-Based Decision-Making</w:t>
            </w:r>
          </w:p>
        </w:tc>
        <w:tc>
          <w:tcPr>
            <w:tcW w:type="dxa" w:w="300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Names the capability and practical purpose.</w:t>
            </w:r>
          </w:p>
        </w:tc>
      </w:tr>
      <w:tr>
        <w:tc>
          <w:tcPr>
            <w:tcW w:type="dxa" w:w="170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Code</w:t>
            </w:r>
          </w:p>
        </w:tc>
        <w:tc>
          <w:tcPr>
            <w:tcW w:type="dxa" w:w="4252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UCC-MC-ADL-001</w:t>
            </w:r>
          </w:p>
        </w:tc>
        <w:tc>
          <w:tcPr>
            <w:tcW w:type="dxa" w:w="300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Unique, short and institutionally traceable.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Audience</w:t>
            </w:r>
          </w:p>
        </w:tc>
        <w:tc>
          <w:tcPr>
            <w:tcW w:type="dxa" w:w="425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Public-sector, NGO, academic and business professionals who interpret data.</w:t>
            </w:r>
          </w:p>
        </w:tc>
        <w:tc>
          <w:tcPr>
            <w:tcW w:type="dxa" w:w="300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Identifies who will use the learning and in what context.</w:t>
            </w:r>
          </w:p>
        </w:tc>
      </w:tr>
      <w:tr>
        <w:tc>
          <w:tcPr>
            <w:tcW w:type="dxa" w:w="170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Prerequisites</w:t>
            </w:r>
          </w:p>
        </w:tc>
        <w:tc>
          <w:tcPr>
            <w:tcW w:type="dxa" w:w="4252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Basic computer and spreadsheet skills; no programming experience required.</w:t>
            </w:r>
          </w:p>
        </w:tc>
        <w:tc>
          <w:tcPr>
            <w:tcW w:type="dxa" w:w="300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Sets fair expectations without hidden barriers.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Duration / mode</w:t>
            </w:r>
          </w:p>
        </w:tc>
        <w:tc>
          <w:tcPr>
            <w:tcW w:type="dxa" w:w="425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30 hours · blended · applied level</w:t>
            </w:r>
          </w:p>
        </w:tc>
        <w:tc>
          <w:tcPr>
            <w:tcW w:type="dxa" w:w="300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States learner workload and delivery pattern.</w:t>
            </w:r>
          </w:p>
        </w:tc>
      </w:tr>
      <w:tr>
        <w:tc>
          <w:tcPr>
            <w:tcW w:type="dxa" w:w="170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Enrolment / price</w:t>
            </w:r>
          </w:p>
        </w:tc>
        <w:tc>
          <w:tcPr>
            <w:tcW w:type="dxa" w:w="4252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Application · GHS 450</w:t>
            </w:r>
          </w:p>
        </w:tc>
        <w:tc>
          <w:tcPr>
            <w:tcW w:type="dxa" w:w="300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Makes access and commercial conditions explicit.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Accessibility</w:t>
            </w:r>
          </w:p>
        </w:tc>
        <w:tc>
          <w:tcPr>
            <w:tcW w:type="dxa" w:w="425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Structured HTML, heading-led documents, reviewed transcripts and keyboard support.</w:t>
            </w:r>
          </w:p>
        </w:tc>
        <w:tc>
          <w:tcPr>
            <w:tcW w:type="dxa" w:w="300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Describes concrete provision, not a generic promise.</w:t>
            </w:r>
          </w:p>
        </w:tc>
      </w:tr>
    </w:tbl>
    <w:p>
      <w:pPr>
        <w:spacing w:after="0"/>
      </w:pPr>
    </w:p>
    <w:p>
      <w:pPr>
        <w:pStyle w:val="Heading2"/>
      </w:pPr>
      <w:r>
        <w:t>Stage 2 · Outcome-led design</w:t>
      </w:r>
    </w:p>
    <w:p>
      <w:r>
        <w:t>Write objectives as broad intentions. Write outcomes as observable learner performances and name the evidence that will prove achievement.</w:t>
      </w:r>
    </w:p>
    <w:tbl>
      <w:tblPr>
        <w:tblStyle w:val="TableGrid"/>
        <w:tblW w:type="dxa" w:w="8958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4989"/>
        <w:gridCol w:w="1871"/>
        <w:gridCol w:w="2098"/>
      </w:tblGrid>
      <w:tr>
        <w:trPr>
          <w:tblHeader w:val="true"/>
        </w:trPr>
        <w:tc>
          <w:tcPr>
            <w:tcW w:type="dxa" w:w="4989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Outcome statement</w:t>
            </w:r>
          </w:p>
        </w:tc>
        <w:tc>
          <w:tcPr>
            <w:tcW w:type="dxa" w:w="187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Skill</w:t>
            </w:r>
          </w:p>
        </w:tc>
        <w:tc>
          <w:tcPr>
            <w:tcW w:type="dxa" w:w="2098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Assessment method</w:t>
            </w:r>
          </w:p>
        </w:tc>
      </w:tr>
      <w:tr>
        <w:tc>
          <w:tcPr>
            <w:tcW w:type="dxa" w:w="498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Explain the data lifecycle and identify quality, provenance, privacy and ethical risks.</w:t>
            </w:r>
          </w:p>
        </w:tc>
        <w:tc>
          <w:tcPr>
            <w:tcW w:type="dxa" w:w="187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Conceptual understanding</w:t>
            </w:r>
          </w:p>
        </w:tc>
        <w:tc>
          <w:tcPr>
            <w:tcW w:type="dxa" w:w="209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Objective knowledge check</w:t>
            </w:r>
          </w:p>
        </w:tc>
      </w:tr>
      <w:tr>
        <w:tc>
          <w:tcPr>
            <w:tcW w:type="dxa" w:w="4989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Clean, summarise and visualise a small dataset in Google Colab using a reproducible workflow.</w:t>
            </w:r>
          </w:p>
        </w:tc>
        <w:tc>
          <w:tcPr>
            <w:tcW w:type="dxa" w:w="187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Data literacy</w:t>
            </w:r>
          </w:p>
        </w:tc>
        <w:tc>
          <w:tcPr>
            <w:tcW w:type="dxa" w:w="2098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Applied practical evidence</w:t>
            </w:r>
          </w:p>
        </w:tc>
      </w:tr>
      <w:tr>
        <w:tc>
          <w:tcPr>
            <w:tcW w:type="dxa" w:w="498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Interpret a chart accurately and communicate a finding with uncertainty and limitations.</w:t>
            </w:r>
          </w:p>
        </w:tc>
        <w:tc>
          <w:tcPr>
            <w:tcW w:type="dxa" w:w="187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Professional communication</w:t>
            </w:r>
          </w:p>
        </w:tc>
        <w:tc>
          <w:tcPr>
            <w:tcW w:type="dxa" w:w="209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Presentation / demonstration</w:t>
            </w:r>
          </w:p>
        </w:tc>
      </w:tr>
      <w:tr>
        <w:tc>
          <w:tcPr>
            <w:tcW w:type="dxa" w:w="4989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Defend an ethical, evidence-informed recommendation for a realistic decision.</w:t>
            </w:r>
          </w:p>
        </w:tc>
        <w:tc>
          <w:tcPr>
            <w:tcW w:type="dxa" w:w="187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Ethical decision-making</w:t>
            </w:r>
          </w:p>
        </w:tc>
        <w:tc>
          <w:tcPr>
            <w:tcW w:type="dxa" w:w="2098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Oral assessment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color w:val="177E78"/>
          <w:sz w:val="16"/>
        </w:rPr>
        <w:t>STAGE 3</w:t>
      </w:r>
    </w:p>
    <w:p>
      <w:pPr>
        <w:pStyle w:val="Heading1"/>
      </w:pPr>
      <w:r>
        <w:t>Build an accessible learner journey</w:t>
      </w:r>
    </w:p>
    <w:p>
      <w:r>
        <w:t>The example uses four sections and seven learning blocks. Every block belongs to a section, has a clear learner-facing title, names its source and maps to one or more outcomes.</w:t>
      </w:r>
    </w:p>
    <w:tbl>
      <w:tblPr>
        <w:tblStyle w:val="TableGrid"/>
        <w:tblW w:type="dxa" w:w="8957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2324"/>
        <w:gridCol w:w="4082"/>
        <w:gridCol w:w="2551"/>
      </w:tblGrid>
      <w:tr>
        <w:trPr>
          <w:tblHeader w:val="true"/>
        </w:trPr>
        <w:tc>
          <w:tcPr>
            <w:tcW w:type="dxa" w:w="2324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4082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Learning block</w:t>
            </w:r>
          </w:p>
        </w:tc>
        <w:tc>
          <w:tcPr>
            <w:tcW w:type="dxa" w:w="255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Format / design note</w:t>
            </w:r>
          </w:p>
        </w:tc>
      </w:tr>
      <w:tr>
        <w:tc>
          <w:tcPr>
            <w:tcW w:type="dxa" w:w="232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1 · Orientation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Start here: pathway, support and certificate conditions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Readable HTML · states pathway and credential rules.</w:t>
            </w:r>
          </w:p>
        </w:tc>
      </w:tr>
      <w:tr>
        <w:tc>
          <w:tcPr>
            <w:tcW w:type="dxa" w:w="2324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1 · Orientation</w:t>
            </w:r>
          </w:p>
        </w:tc>
        <w:tc>
          <w:tcPr>
            <w:tcW w:type="dxa" w:w="4082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Annotated community-indicators case pack</w:t>
            </w:r>
          </w:p>
        </w:tc>
        <w:tc>
          <w:tcPr>
            <w:tcW w:type="dxa" w:w="255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PDF download · includes data dictionary and decision prompts.</w:t>
            </w:r>
          </w:p>
        </w:tc>
      </w:tr>
      <w:tr>
        <w:tc>
          <w:tcPr>
            <w:tcW w:type="dxa" w:w="232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2 · Foundations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Data quality, provenance and ethical use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Readable HTML · five pre-analysis checks.</w:t>
            </w:r>
          </w:p>
        </w:tc>
      </w:tr>
      <w:tr>
        <w:tc>
          <w:tcPr>
            <w:tcW w:type="dxa" w:w="2324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2 · Foundations</w:t>
            </w:r>
          </w:p>
        </w:tc>
        <w:tc>
          <w:tcPr>
            <w:tcW w:type="dxa" w:w="4082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How a neural network learns</w:t>
            </w:r>
          </w:p>
        </w:tc>
        <w:tc>
          <w:tcPr>
            <w:tcW w:type="dxa" w:w="255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Reviewed external video · link plus companion transcript.</w:t>
            </w:r>
          </w:p>
        </w:tc>
      </w:tr>
      <w:tr>
        <w:tc>
          <w:tcPr>
            <w:tcW w:type="dxa" w:w="232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3 · Applied analysis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Worked example: community-service dataset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Readable HTML · question-to-chart workflow.</w:t>
            </w:r>
          </w:p>
        </w:tc>
      </w:tr>
      <w:tr>
        <w:tc>
          <w:tcPr>
            <w:tcW w:type="dxa" w:w="2324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3 · Applied analysis</w:t>
            </w:r>
          </w:p>
        </w:tc>
        <w:tc>
          <w:tcPr>
            <w:tcW w:type="dxa" w:w="4082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World Bank Open Data explorer</w:t>
            </w:r>
          </w:p>
        </w:tc>
        <w:tc>
          <w:tcPr>
            <w:tcW w:type="dxa" w:w="255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External embed/link · source terms checked before publication.</w:t>
            </w:r>
          </w:p>
        </w:tc>
      </w:tr>
      <w:tr>
        <w:tc>
          <w:tcPr>
            <w:tcW w:type="dxa" w:w="232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4 · Capstone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Capstone evidence and oral-defence brief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Editable Word plus equivalent readable HTML.</w:t>
            </w:r>
          </w:p>
        </w:tc>
      </w:tr>
    </w:tbl>
    <w:p>
      <w:pPr>
        <w:spacing w:after="0"/>
      </w:pPr>
    </w:p>
    <w:p>
      <w:pPr>
        <w:pStyle w:val="Heading2"/>
      </w:pPr>
      <w:r>
        <w:t>Choose the right content method</w:t>
      </w:r>
    </w:p>
    <w:tbl>
      <w:tblPr>
        <w:tblStyle w:val="TableGrid"/>
        <w:tblW w:type="dxa" w:w="8957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2041"/>
        <w:gridCol w:w="4025"/>
        <w:gridCol w:w="2891"/>
      </w:tblGrid>
      <w:tr>
        <w:trPr>
          <w:tblHeader w:val="true"/>
        </w:trPr>
        <w:tc>
          <w:tcPr>
            <w:tcW w:type="dxa" w:w="204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Use</w:t>
            </w:r>
          </w:p>
        </w:tc>
        <w:tc>
          <w:tcPr>
            <w:tcW w:type="dxa" w:w="4025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When</w:t>
            </w:r>
          </w:p>
        </w:tc>
        <w:tc>
          <w:tcPr>
            <w:tcW w:type="dxa" w:w="289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Minimum check</w:t>
            </w:r>
          </w:p>
        </w:tc>
      </w:tr>
      <w:tr>
        <w:tc>
          <w:tcPr>
            <w:tcW w:type="dxa" w:w="204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Embed readable text</w:t>
            </w:r>
          </w:p>
        </w:tc>
        <w:tc>
          <w:tcPr>
            <w:tcW w:type="dxa" w:w="402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The content is course-authored or can be lawfully adapted.</w:t>
            </w:r>
          </w:p>
        </w:tc>
        <w:tc>
          <w:tcPr>
            <w:tcW w:type="dxa" w:w="289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Headings, lists, links and plain-language structure render correctly.</w:t>
            </w:r>
          </w:p>
        </w:tc>
      </w:tr>
      <w:tr>
        <w:tc>
          <w:tcPr>
            <w:tcW w:type="dxa" w:w="204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Upload PDF / Word</w:t>
            </w:r>
          </w:p>
        </w:tc>
        <w:tc>
          <w:tcPr>
            <w:tcW w:type="dxa" w:w="402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Learners need a fixed or editable reference file.</w:t>
            </w:r>
          </w:p>
        </w:tc>
        <w:tc>
          <w:tcPr>
            <w:tcW w:type="dxa" w:w="289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Retain a readable HTML equivalent; never display raw binary text.</w:t>
            </w:r>
          </w:p>
        </w:tc>
      </w:tr>
      <w:tr>
        <w:tc>
          <w:tcPr>
            <w:tcW w:type="dxa" w:w="204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Link / embed</w:t>
            </w:r>
          </w:p>
        </w:tc>
        <w:tc>
          <w:tcPr>
            <w:tcW w:type="dxa" w:w="402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 stable authoritative external source adds value.</w:t>
            </w:r>
          </w:p>
        </w:tc>
        <w:tc>
          <w:tcPr>
            <w:tcW w:type="dxa" w:w="289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Open in a new tab, name the source and provide an alternative if embedding fails.</w:t>
            </w:r>
          </w:p>
        </w:tc>
      </w:tr>
      <w:tr>
        <w:tc>
          <w:tcPr>
            <w:tcW w:type="dxa" w:w="204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Video</w:t>
            </w:r>
          </w:p>
        </w:tc>
        <w:tc>
          <w:tcPr>
            <w:tcW w:type="dxa" w:w="402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Motion or demonstration serves an outcome.</w:t>
            </w:r>
          </w:p>
        </w:tc>
        <w:tc>
          <w:tcPr>
            <w:tcW w:type="dxa" w:w="289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Review captions/transcript, duration, relevance and access conditions.</w:t>
            </w:r>
          </w:p>
        </w:tc>
      </w:tr>
    </w:tbl>
    <w:p>
      <w:pPr>
        <w:spacing w:after="0"/>
      </w:pPr>
    </w:p>
    <w:p>
      <w:pPr>
        <w:spacing w:before="100" w:after="140"/>
        <w:ind w:left="85" w:right="85"/>
        <w:shd w:fill="E9F6F4"/>
        <w:pBdr>
          <w:left w:val="single" w:sz="22" w:space="8" w:color="177E78"/>
        </w:pBdr>
      </w:pPr>
      <w:r>
        <w:rPr>
          <w:b/>
          <w:color w:val="0B2E4F"/>
          <w:sz w:val="20"/>
        </w:rPr>
        <w:t>Document preview safeguard</w:t>
        <w:br/>
      </w:r>
      <w:r>
        <w:rPr>
          <w:sz w:val="18"/>
        </w:rPr>
        <w:t>The learner preview must render extracted readable text or offer the original download. PDF or Word bytes must never be decoded directly into the lesson window.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color w:val="177E78"/>
          <w:sz w:val="16"/>
        </w:rPr>
        <w:t>STAGES 4–5</w:t>
      </w:r>
    </w:p>
    <w:p>
      <w:pPr>
        <w:pStyle w:val="Heading1"/>
      </w:pPr>
      <w:r>
        <w:t>Require authentic practice and valid evidence</w:t>
      </w:r>
    </w:p>
    <w:p>
      <w:pPr>
        <w:pStyle w:val="Heading2"/>
      </w:pPr>
      <w:r>
        <w:t>Stage 4 · Programme activities</w:t>
      </w:r>
    </w:p>
    <w:tbl>
      <w:tblPr>
        <w:tblStyle w:val="TableGrid"/>
        <w:tblW w:type="dxa" w:w="8958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3969"/>
        <w:gridCol w:w="1247"/>
        <w:gridCol w:w="3742"/>
      </w:tblGrid>
      <w:tr>
        <w:trPr>
          <w:tblHeader w:val="true"/>
        </w:trPr>
        <w:tc>
          <w:tcPr>
            <w:tcW w:type="dxa" w:w="3969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Activity</w:t>
            </w:r>
          </w:p>
        </w:tc>
        <w:tc>
          <w:tcPr>
            <w:tcW w:type="dxa" w:w="1247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Gate</w:t>
            </w:r>
          </w:p>
        </w:tc>
        <w:tc>
          <w:tcPr>
            <w:tcW w:type="dxa" w:w="3742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Configuration</w:t>
            </w:r>
          </w:p>
        </w:tc>
      </w:tr>
      <w:tr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Colab data-cleaning and visualisation notebook</w:t>
            </w:r>
          </w:p>
        </w:tc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Required</w:t>
            </w:r>
          </w:p>
        </w:tc>
        <w:tc>
          <w:tcPr>
            <w:tcW w:type="dxa" w:w="374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Pass 70% · 3 attempts · instructions, notebook and 100-mark rubric supplied.</w:t>
            </w:r>
          </w:p>
        </w:tc>
      </w:tr>
      <w:tr>
        <w:tc>
          <w:tcPr>
            <w:tcW w:type="dxa" w:w="3969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Virtual measurement and data-quality practical</w:t>
            </w:r>
          </w:p>
        </w:tc>
        <w:tc>
          <w:tcPr>
            <w:tcW w:type="dxa" w:w="1247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Required</w:t>
            </w:r>
          </w:p>
        </w:tc>
        <w:tc>
          <w:tcPr>
            <w:tcW w:type="dxa" w:w="3742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Pass 70% · 2 attempts · safety gate, observations, calculation and report rubric.</w:t>
            </w:r>
          </w:p>
        </w:tc>
      </w:tr>
      <w:tr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Ohm’s law data interpretation</w:t>
            </w:r>
          </w:p>
        </w:tc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Optional</w:t>
            </w:r>
          </w:p>
        </w:tc>
        <w:tc>
          <w:tcPr>
            <w:tcW w:type="dxa" w:w="374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Pass 60% · 3 attempts · enrichment only; not part of the certificate gate.</w:t>
            </w:r>
          </w:p>
        </w:tc>
      </w:tr>
    </w:tbl>
    <w:p>
      <w:pPr>
        <w:spacing w:after="0"/>
      </w:pPr>
    </w:p>
    <w:p>
      <w:pPr>
        <w:pStyle w:val="Heading3"/>
      </w:pPr>
      <w:r>
        <w:t>Colab preview: two supported routes</w:t>
      </w:r>
    </w:p>
    <w:p>
      <w:pPr>
        <w:spacing w:after="40"/>
        <w:ind w:left="369" w:hanging="283"/>
      </w:pPr>
      <w:r>
        <w:rPr>
          <w:b/>
          <w:color w:val="177E78"/>
        </w:rPr>
        <w:t xml:space="preserve">1.  </w:t>
      </w:r>
      <w:r>
        <w:t>A valid GitHub .ipynb or Google Colab URL opens directly in a new tab.</w:t>
      </w:r>
    </w:p>
    <w:p>
      <w:pPr>
        <w:spacing w:after="40"/>
        <w:ind w:left="369" w:hanging="283"/>
      </w:pPr>
      <w:r>
        <w:rPr>
          <w:b/>
          <w:color w:val="177E78"/>
        </w:rPr>
        <w:t xml:space="preserve">2.  </w:t>
      </w:r>
      <w:r>
        <w:t>An uploaded or bundled notebook opens Colab and downloads the .ipynb file; in Colab choose File → Upload notebook.</w:t>
      </w:r>
    </w:p>
    <w:p>
      <w:pPr>
        <w:spacing w:after="40"/>
        <w:ind w:left="369" w:hanging="283"/>
      </w:pPr>
      <w:r>
        <w:rPr>
          <w:b/>
          <w:color w:val="177E78"/>
        </w:rPr>
        <w:t xml:space="preserve">3.  </w:t>
      </w:r>
      <w:r>
        <w:t>If nothing opens, allow pop-ups for the UCC platform and try Open activity again.</w:t>
      </w:r>
    </w:p>
    <w:p>
      <w:pPr>
        <w:pStyle w:val="Heading2"/>
      </w:pPr>
      <w:r>
        <w:t>Stage 5 · Assessment</w:t>
      </w:r>
    </w:p>
    <w:p>
      <w:r>
        <w:t>The example demonstrates the platform’s complete question repertoire. Use only formats that provide valid evidence for the mapped outcome.</w:t>
      </w:r>
    </w:p>
    <w:tbl>
      <w:tblPr>
        <w:tblStyle w:val="TableGrid"/>
        <w:tblW w:type="dxa" w:w="8957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4422"/>
        <w:gridCol w:w="4535"/>
      </w:tblGrid>
      <w:tr>
        <w:trPr>
          <w:tblHeader w:val="true"/>
        </w:trPr>
        <w:tc>
          <w:tcPr>
            <w:tcW w:type="dxa" w:w="4422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Assessment modes (8)</w:t>
            </w:r>
          </w:p>
        </w:tc>
        <w:tc>
          <w:tcPr>
            <w:tcW w:type="dxa" w:w="4535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Question formats demonstrated (13)</w:t>
            </w:r>
          </w:p>
        </w:tc>
      </w:tr>
      <w:tr>
        <w:tc>
          <w:tcPr>
            <w:tcW w:type="dxa" w:w="442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Objective quiz; applied assignment; practical evidence; presentation; demonstration; portfolio; oral assessment; reflective evidence</w:t>
            </w:r>
          </w:p>
        </w:tc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Multiple choice; true/false; fill in; matching; drag and drop; picture matching; video question; short answer; essay; scenario response; oral-defence prompt; evidence-upload prompt; practical assignment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Every scored item includes points, a marking scheme, correct/incorrect feedback and learner advice.</w:t>
      </w:r>
    </w:p>
    <w:p>
      <w:pPr>
        <w:pStyle w:val="ListBullet"/>
        <w:spacing w:after="40"/>
      </w:pPr>
      <w:r>
        <w:t>Every question maps to at least one outcome.</w:t>
      </w:r>
    </w:p>
    <w:p>
      <w:pPr>
        <w:pStyle w:val="ListBullet"/>
        <w:spacing w:after="40"/>
      </w:pPr>
      <w:r>
        <w:t>The course pass mark is 70%; three attempts are allowed.</w:t>
      </w:r>
    </w:p>
    <w:p>
      <w:pPr>
        <w:pStyle w:val="ListBullet"/>
        <w:spacing w:after="40"/>
      </w:pPr>
      <w:r>
        <w:t>Required practical evidence is checked separately from the objective assessment score.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color w:val="177E78"/>
          <w:sz w:val="16"/>
        </w:rPr>
        <w:t>STAGE 6</w:t>
      </w:r>
    </w:p>
    <w:p>
      <w:pPr>
        <w:pStyle w:val="Heading1"/>
      </w:pPr>
      <w:r>
        <w:t>Review, preview and submit</w:t>
      </w:r>
    </w:p>
    <w:p>
      <w:r>
        <w:t>Use Review as a quality-assurance workspace. It should show the learner sequence, outcome mappings, assessment evidence and the credential gate in one place.</w:t>
      </w:r>
    </w:p>
    <w:tbl>
      <w:tblPr>
        <w:tblStyle w:val="TableGrid"/>
        <w:tblW w:type="dxa" w:w="8958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2835"/>
        <w:gridCol w:w="6123"/>
      </w:tblGrid>
      <w:tr>
        <w:trPr>
          <w:tblHeader w:val="true"/>
        </w:trPr>
        <w:tc>
          <w:tcPr>
            <w:tcW w:type="dxa" w:w="2835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Review check</w:t>
            </w:r>
          </w:p>
        </w:tc>
        <w:tc>
          <w:tcPr>
            <w:tcW w:type="dxa" w:w="6123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Evidence of completion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Identity and catalogue</w:t>
            </w:r>
          </w:p>
        </w:tc>
        <w:tc>
          <w:tcPr>
            <w:tcW w:type="dxa" w:w="612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Course code and title are final; audience, prerequisites, price and workload are accurate.</w:t>
            </w:r>
          </w:p>
        </w:tc>
      </w:tr>
      <w:tr>
        <w:tc>
          <w:tcPr>
            <w:tcW w:type="dxa" w:w="283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Alignment</w:t>
            </w:r>
          </w:p>
        </w:tc>
        <w:tc>
          <w:tcPr>
            <w:tcW w:type="dxa" w:w="6123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Every outcome has a skill and assessment method; learning and assessment evidence map back to outcomes.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Learner journey</w:t>
            </w:r>
          </w:p>
        </w:tc>
        <w:tc>
          <w:tcPr>
            <w:tcW w:type="dxa" w:w="612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Sections are ordered; titles are meaningful; duration is realistic; links and downloads open.</w:t>
            </w:r>
          </w:p>
        </w:tc>
      </w:tr>
      <w:tr>
        <w:tc>
          <w:tcPr>
            <w:tcW w:type="dxa" w:w="283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Accessibility</w:t>
            </w:r>
          </w:p>
        </w:tc>
        <w:tc>
          <w:tcPr>
            <w:tcW w:type="dxa" w:w="6123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HTML alternatives, headings, transcripts, labels and keyboard operation are checked.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Activities</w:t>
            </w:r>
          </w:p>
        </w:tc>
        <w:tc>
          <w:tcPr>
            <w:tcW w:type="dxa" w:w="612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Instructions, rubric, pass mark, attempts, due date and gate status are complete.</w:t>
            </w:r>
          </w:p>
        </w:tc>
      </w:tr>
      <w:tr>
        <w:tc>
          <w:tcPr>
            <w:tcW w:type="dxa" w:w="283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Assessment</w:t>
            </w:r>
          </w:p>
        </w:tc>
        <w:tc>
          <w:tcPr>
            <w:tcW w:type="dxa" w:w="6123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Questions, solutions, feedback and marking schemes have been tested in learner preview.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Credential</w:t>
            </w:r>
          </w:p>
        </w:tc>
        <w:tc>
          <w:tcPr>
            <w:tcW w:type="dxa" w:w="612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Certificate is enabled only when the course has an approved, defensible completion rule.</w:t>
            </w:r>
          </w:p>
        </w:tc>
      </w:tr>
      <w:tr>
        <w:tc>
          <w:tcPr>
            <w:tcW w:type="dxa" w:w="2835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Governance</w:t>
            </w:r>
          </w:p>
        </w:tc>
        <w:tc>
          <w:tcPr>
            <w:tcW w:type="dxa" w:w="6123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Save draft, preview as student, then submit for academic review; publication remains an administrator action.</w:t>
            </w:r>
          </w:p>
        </w:tc>
      </w:tr>
    </w:tbl>
    <w:p>
      <w:pPr>
        <w:spacing w:after="0"/>
      </w:pPr>
    </w:p>
    <w:p>
      <w:pPr>
        <w:spacing w:before="100" w:after="140"/>
        <w:ind w:left="85" w:right="85"/>
        <w:shd w:fill="FFF7DD"/>
        <w:pBdr>
          <w:left w:val="single" w:sz="22" w:space="8" w:color="EAB83E"/>
        </w:pBdr>
      </w:pPr>
      <w:r>
        <w:rPr>
          <w:b/>
          <w:color w:val="0B2E4F"/>
          <w:sz w:val="20"/>
        </w:rPr>
        <w:t>Certificate gate</w:t>
        <w:br/>
      </w:r>
      <w:r>
        <w:rPr>
          <w:sz w:val="18"/>
        </w:rPr>
        <w:t>Verified identity + at least 70% on the course assessment + completion of every required programme activity = automatic University of Cape Coast digital certificate with a live verification QR.</w:t>
      </w:r>
    </w:p>
    <w:p>
      <w:pPr>
        <w:pStyle w:val="Heading2"/>
      </w:pPr>
      <w:r>
        <w:t>Before selecting Submit for review</w:t>
      </w:r>
    </w:p>
    <w:p>
      <w:pPr>
        <w:pStyle w:val="ListBullet"/>
        <w:spacing w:after="40"/>
      </w:pPr>
      <w:r>
        <w:t>Replace all illustrative titles, codes, dates, people, datasets and links.</w:t>
      </w:r>
    </w:p>
    <w:p>
      <w:pPr>
        <w:pStyle w:val="ListBullet"/>
        <w:spacing w:after="40"/>
      </w:pPr>
      <w:r>
        <w:t>Confirm copyright, licence, privacy and consent for every external or uploaded resource.</w:t>
      </w:r>
    </w:p>
    <w:p>
      <w:pPr>
        <w:pStyle w:val="ListBullet"/>
        <w:spacing w:after="40"/>
      </w:pPr>
      <w:r>
        <w:t>Preview every lesson and activity as a student on desktop and mobile.</w:t>
      </w:r>
    </w:p>
    <w:p>
      <w:pPr>
        <w:pStyle w:val="ListBullet"/>
        <w:spacing w:after="40"/>
      </w:pPr>
      <w:r>
        <w:t>Ask another facilitator to complete the instructions without verbal explanation.</w:t>
      </w:r>
    </w:p>
    <w:p>
      <w:pPr>
        <w:pStyle w:val="ListBullet"/>
        <w:spacing w:after="40"/>
      </w:pPr>
      <w:r>
        <w:t>Resolve every blocking side check and record any justified accessibility alternative.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color w:val="177E78"/>
          <w:sz w:val="16"/>
        </w:rPr>
        <w:t>COMPLETE ILLUSTRATIVE COURSE</w:t>
      </w:r>
    </w:p>
    <w:p>
      <w:pPr>
        <w:pStyle w:val="Heading1"/>
      </w:pPr>
      <w:r>
        <w:t>Applied Data Literacy for Evidence-Based Decision-Making</w:t>
      </w:r>
    </w:p>
    <w:p>
      <w:r>
        <w:t>This model is intentionally complete so facilitators can study the relationship between purpose, curriculum, authentic practice, assessment and credentialing.</w:t>
      </w:r>
    </w:p>
    <w:tbl>
      <w:tblPr>
        <w:tblStyle w:val="TableGrid"/>
        <w:tblW w:type="dxa" w:w="8957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3061"/>
        <w:gridCol w:w="5896"/>
      </w:tblGrid>
      <w:tr>
        <w:trPr>
          <w:tblHeader w:val="true"/>
        </w:trPr>
        <w:tc>
          <w:tcPr>
            <w:tcW w:type="dxa" w:w="3061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Design element</w:t>
            </w:r>
          </w:p>
        </w:tc>
        <w:tc>
          <w:tcPr>
            <w:tcW w:type="dxa" w:w="5896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Illustrative specification</w:t>
            </w:r>
          </w:p>
        </w:tc>
      </w:tr>
      <w:tr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Discipline / level</w:t>
            </w:r>
          </w:p>
        </w:tc>
        <w:tc>
          <w:tcPr>
            <w:tcW w:type="dxa" w:w="589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Professional · Applied</w:t>
            </w:r>
          </w:p>
        </w:tc>
      </w:tr>
      <w:tr>
        <w:tc>
          <w:tcPr>
            <w:tcW w:type="dxa" w:w="306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Delivery / language</w:t>
            </w:r>
          </w:p>
        </w:tc>
        <w:tc>
          <w:tcPr>
            <w:tcW w:type="dxa" w:w="5896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Blended · English</w:t>
            </w:r>
          </w:p>
        </w:tc>
      </w:tr>
      <w:tr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Workload / access</w:t>
            </w:r>
          </w:p>
        </w:tc>
        <w:tc>
          <w:tcPr>
            <w:tcW w:type="dxa" w:w="589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30 hours · application enrolment · GHS 450</w:t>
            </w:r>
          </w:p>
        </w:tc>
      </w:tr>
      <w:tr>
        <w:tc>
          <w:tcPr>
            <w:tcW w:type="dxa" w:w="306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Objectives / outcomes / skills</w:t>
            </w:r>
          </w:p>
        </w:tc>
        <w:tc>
          <w:tcPr>
            <w:tcW w:type="dxa" w:w="5896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4 objectives · 4 measurable outcomes · 8 skills tags</w:t>
            </w:r>
          </w:p>
        </w:tc>
      </w:tr>
      <w:tr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Curriculum</w:t>
            </w:r>
          </w:p>
        </w:tc>
        <w:tc>
          <w:tcPr>
            <w:tcW w:type="dxa" w:w="589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4 sections · 7 learning blocks</w:t>
            </w:r>
          </w:p>
        </w:tc>
      </w:tr>
      <w:tr>
        <w:tc>
          <w:tcPr>
            <w:tcW w:type="dxa" w:w="306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Practice</w:t>
            </w:r>
          </w:p>
        </w:tc>
        <w:tc>
          <w:tcPr>
            <w:tcW w:type="dxa" w:w="5896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3 activities: two required and one optional</w:t>
            </w:r>
          </w:p>
        </w:tc>
      </w:tr>
      <w:tr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Assessment</w:t>
            </w:r>
          </w:p>
        </w:tc>
        <w:tc>
          <w:tcPr>
            <w:tcW w:type="dxa" w:w="589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8 modes · 13 question types · 70% pass mark · 3 attempts</w:t>
            </w:r>
          </w:p>
        </w:tc>
      </w:tr>
      <w:tr>
        <w:tc>
          <w:tcPr>
            <w:tcW w:type="dxa" w:w="3061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Credential</w:t>
            </w:r>
          </w:p>
        </w:tc>
        <w:tc>
          <w:tcPr>
            <w:tcW w:type="dxa" w:w="5896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UCC digital certificate with QR verification after all gate conditions are met</w:t>
            </w:r>
          </w:p>
        </w:tc>
      </w:tr>
    </w:tbl>
    <w:p>
      <w:pPr>
        <w:spacing w:after="0"/>
      </w:pPr>
    </w:p>
    <w:p>
      <w:pPr>
        <w:pStyle w:val="Heading2"/>
      </w:pPr>
      <w:r>
        <w:t>Four course objectives</w:t>
      </w:r>
    </w:p>
    <w:p>
      <w:pPr>
        <w:spacing w:after="40"/>
        <w:ind w:left="369" w:hanging="283"/>
      </w:pPr>
      <w:r>
        <w:rPr>
          <w:b/>
          <w:color w:val="177E78"/>
        </w:rPr>
        <w:t xml:space="preserve">1.  </w:t>
      </w:r>
      <w:r>
        <w:t>Build practical confidence in asking answerable questions and judging data quality, provenance and limitations.</w:t>
      </w:r>
    </w:p>
    <w:p>
      <w:pPr>
        <w:spacing w:after="40"/>
        <w:ind w:left="369" w:hanging="283"/>
      </w:pPr>
      <w:r>
        <w:rPr>
          <w:b/>
          <w:color w:val="177E78"/>
        </w:rPr>
        <w:t xml:space="preserve">2.  </w:t>
      </w:r>
      <w:r>
        <w:t>Develop the ability to clean, summarise and visualise a small dataset with transparent, reproducible methods.</w:t>
      </w:r>
    </w:p>
    <w:p>
      <w:pPr>
        <w:spacing w:after="40"/>
        <w:ind w:left="369" w:hanging="283"/>
      </w:pPr>
      <w:r>
        <w:rPr>
          <w:b/>
          <w:color w:val="177E78"/>
        </w:rPr>
        <w:t xml:space="preserve">3.  </w:t>
      </w:r>
      <w:r>
        <w:t>Enable ethical communication of evidence-based recommendations to academic, workplace and community audiences.</w:t>
      </w:r>
    </w:p>
    <w:p>
      <w:pPr>
        <w:spacing w:after="40"/>
        <w:ind w:left="369" w:hanging="283"/>
      </w:pPr>
      <w:r>
        <w:rPr>
          <w:b/>
          <w:color w:val="177E78"/>
        </w:rPr>
        <w:t xml:space="preserve">4.  </w:t>
      </w:r>
      <w:r>
        <w:t>Strengthen authentic assessment through process evidence, reflection and a short oral defence.</w:t>
      </w:r>
    </w:p>
    <w:p>
      <w:pPr>
        <w:pStyle w:val="Heading2"/>
      </w:pPr>
      <w:r>
        <w:t>Eight skill tags</w:t>
      </w:r>
    </w:p>
    <w:p>
      <w:r>
        <w:t>Critical thinking • Digital literacy • Evidence-based decision-making • Applied problem-solving • Communication • Data literacy • Research and inquiry • Responsible data storytelling</w:t>
      </w:r>
    </w:p>
    <w:p>
      <w:pPr>
        <w:spacing w:before="100" w:after="140"/>
        <w:ind w:left="85" w:right="85"/>
        <w:shd w:fill="E9F6F4"/>
        <w:pBdr>
          <w:left w:val="single" w:sz="22" w:space="8" w:color="177E78"/>
        </w:pBdr>
      </w:pPr>
      <w:r>
        <w:rPr>
          <w:b/>
          <w:color w:val="0B2E4F"/>
          <w:sz w:val="20"/>
        </w:rPr>
        <w:t>Use the assets</w:t>
        <w:br/>
      </w:r>
      <w:r>
        <w:rPr>
          <w:sz w:val="18"/>
        </w:rPr>
        <w:t>The ZIP includes a PDF case pack, editable Word capstone brief, Colab notebook and CSV question bank. They are examples for study and must be adapted before a live course is published.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color w:val="177E78"/>
          <w:sz w:val="16"/>
        </w:rPr>
        <w:t>FACILITATOR SELF-CHECK</w:t>
      </w:r>
    </w:p>
    <w:p>
      <w:pPr>
        <w:pStyle w:val="Heading1"/>
      </w:pPr>
      <w:r>
        <w:t>Course submission checklist</w:t>
      </w:r>
    </w:p>
    <w:tbl>
      <w:tblPr>
        <w:tblStyle w:val="TableGrid"/>
        <w:tblW w:type="dxa" w:w="8957"/>
        <w:jc w:val="center"/>
        <w:tblLayout w:type="fixed"/>
        <w:tblLook w:firstColumn="1" w:firstRow="1" w:lastColumn="0" w:lastRow="0" w:noHBand="0" w:noVBand="1" w:val="04A0"/>
        <w:tblInd w:w="130" w:type="dxa"/>
      </w:tblPr>
      <w:tblGrid>
        <w:gridCol w:w="850"/>
        <w:gridCol w:w="8107"/>
      </w:tblGrid>
      <w:tr>
        <w:trPr>
          <w:tblHeader w:val="true"/>
        </w:trPr>
        <w:tc>
          <w:tcPr>
            <w:tcW w:type="dxa" w:w="850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Done</w:t>
            </w:r>
          </w:p>
        </w:tc>
        <w:tc>
          <w:tcPr>
            <w:tcW w:type="dxa" w:w="8107"/>
            <w:shd w:fill="0B2E4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Quality assurance statement</w:t>
            </w:r>
          </w:p>
        </w:tc>
      </w:tr>
      <w:tr>
        <w:tc>
          <w:tcPr>
            <w:tcW w:type="dxa" w:w="85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The title, code and description clearly distinguish this course.</w:t>
            </w:r>
          </w:p>
        </w:tc>
      </w:tr>
      <w:tr>
        <w:tc>
          <w:tcPr>
            <w:tcW w:type="dxa" w:w="850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Audience, prerequisites, workload, delivery, enrolment and price are accurate.</w:t>
            </w:r>
          </w:p>
        </w:tc>
      </w:tr>
      <w:tr>
        <w:tc>
          <w:tcPr>
            <w:tcW w:type="dxa" w:w="85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Objectives describe purpose; outcomes use observable verbs and name evidence.</w:t>
            </w:r>
          </w:p>
        </w:tc>
      </w:tr>
      <w:tr>
        <w:tc>
          <w:tcPr>
            <w:tcW w:type="dxa" w:w="850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Every learning block belongs to a section and maps to an outcome.</w:t>
            </w:r>
          </w:p>
        </w:tc>
      </w:tr>
      <w:tr>
        <w:tc>
          <w:tcPr>
            <w:tcW w:type="dxa" w:w="85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PDF/Word items have a readable alternative and external links have been tested.</w:t>
            </w:r>
          </w:p>
        </w:tc>
      </w:tr>
      <w:tr>
        <w:tc>
          <w:tcPr>
            <w:tcW w:type="dxa" w:w="850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Videos have reviewed captions or a transcript and all images are meaningfully labelled.</w:t>
            </w:r>
          </w:p>
        </w:tc>
      </w:tr>
      <w:tr>
        <w:tc>
          <w:tcPr>
            <w:tcW w:type="dxa" w:w="85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Each programme activity has instructions, rubric, pass mark, attempts and gate status.</w:t>
            </w:r>
          </w:p>
        </w:tc>
      </w:tr>
      <w:tr>
        <w:tc>
          <w:tcPr>
            <w:tcW w:type="dxa" w:w="850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Questions provide enough evidence and include marking guidance and feedback.</w:t>
            </w:r>
          </w:p>
        </w:tc>
      </w:tr>
      <w:tr>
        <w:tc>
          <w:tcPr>
            <w:tcW w:type="dxa" w:w="85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The certificate gate matches the approved achievement standard.</w:t>
            </w:r>
          </w:p>
        </w:tc>
      </w:tr>
      <w:tr>
        <w:tc>
          <w:tcPr>
            <w:tcW w:type="dxa" w:w="850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Student preview works on desktop/mobile, including downloads, Colab and virtual labs.</w:t>
            </w:r>
          </w:p>
        </w:tc>
      </w:tr>
      <w:tr>
        <w:tc>
          <w:tcPr>
            <w:tcW w:type="dxa" w:w="850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All illustrative data and placeholder dates have been replaced.</w:t>
            </w:r>
          </w:p>
        </w:tc>
      </w:tr>
      <w:tr>
        <w:tc>
          <w:tcPr>
            <w:tcW w:type="dxa" w:w="850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☐</w:t>
            </w:r>
          </w:p>
        </w:tc>
        <w:tc>
          <w:tcPr>
            <w:tcW w:type="dxa" w:w="8107"/>
            <w:shd w:fill="F4F8F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6"/>
              </w:rPr>
              <w:t>A colleague has reviewed the full learner journey before submission.</w:t>
            </w:r>
          </w:p>
        </w:tc>
      </w:tr>
    </w:tbl>
    <w:p>
      <w:pPr>
        <w:spacing w:after="0"/>
      </w:pPr>
    </w:p>
    <w:p>
      <w:pPr>
        <w:pStyle w:val="Heading2"/>
      </w:pPr>
      <w:r>
        <w:t>Files supplied with this tutorial</w:t>
      </w:r>
    </w:p>
    <w:p>
      <w:pPr>
        <w:pStyle w:val="ListBullet"/>
        <w:spacing w:after="40"/>
      </w:pPr>
      <w:r>
        <w:t>UCC-Facilitator-Course-Studio-Annotated-Guide.pdf and .docx</w:t>
      </w:r>
    </w:p>
    <w:p>
      <w:pPr>
        <w:pStyle w:val="ListBullet"/>
        <w:spacing w:after="40"/>
      </w:pPr>
      <w:r>
        <w:t>Applied-Data-Literacy-Case-Pack.pdf</w:t>
      </w:r>
    </w:p>
    <w:p>
      <w:pPr>
        <w:pStyle w:val="ListBullet"/>
        <w:spacing w:after="40"/>
      </w:pPr>
      <w:r>
        <w:t>Applied-Data-Literacy-Capstone-Brief.docx</w:t>
      </w:r>
    </w:p>
    <w:p>
      <w:pPr>
        <w:pStyle w:val="ListBullet"/>
        <w:spacing w:after="40"/>
      </w:pPr>
      <w:r>
        <w:t>Applied-Data-Literacy-Colab-Notebook.ipynb</w:t>
      </w:r>
    </w:p>
    <w:p>
      <w:pPr>
        <w:pStyle w:val="ListBullet"/>
        <w:spacing w:after="40"/>
      </w:pPr>
      <w:r>
        <w:t>Applied-Data-Literacy-Question-Bank.csv</w:t>
      </w:r>
    </w:p>
    <w:p>
      <w:pPr>
        <w:spacing w:before="100" w:after="140"/>
        <w:ind w:left="85" w:right="85"/>
        <w:shd w:fill="FFF7DD"/>
        <w:pBdr>
          <w:left w:val="single" w:sz="22" w:space="8" w:color="EAB83E"/>
        </w:pBdr>
      </w:pPr>
      <w:r>
        <w:rPr>
          <w:b/>
          <w:color w:val="0B2E4F"/>
          <w:sz w:val="20"/>
        </w:rPr>
        <w:t>Institutional note</w:t>
        <w:br/>
      </w:r>
      <w:r>
        <w:rPr>
          <w:sz w:val="18"/>
        </w:rPr>
        <w:t>The platform can generate a credential only after the configured evidence is complete. Academic approval and the authority to issue a University of Cape Coast credential remain governed by University policy.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F7383"/>
        <w:sz w:val="16"/>
      </w:rPr>
      <w:t xml:space="preserve">UCC Facilitator Resource  •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spacing w:after="0"/>
      <w:jc w:val="left"/>
    </w:pPr>
    <w:r>
      <w:rPr>
        <w:rFonts w:ascii="Aptos" w:hAnsi="Aptos"/>
        <w:b/>
        <w:color w:val="177E78"/>
        <w:sz w:val="16"/>
      </w:rPr>
      <w:t>UNIVERSITY OF CAPE COAST  /  MICROCREDENTIALS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72A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2E4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7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B2E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E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Course Studio Annotated Guide</dc:title>
  <dc:subject>Six-stage guide and complete illustrative course for the UCC Microcredential Platform</dc:subject>
  <dc:creator>University of Cape Coast</dc:creator>
  <cp:keywords>UCC, microcredential, facilitator, course design, tutorial</cp:keywords>
  <dc:description>Illustrative facilitator resource generated for the UCC Microcredential Platform.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