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23B52"/>
          <w:sz w:val="36"/>
        </w:rPr>
        <w:t>UCC</w:t>
      </w:r>
    </w:p>
    <w:p>
      <w:pPr>
        <w:pStyle w:val="Title"/>
        <w:jc w:val="center"/>
      </w:pPr>
      <w:r>
        <w:t>Community Service Indicators Case Pack</w:t>
      </w:r>
    </w:p>
    <w:p>
      <w:pPr>
        <w:spacing w:after="560"/>
        <w:jc w:val="center"/>
      </w:pPr>
      <w:r>
        <w:rPr>
          <w:color w:val="1C7A73"/>
          <w:sz w:val="26"/>
        </w:rPr>
        <w:t>Illustrative data quality and decision exercise</w:t>
      </w:r>
    </w:p>
    <w:p>
      <w:pPr>
        <w:jc w:val="center"/>
      </w:pPr>
      <w:r>
        <w:rPr>
          <w:b/>
        </w:rPr>
        <w:t xml:space="preserve">Prepared for: </w:t>
      </w:r>
      <w:r>
        <w:t>Learners in the illustrative microcredential</w:t>
      </w:r>
    </w:p>
    <w:p>
      <w:pPr>
        <w:jc w:val="center"/>
      </w:pPr>
      <w:r>
        <w:rPr>
          <w:b/>
        </w:rPr>
        <w:t xml:space="preserve">Institution: </w:t>
      </w:r>
      <w:r>
        <w:t>University of Cape Coast</w:t>
      </w:r>
    </w:p>
    <w:p>
      <w:pPr>
        <w:jc w:val="center"/>
      </w:pPr>
      <w:r>
        <w:rPr>
          <w:b/>
        </w:rPr>
        <w:t xml:space="preserve">Version: </w:t>
      </w:r>
      <w:r>
        <w:t>September 2026</w:t>
      </w:r>
    </w:p>
    <w:p>
      <w:r>
        <w:br w:type="page"/>
      </w:r>
    </w:p>
    <w:p>
      <w:pPr>
        <w:pStyle w:val="Heading1"/>
      </w:pPr>
      <w:r>
        <w:t>The decision</w:t>
      </w:r>
    </w:p>
    <w:p>
      <w:r>
        <w:t>A learner support unit must decide which support channel needs focused improvement next month. The data below are fictional and created only for teaching. They are not University of Cape Coast operational records.</w:t>
      </w:r>
    </w:p>
    <w:p>
      <w:pPr>
        <w:pStyle w:val="Heading1"/>
      </w:pPr>
      <w:r>
        <w:t>Data dictionary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Field</w:t>
            </w:r>
          </w:p>
        </w:tc>
        <w:tc>
          <w:tcPr>
            <w:tcW w:type="dxa" w:w="4392"/>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Meaning</w:t>
            </w:r>
          </w:p>
        </w:tc>
        <w:tc>
          <w:tcPr>
            <w:tcW w:type="dxa" w:w="3816"/>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Validation question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Channel</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Primary contact channel used by the learner.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Are categories spelled and grouped consistently?</w:t>
            </w:r>
          </w:p>
        </w:tc>
      </w:tr>
      <w:tr>
        <w:tc>
          <w:tcPr>
            <w:tcW w:type="dxa" w:w="19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Cases</w:t>
            </w:r>
          </w:p>
        </w:tc>
        <w:tc>
          <w:tcPr>
            <w:tcW w:type="dxa" w:w="439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Number of recorded contacts during the month.</w:t>
            </w:r>
          </w:p>
        </w:tc>
        <w:tc>
          <w:tcPr>
            <w:tcW w:type="dxa" w:w="381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Does one record equal one learner or one contact?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Median minutes</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Middle service time in minutes.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Were waiting and follow up time included?</w:t>
            </w:r>
          </w:p>
        </w:tc>
      </w:tr>
      <w:tr>
        <w:tc>
          <w:tcPr>
            <w:tcW w:type="dxa" w:w="19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Resolved percent</w:t>
            </w:r>
          </w:p>
        </w:tc>
        <w:tc>
          <w:tcPr>
            <w:tcW w:type="dxa" w:w="4392"/>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Share marked resolved at month end.</w:t>
            </w:r>
          </w:p>
        </w:tc>
        <w:tc>
          <w:tcPr>
            <w:tcW w:type="dxa" w:w="381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was resolution defined and checked?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Satisfaction</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Mean score on a five point response scale.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How many learners responded and who was missing?</w:t>
            </w:r>
          </w:p>
        </w:tc>
      </w:tr>
    </w:tbl>
    <w:p>
      <w:pPr>
        <w:spacing w:after="40"/>
      </w:pPr>
    </w:p>
    <w:p>
      <w:pPr>
        <w:pStyle w:val="Heading1"/>
      </w:pPr>
      <w:r>
        <w:t>Illustrative monthly indicators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Channel</w:t>
            </w:r>
          </w:p>
        </w:tc>
        <w:tc>
          <w:tcPr>
            <w:tcW w:type="dxa" w:w="122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Cases</w:t>
            </w:r>
          </w:p>
        </w:tc>
        <w:tc>
          <w:tcPr>
            <w:tcW w:type="dxa" w:w="2015"/>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Median minutes</w:t>
            </w:r>
          </w:p>
        </w:tc>
        <w:tc>
          <w:tcPr>
            <w:tcW w:type="dxa" w:w="1944"/>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Resolved percent</w:t>
            </w:r>
          </w:p>
        </w:tc>
        <w:tc>
          <w:tcPr>
            <w:tcW w:type="dxa" w:w="2376"/>
            <w:shd w:fill="123B52"/>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spacing w:after="0"/>
            </w:pPr>
            <w:r>
              <w:rPr>
                <w:b/>
                <w:color w:val="FFFFFF"/>
                <w:sz w:val="18"/>
              </w:rPr>
              <w:t>Satisfaction out of 5</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Email</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184</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38</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81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3.7</w:t>
            </w:r>
          </w:p>
        </w:tc>
      </w:tr>
      <w:tr>
        <w:tc>
          <w:tcPr>
            <w:tcW w:type="dxa" w:w="19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Telephone</w:t>
            </w:r>
          </w:p>
        </w:tc>
        <w:tc>
          <w:tcPr>
            <w:tcW w:type="dxa" w:w="12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96</w:t>
            </w:r>
          </w:p>
        </w:tc>
        <w:tc>
          <w:tcPr>
            <w:tcW w:type="dxa" w:w="2015"/>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14</w:t>
            </w:r>
          </w:p>
        </w:tc>
        <w:tc>
          <w:tcPr>
            <w:tcW w:type="dxa" w:w="19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88</w:t>
            </w:r>
          </w:p>
        </w:tc>
        <w:tc>
          <w:tcPr>
            <w:tcW w:type="dxa" w:w="237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4.1</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Walk in</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72</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26</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83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3.9</w:t>
            </w:r>
          </w:p>
        </w:tc>
      </w:tr>
      <w:tr>
        <w:tc>
          <w:tcPr>
            <w:tcW w:type="dxa" w:w="19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Online chat</w:t>
            </w:r>
          </w:p>
        </w:tc>
        <w:tc>
          <w:tcPr>
            <w:tcW w:type="dxa" w:w="122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121</w:t>
            </w:r>
          </w:p>
        </w:tc>
        <w:tc>
          <w:tcPr>
            <w:tcW w:type="dxa" w:w="2015"/>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11</w:t>
            </w:r>
          </w:p>
        </w:tc>
        <w:tc>
          <w:tcPr>
            <w:tcW w:type="dxa" w:w="1944"/>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76</w:t>
            </w:r>
          </w:p>
        </w:tc>
        <w:tc>
          <w:tcPr>
            <w:tcW w:type="dxa" w:w="2376"/>
            <w:shd w:fill="F5F8F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3.5</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Peer referral</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43</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52</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91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pPr>
            <w:r>
              <w:rPr>
                <w:sz w:val="17"/>
              </w:rPr>
              <w:t>4.3</w:t>
            </w:r>
          </w:p>
        </w:tc>
      </w:tr>
    </w:tbl>
    <w:p>
      <w:pPr>
        <w:spacing w:after="40"/>
      </w:pPr>
    </w:p>
    <w:p>
      <w:pPr>
        <w:pStyle w:val="Heading1"/>
      </w:pPr>
      <w:r>
        <w:t>Known limitations</w:t>
      </w:r>
    </w:p>
    <w:p>
      <w:pPr>
        <w:pStyle w:val="ListBullet"/>
        <w:spacing w:after="80"/>
      </w:pPr>
      <w:r>
        <w:t>A case is a contact, not necessarily a unique learner.</w:t>
      </w:r>
    </w:p>
    <w:p>
      <w:pPr>
        <w:pStyle w:val="ListBullet"/>
        <w:spacing w:after="80"/>
      </w:pPr>
      <w:r>
        <w:t>Satisfaction response counts differ by channel and are not supplied here.</w:t>
      </w:r>
    </w:p>
    <w:p>
      <w:pPr>
        <w:pStyle w:val="ListBullet"/>
        <w:spacing w:after="80"/>
      </w:pPr>
      <w:r>
        <w:t>Resolution status was entered by the handling team and was not independently audited.</w:t>
      </w:r>
    </w:p>
    <w:p>
      <w:pPr>
        <w:pStyle w:val="ListBullet"/>
        <w:spacing w:after="80"/>
      </w:pPr>
      <w:r>
        <w:t>One month cannot establish a seasonal trend or a causal effect.</w:t>
      </w:r>
    </w:p>
    <w:p>
      <w:pPr>
        <w:pStyle w:val="ListBullet"/>
        <w:spacing w:after="80"/>
      </w:pPr>
      <w:r>
        <w:t>Accessibility needs and issue complexity are missing from this summary.</w:t>
      </w:r>
    </w:p>
    <w:p>
      <w:pPr>
        <w:pStyle w:val="Heading1"/>
      </w:pPr>
      <w:r>
        <w:t>Learner tasks</w:t>
      </w:r>
    </w:p>
    <w:p>
      <w:pPr>
        <w:pStyle w:val="ListNumber"/>
        <w:spacing w:after="100"/>
      </w:pPr>
      <w:r>
        <w:t>Write one answerable decision question.</w:t>
      </w:r>
    </w:p>
    <w:p>
      <w:pPr>
        <w:pStyle w:val="ListNumber"/>
        <w:spacing w:after="100"/>
      </w:pPr>
      <w:r>
        <w:t>Identify at least four provenance, quality or ethical checks required before using the indicators.</w:t>
      </w:r>
    </w:p>
    <w:p>
      <w:pPr>
        <w:pStyle w:val="ListNumber"/>
        <w:spacing w:after="100"/>
      </w:pPr>
      <w:r>
        <w:t>Create one appropriate chart and a concise text alternative.</w:t>
      </w:r>
    </w:p>
    <w:p>
      <w:pPr>
        <w:pStyle w:val="ListNumber"/>
        <w:spacing w:after="100"/>
      </w:pPr>
      <w:r>
        <w:t>State one observed finding without claiming causation.</w:t>
      </w:r>
    </w:p>
    <w:p>
      <w:pPr>
        <w:pStyle w:val="ListNumber"/>
        <w:spacing w:after="100"/>
      </w:pPr>
      <w:r>
        <w:t>Give a proportionate recommendation and name the next evidence needed.</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57B"/>
        <w:sz w:val="16"/>
      </w:rPr>
      <w:t>University of Cape Coast  |  Applied Data Literacy Case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32D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ind w:left="0" w:firstLine="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ind w:left="0" w:firstLine="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ind w:left="0" w:firstLin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