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i w:val="0"/>
          <w:color w:val="000000"/>
          <w:sz w:val="24"/>
        </w:rPr>
        <w:t>Human Control in AI Assisted Open Banking Data Sharing</w:t>
      </w:r>
    </w:p>
    <w:p>
      <w:pPr>
        <w:spacing w:line="480" w:lineRule="auto" w:before="0" w:after="0"/>
        <w:ind w:firstLine="720"/>
      </w:pPr>
      <w:r>
        <w:rPr>
          <w:rFonts w:ascii="Times New Roman" w:hAnsi="Times New Roman"/>
          <w:b w:val="0"/>
          <w:i w:val="0"/>
          <w:color w:val="000000"/>
          <w:sz w:val="24"/>
        </w:rPr>
        <w:t>Open banking data-sharing decisions are a useful setting for human-in-the-loop AI because granting API access carries a context-dependent judgment about purpose, scope, and risk.</w:t>
      </w:r>
    </w:p>
    <w:p>
      <w:pPr>
        <w:spacing w:line="480" w:lineRule="auto" w:before="0" w:after="0"/>
        <w:ind w:firstLine="720"/>
      </w:pPr>
      <w:r>
        <w:rPr>
          <w:rFonts w:ascii="Times New Roman" w:hAnsi="Times New Roman"/>
          <w:b w:val="0"/>
          <w:i w:val="0"/>
          <w:color w:val="000000"/>
          <w:sz w:val="24"/>
        </w:rPr>
        <w:t>AI should prepare the decision rather than make it. It can extract the requested data types, recipient, purpose, duration, and permissions; compare them with approved policy; flag conflicts; summarize likely downstream uses; and detect anomalous consent patterns. These repetitive comparison and triage tasks benefit from scale and consistency.</w:t>
      </w:r>
    </w:p>
    <w:p>
      <w:pPr>
        <w:spacing w:line="480" w:lineRule="auto" w:before="0" w:after="0"/>
        <w:ind w:firstLine="720"/>
      </w:pPr>
      <w:r>
        <w:rPr>
          <w:rFonts w:ascii="Times New Roman" w:hAnsi="Times New Roman"/>
          <w:b w:val="0"/>
          <w:i w:val="0"/>
          <w:color w:val="000000"/>
          <w:sz w:val="24"/>
        </w:rPr>
        <w:t>The consumer should decide whether to grant, renew, or revoke consent. Privacy, legal, and product owners should define permissible purposes, retention limits, escalation rules, and the evidence required for approval. A trained reviewer should decide exceptions and any case where the system detects a conflict, incomplete context, or material risk. That role makes it possible to question the purpose of a request, recognize contextual information, and override a model trained on incomplete historical decisions.</w:t>
      </w:r>
    </w:p>
    <w:p>
      <w:pPr>
        <w:spacing w:line="480" w:lineRule="auto" w:before="0" w:after="0"/>
        <w:ind w:firstLine="720"/>
      </w:pPr>
      <w:r>
        <w:rPr>
          <w:rFonts w:ascii="Times New Roman" w:hAnsi="Times New Roman"/>
          <w:b w:val="0"/>
          <w:i w:val="0"/>
          <w:color w:val="000000"/>
          <w:sz w:val="24"/>
        </w:rPr>
        <w:t>This allocation recognizes Ackerman's (2000) social-technical gap: policy and human intent do not map cleanly to technical controls. It also follows the complementarity described by Jarrahi (2018), rather than treating automation as a replacement for judgment. Evaluation should test review quality, override rates, and outcomes across groups. Zafar et al. (2017) show why equal overall accuracy is insufficient when error rates differ by group. NIST's AI RMF calls for clearly defined human-AI roles and continuous governance (Tabassi, 2023). The system uses AI to reduce cognitive load while people retain control over consent, exceptions, and accountability.</w:t>
      </w:r>
    </w:p>
    <w:p>
      <w:r>
        <w:br w:type="page"/>
      </w:r>
    </w:p>
    <w:p>
      <w:pPr>
        <w:spacing w:before="0" w:after="120"/>
        <w:jc w:val="center"/>
      </w:pPr>
      <w:r>
        <w:rPr>
          <w:rFonts w:ascii="Times New Roman" w:hAnsi="Times New Roman"/>
          <w:b/>
          <w:i w:val="0"/>
          <w:color w:val="000000"/>
          <w:sz w:val="24"/>
        </w:rPr>
        <w:t>References</w:t>
      </w:r>
    </w:p>
    <w:p>
      <w:pPr>
        <w:spacing w:line="480" w:lineRule="auto" w:before="0" w:after="0"/>
        <w:ind w:left="720" w:hanging="720"/>
      </w:pPr>
      <w:r>
        <w:rPr>
          <w:rFonts w:ascii="Times New Roman" w:hAnsi="Times New Roman"/>
          <w:b w:val="0"/>
          <w:i w:val="0"/>
          <w:color w:val="000000"/>
          <w:sz w:val="24"/>
        </w:rPr>
        <w:t>Ackerman, M. S. (2000). The intellectual challenge of CSCW: The gap between social requirements and technical feasibility. Human-Computer Interaction, 15(2-3), 179-203. https://doi.org/10.1207/S15327051HCI1523_5</w:t>
      </w:r>
    </w:p>
    <w:p>
      <w:pPr>
        <w:spacing w:line="480" w:lineRule="auto" w:before="0" w:after="0"/>
        <w:ind w:left="720" w:hanging="720"/>
      </w:pPr>
      <w:r>
        <w:rPr>
          <w:rFonts w:ascii="Times New Roman" w:hAnsi="Times New Roman"/>
          <w:b w:val="0"/>
          <w:i w:val="0"/>
          <w:color w:val="000000"/>
          <w:sz w:val="24"/>
        </w:rPr>
        <w:t>Jarrahi, M. H. (2018). Artificial intelligence and the future of work: Human-AI symbiosis in organizational decision making. Business Horizons, 61(4), 577-586. https://doi.org/10.1016/j.bushor.2018.03.007</w:t>
      </w:r>
    </w:p>
    <w:p>
      <w:pPr>
        <w:spacing w:line="480" w:lineRule="auto" w:before="0" w:after="0"/>
        <w:ind w:left="720" w:hanging="720"/>
      </w:pPr>
      <w:r>
        <w:rPr>
          <w:rFonts w:ascii="Times New Roman" w:hAnsi="Times New Roman"/>
          <w:b w:val="0"/>
          <w:i w:val="0"/>
          <w:color w:val="000000"/>
          <w:sz w:val="24"/>
        </w:rPr>
        <w:t>Tabassi, E. (2023). Artificial Intelligence Risk Management Framework (AI RMF 1.0) (NIST AI 100-1). National Institute of Standards and Technology. https://doi.org/10.6028/NIST.AI.100-1</w:t>
      </w:r>
    </w:p>
    <w:p>
      <w:pPr>
        <w:spacing w:line="480" w:lineRule="auto" w:before="0" w:after="0"/>
        <w:ind w:left="720" w:hanging="720"/>
      </w:pPr>
      <w:r>
        <w:rPr>
          <w:rFonts w:ascii="Times New Roman" w:hAnsi="Times New Roman"/>
          <w:b w:val="0"/>
          <w:i w:val="0"/>
          <w:color w:val="000000"/>
          <w:sz w:val="24"/>
        </w:rPr>
        <w:t>Zafar, M. B., Valera, I., Gomez Rodriguez, M., &amp; Gummadi, K. P. (2017). Fairness beyond disparate treatment &amp; disparate impact: Learning classification without disparate mistreatment. Proceedings of the 26th International Conference on World Wide Web, 1171-1180. https://doi.org/10.1145/3038912.3052660</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b w:val="0"/>
        <w:i w:val="0"/>
        <w:color w:val="000000"/>
        <w:sz w:val="20"/>
      </w:rPr>
      <w:t>Yaw Etse | Question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 3 Human Control in AI Assisted Open Banking Data Sharing</dc:title>
  <dc:subject/>
  <dc:creator>Yaw Etse</dc:creator>
  <cp:keywords/>
  <dc:description>generated by python-docx</dc:description>
  <cp:lastModifiedBy/>
  <cp:revision>1</cp:revision>
  <dcterms:created xsi:type="dcterms:W3CDTF">2013-12-23T23:15:00Z</dcterms:created>
  <dcterms:modified xsi:type="dcterms:W3CDTF">2013-12-23T23:15:00Z</dcterms:modified>
  <cp:category/>
</cp:coreProperties>
</file>