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ORIENTATION FONDATRICE — PARADIGME DU FLUX VIVANT</w:t>
      </w:r>
    </w:p>
    <w:p>
      <w:pPr>
        <w:jc w:val="center"/>
      </w:pPr>
      <w:r>
        <w:t>Version de travail — 19/02/2026</w:t>
      </w:r>
    </w:p>
    <w:p/>
    <w:p>
      <w:r>
        <w:rPr>
          <w:b/>
        </w:rPr>
        <w:t>1. Phrase fondatrice</w:t>
      </w:r>
    </w:p>
    <w:p>
      <w:r>
        <w:t>Tout ce que nous faisons de manière éclatée porte un sens. Cet outil existe pour rendre visible, de manière holistique et vivante, ce qui ne l’est pas.</w:t>
      </w:r>
    </w:p>
    <w:p/>
    <w:p>
      <w:r>
        <w:rPr>
          <w:b/>
        </w:rPr>
        <w:t>2. Le problème du paradigme actuel</w:t>
      </w:r>
    </w:p>
    <w:p>
      <w:r>
        <w:t>Les outils actuels traitent l’information comme des éléments isolés. Ils stockent, classent et archivent. Mais en isolant la donnée, ils coupent souvent le contexte qui lui donnait son sens.</w:t>
      </w:r>
    </w:p>
    <w:p>
      <w:r>
        <w:t>Chaque document, chaque recherche, chaque idée arrive pourtant dans un flux : une intention, une continuité, une histoire personnelle.</w:t>
      </w:r>
    </w:p>
    <w:p>
      <w:r>
        <w:t>Lorsque ces éléments sont séparés les uns des autres, ils deviennent des fragments. Le paradigme dominant transforme un flux vivant en gouttes stagnantes.</w:t>
      </w:r>
    </w:p>
    <w:p/>
    <w:p>
      <w:r>
        <w:rPr>
          <w:b/>
        </w:rPr>
        <w:t>3. Le paradigme proposé</w:t>
      </w:r>
    </w:p>
    <w:p>
      <w:r>
        <w:t>L’information n’est pas une collection d’objets fixes. Elle est un flux, comparable à une rivière.</w:t>
      </w:r>
    </w:p>
    <w:p>
      <w:r>
        <w:t>L’objectif n’est pas d’empêcher le stockage, mais de proposer une lecture vivante du stockage. Chaque élément reste conservé, mais il est maintenu dans le contexte qui l’a fait naître.</w:t>
      </w:r>
    </w:p>
    <w:p>
      <w:r>
        <w:t>L’outil agit comme une grille fine : il indexe, relie et rend visible, sans interrompre le flux dont chaque élément provient.</w:t>
      </w:r>
    </w:p>
    <w:p/>
    <w:p>
      <w:r>
        <w:rPr>
          <w:b/>
        </w:rPr>
        <w:t>4. Nature de l’outil</w:t>
      </w:r>
    </w:p>
    <w:p>
      <w:r>
        <w:t>L’outil repose sur un stockage réel et une indexation continue. Il ajoute une couche relationnelle dynamique au-dessus des fichiers existants.</w:t>
      </w:r>
    </w:p>
    <w:p>
      <w:r>
        <w:t>Le graphe n’est pas une simple visualisation : il est le mécanisme qui maintient la vitalité des données par la mise en relation constante des éléments.</w:t>
      </w:r>
    </w:p>
    <w:p>
      <w:r>
        <w:t>Chaque élément conserve son origine, son intention et ses liens avec le reste. Ce sont les relations qui reconstruisent la rivière.</w:t>
      </w:r>
    </w:p>
    <w:p/>
    <w:p>
      <w:r>
        <w:rPr>
          <w:b/>
        </w:rPr>
        <w:t>5. Rôle de l’IA</w:t>
      </w:r>
    </w:p>
    <w:p>
      <w:r>
        <w:t>L’IA assiste, accélère et révèle. Elle propose des liens, suggère des structures et met en lumière des relations invisibles.</w:t>
      </w:r>
    </w:p>
    <w:p>
      <w:r>
        <w:t>Elle n’impose jamais. Toute proposition est validée par l’utilisateur.</w:t>
      </w:r>
    </w:p>
    <w:p>
      <w:r>
        <w:t>L’automatisation se limite à l’indexation et à la mise à jour des éléments existants. La décision et le sens appartiennent toujours à l’utilisateur.</w:t>
      </w:r>
    </w:p>
    <w:p/>
    <w:p>
      <w:r>
        <w:rPr>
          <w:b/>
        </w:rPr>
        <w:t>6. Expérience recherchée</w:t>
      </w:r>
    </w:p>
    <w:p>
      <w:r>
        <w:t>Le premier sentiment recherché est la clarté.</w:t>
      </w:r>
    </w:p>
    <w:p>
      <w:r>
        <w:t>L’interface est épurée, accessible, non intimidante. La complexité est présente mais révélée progressivement.</w:t>
      </w:r>
    </w:p>
    <w:p>
      <w:r>
        <w:t>L’outil doit permettre d’agir immédiatement : consulter, créer, relier, rechercher. La profondeur apparaît au moment où elle devient nécessaire.</w:t>
      </w:r>
    </w:p>
    <w:p/>
    <w:p>
      <w:r>
        <w:rPr>
          <w:b/>
        </w:rPr>
        <w:t>7. Invariants philosophiques</w:t>
      </w:r>
    </w:p>
    <w:p>
      <w:r>
        <w:t>• L’utilisateur conserve la souveraineté décisionnelle.</w:t>
      </w:r>
    </w:p>
    <w:p>
      <w:r>
        <w:t>• Les relations priment sur les catégories fixes.</w:t>
      </w:r>
    </w:p>
    <w:p>
      <w:r>
        <w:t>• Le contexte d’arrivée d’un élément est préservé.</w:t>
      </w:r>
    </w:p>
    <w:p>
      <w:r>
        <w:t>• L’IA propose mais ne décide pas.</w:t>
      </w:r>
    </w:p>
    <w:p>
      <w:r>
        <w:t>• La structure technique peut évoluer, la philosophie du flux vivant demeure.</w:t>
      </w:r>
    </w:p>
    <w:p/>
    <w:p>
      <w:r>
        <w:rPr>
          <w:b/>
        </w:rPr>
        <w:t>8. Ce que l’outil dépasse</w:t>
      </w:r>
    </w:p>
    <w:p>
      <w:r>
        <w:t>Cet outil n’est pas seulement un gestionnaire de fichiers, il dépasse la simple exploration.</w:t>
      </w:r>
    </w:p>
    <w:p>
      <w:r>
        <w:t>Il n’est pas seulement un système d’archivage, il maintient la continuité du sens.</w:t>
      </w:r>
    </w:p>
    <w:p>
      <w:r>
        <w:t>Il n’est pas seulement un assistant IA, il soutient la structuration consciente de la pensée.</w:t>
      </w:r>
    </w:p>
    <w:p/>
    <w:p>
      <w:r>
        <w:rPr>
          <w:b/>
        </w:rPr>
        <w:t>9. Cadre d’évolution</w:t>
      </w:r>
    </w:p>
    <w:p>
      <w:r>
        <w:t>La technologie évoluera. L’architecture pourra être refactorisée. Les implémentations pourront changer.</w:t>
      </w:r>
    </w:p>
    <w:p>
      <w:r>
        <w:t>Ce qui demeure est la philosophie : préserver le flux vivant de l’information.</w:t>
      </w:r>
    </w:p>
    <w:p/>
    <w:p>
      <w:r>
        <w:rPr>
          <w:b/>
        </w:rPr>
        <w:t>10. Ouverture à contribution</w:t>
      </w:r>
    </w:p>
    <w:p>
      <w:r>
        <w:t>Ce projet est ouvert à la co-construction. Les contributions sont les bienvenues lorsqu’elles respectent la philosophie du flux vivant et renforcent la clarté, la continuité et la souveraineté de l’utilisateur.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