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200" w:after="360"/>
        <w:jc w:val="center"/>
      </w:pPr>
      <w:r>
        <w:rPr>
          <w:rFonts w:ascii="Microsoft YaHei" w:hAnsi="Microsoft YaHei" w:eastAsia="Microsoft YaHei"/>
          <w:b/>
          <w:color w:val="000000"/>
          <w:sz w:val="48"/>
        </w:rPr>
        <w:t>原型用户测试题库与参考答案</w:t>
      </w:r>
    </w:p>
    <w:p>
      <w:pPr>
        <w:jc w:val="center"/>
      </w:pPr>
      <w:r>
        <w:rPr>
          <w:rFonts w:ascii="Microsoft YaHei" w:hAnsi="Microsoft YaHei" w:eastAsia="Microsoft YaHei"/>
          <w:b/>
          <w:color w:val="334E68"/>
          <w:sz w:val="30"/>
        </w:rPr>
        <w:t>V1.0</w:t>
      </w:r>
    </w:p>
    <w:p>
      <w:pPr>
        <w:spacing w:before="560"/>
        <w:jc w:val="center"/>
      </w:pPr>
      <w:r>
        <w:rPr>
          <w:rFonts w:ascii="Microsoft YaHei" w:hAnsi="Microsoft YaHei" w:eastAsia="Microsoft YaHei"/>
          <w:b w:val="0"/>
          <w:color w:val="000000"/>
          <w:sz w:val="24"/>
        </w:rPr>
        <w:t>可解释知识图谱补全与审核工作台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4B5563"/>
          <w:sz w:val="20"/>
        </w:rPr>
        <w:t>用途：主持人审题、预测试和正式测试执行</w:t>
      </w:r>
    </w:p>
    <w:p>
      <w:r>
        <w:br w:type="page"/>
      </w:r>
    </w:p>
    <w:p>
      <w:pPr>
        <w:pStyle w:val="Heading1"/>
      </w:pPr>
      <w:r>
        <w:t>一 使用说明</w:t>
      </w:r>
    </w:p>
    <w:p>
      <w:pPr>
        <w:pStyle w:val="ListBullet"/>
      </w:pPr>
      <w:r>
        <w:t>本文件是主持人版本，包含参考答案、判断依据和每道题的测试目的。不要将完整文件直接发给参与者。</w:t>
      </w:r>
    </w:p>
    <w:p>
      <w:pPr>
        <w:pStyle w:val="ListBullet"/>
      </w:pPr>
      <w:r>
        <w:t>3道练习题用于熟悉操作，不计入正式结果；18道正式题用于记录用户的独立判断。</w:t>
      </w:r>
    </w:p>
    <w:p>
      <w:pPr>
        <w:pStyle w:val="ListBullet"/>
      </w:pPr>
      <w:r>
        <w:t>正式测试前应由导师或同方向研究人员复核事实、关系名称和参考答案。正式测试开始后，不要临时修改题目。</w:t>
      </w:r>
    </w:p>
    <w:p>
      <w:pPr>
        <w:pStyle w:val="ListBullet"/>
      </w:pPr>
      <w:r>
        <w:t>正式题应随机展示。不要告诉参与者接受、驳回和暂缓各有多少题，也不要提示某题是否属于高分错误或低分正确。</w:t>
      </w:r>
    </w:p>
    <w:p>
      <w:pPr>
        <w:pStyle w:val="ListBullet"/>
      </w:pPr>
      <w:r>
        <w:t>当前评分和路径是为原型测试设计的模拟信息，不是UBERT-RM的真实模型输出。对外汇报时应明确这一边界。</w:t>
      </w:r>
    </w:p>
    <w:p>
      <w:pPr>
        <w:pStyle w:val="Heading1"/>
      </w:pPr>
      <w:r>
        <w:t>二 主持人统一口径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7488"/>
      </w:tblGrid>
      <w:tr>
        <w:trPr>
          <w:tblHeader w:val="true"/>
        </w:trPr>
        <w:tc>
          <w:tcPr>
            <w:tcW w:type="dxa" w:w="4896"/>
            <w:shd w:fill="244A64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审核动作</w:t>
            </w:r>
          </w:p>
        </w:tc>
        <w:tc>
          <w:tcPr>
            <w:tcW w:type="dxa" w:w="4896"/>
            <w:shd w:fill="244A64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判定口径</w:t>
            </w:r>
          </w:p>
        </w:tc>
      </w:tr>
      <w:tr>
        <w:tc>
          <w:tcPr>
            <w:tcW w:type="dxa" w:w="18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接受</w:t>
            </w:r>
          </w:p>
        </w:tc>
        <w:tc>
          <w:tcPr>
            <w:tcW w:type="dxa" w:w="74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现有事实或给定证据足以支持候选关系成立。</w:t>
            </w:r>
          </w:p>
        </w:tc>
      </w:tr>
      <w:tr>
        <w:tc>
          <w:tcPr>
            <w:tcW w:type="dxa" w:w="18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驳回</w:t>
            </w:r>
          </w:p>
        </w:tc>
        <w:tc>
          <w:tcPr>
            <w:tcW w:type="dxa" w:w="74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候选事实明确错误，包括事实、关系、实体、类别、数值或来源错误。</w:t>
            </w:r>
          </w:p>
        </w:tc>
      </w:tr>
      <w:tr>
        <w:tc>
          <w:tcPr>
            <w:tcW w:type="dxa" w:w="18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暂缓</w:t>
            </w:r>
          </w:p>
        </w:tc>
        <w:tc>
          <w:tcPr>
            <w:tcW w:type="dxa" w:w="74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候选可能成立，但现有证据不足、证据冲突或结论超出已有验证范围。</w:t>
            </w:r>
          </w:p>
        </w:tc>
      </w:tr>
    </w:tbl>
    <w:p>
      <w:r>
        <w:t>建议测试流程：开场说明5分钟，练习5分钟，正式任务20至25分钟，测试后访谈10分钟。主持人只观察和追问，不要教用户如何得出答案。</w:t>
      </w:r>
    </w:p>
    <w:p>
      <w:pPr>
        <w:pStyle w:val="Heading1"/>
      </w:pPr>
      <w:r>
        <w:t>三 题库结构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244A64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部分</w:t>
            </w:r>
          </w:p>
        </w:tc>
        <w:tc>
          <w:tcPr>
            <w:tcW w:type="dxa" w:w="2448"/>
            <w:shd w:fill="244A64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题量</w:t>
            </w:r>
          </w:p>
        </w:tc>
        <w:tc>
          <w:tcPr>
            <w:tcW w:type="dxa" w:w="2448"/>
            <w:shd w:fill="244A64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用途</w:t>
            </w:r>
          </w:p>
        </w:tc>
        <w:tc>
          <w:tcPr>
            <w:tcW w:type="dxa" w:w="2448"/>
            <w:shd w:fill="244A64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是否计分</w:t>
            </w:r>
          </w:p>
        </w:tc>
      </w:tr>
      <w:tr>
        <w:tc>
          <w:tcPr>
            <w:tcW w:type="dxa" w:w="244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练习题</w:t>
            </w:r>
          </w:p>
        </w:tc>
        <w:tc>
          <w:tcPr>
            <w:tcW w:type="dxa" w:w="244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244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学习接受、驳回、暂缓操作</w:t>
            </w:r>
          </w:p>
        </w:tc>
        <w:tc>
          <w:tcPr>
            <w:tcW w:type="dxa" w:w="244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否</w:t>
            </w:r>
          </w:p>
        </w:tc>
      </w:tr>
      <w:tr>
        <w:tc>
          <w:tcPr>
            <w:tcW w:type="dxa" w:w="244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正式题</w:t>
            </w:r>
          </w:p>
        </w:tc>
        <w:tc>
          <w:tcPr>
            <w:tcW w:type="dxa" w:w="244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18</w:t>
            </w:r>
          </w:p>
        </w:tc>
        <w:tc>
          <w:tcPr>
            <w:tcW w:type="dxa" w:w="244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验证评分、路径和三态审核</w:t>
            </w:r>
          </w:p>
        </w:tc>
        <w:tc>
          <w:tcPr>
            <w:tcW w:type="dxa" w:w="2448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是</w:t>
            </w:r>
          </w:p>
        </w:tc>
      </w:tr>
    </w:tbl>
    <w:p>
      <w:pPr>
        <w:pStyle w:val="Heading1"/>
      </w:pPr>
      <w:r>
        <w:t>四 练习题</w:t>
      </w:r>
    </w:p>
    <w:p>
      <w:pPr>
        <w:pStyle w:val="Heading2"/>
        <w:keepNext/>
      </w:pPr>
      <w:r>
        <w:t>练习01  银川—位于—宁夏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632"/>
      </w:tblGrid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题目类型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练习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候选事实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银川—位于—宁夏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模型评分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0.923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路径证据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银川—宁夏首府—宁夏（0.90）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参考答案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接受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判断依据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事实明确，路径与候选结论一致。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测试目的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熟悉评分、路径和“接受”操作。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练习02  CN15K—属于—医学数据集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632"/>
      </w:tblGrid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题目类型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练习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候选事实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CN15K—属于—医学数据集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模型评分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0.772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路径证据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无可用路径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参考答案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驳回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判断依据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CN15K是不确定知识图谱数据集，来源于ConceptNet，不是医学数据集。建议驳回原因为“实体类别错误”。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测试目的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理解较高评分不代表事实正确。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练习03  UBERT-RM—已经部署于—企业生产系统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632"/>
      </w:tblGrid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题目类型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练习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候选事实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UBERT-RM—已经部署于—企业生产系统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模型评分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0.806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路径证据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UBERT-RM—实现—论文模型（0.78）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参考答案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暂缓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判断依据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现有材料只能证明模型被研究和实现，不能证明已经部署到企业生产系统。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测试目的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区分“事实错误”和“目前证据不足”。</w:t>
            </w:r>
          </w:p>
        </w:tc>
      </w:tr>
    </w:tbl>
    <w:p>
      <w:pPr>
        <w:spacing w:after="40"/>
      </w:pPr>
    </w:p>
    <w:p>
      <w:pPr>
        <w:pStyle w:val="Heading1"/>
      </w:pPr>
      <w:r>
        <w:t>五 正式测试题</w:t>
      </w:r>
    </w:p>
    <w:p>
      <w:pPr>
        <w:pStyle w:val="Heading2"/>
        <w:keepNext/>
      </w:pPr>
      <w:r>
        <w:t>正式01  ConceptNet—属于—常识知识图谱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632"/>
      </w:tblGrid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题目类型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高分正确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候选事实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ConceptNet—属于—常识知识图谱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模型评分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0.891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路径证据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ConceptNet—用于表示—常识知识（0.87）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参考答案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接受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判断依据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ConceptNet是常识知识图谱。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测试目的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观察用户能否处理高分且证据一致的候选。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正式02  NELL—来源于—网页信息抽取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632"/>
      </w:tblGrid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题目类型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高分正确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候选事实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NELL—来源于—网页信息抽取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模型评分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0.847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路径证据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NELL—从网页持续抽取—结构化知识（0.82）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参考答案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接受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判断依据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NELL通过持续网页信息抽取构建知识。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测试目的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检查用户能否理解自然语言形式的路径。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正式03  BERT—开发机构—Google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632"/>
      </w:tblGrid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题目类型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中分正确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候选事实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BERT—开发机构—Google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模型评分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0.756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路径证据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BERT—由研究团队提出—Google（0.74）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参考答案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接受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判断依据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BERT由Google研究团队提出。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测试目的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观察中等评分是否影响对明确事实的判断。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正式04  CN15K—来源于—ConceptNet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632"/>
      </w:tblGrid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题目类型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低分正确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候选事实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CN15K—来源于—ConceptNet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模型评分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0.438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路径证据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CN15K—由常识图谱构建—ConceptNet（0.81）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参考答案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接受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判断依据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论文材料说明CN15K来源于ConceptNet。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测试目的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观察用户是否因低分而错误驳回。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正式05  NL27K—来源于—NELL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632"/>
      </w:tblGrid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题目类型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低分正确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候选事实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NL27K—来源于—NELL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模型评分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0.491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路径证据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NL27K—数据来源—NELL（0.79）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参考答案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接受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判断依据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论文材料说明NL27K来源于NELL。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测试目的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进一步检查低分偏见。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正式06  知识图谱补全—相关任务—链接预测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632"/>
      </w:tblGrid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题目类型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低分正确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候选事实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知识图谱补全—相关任务—链接预测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模型评分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0.526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路径证据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知识图谱补全—预测缺失实体—链接预测（0.71）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参考答案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接受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判断依据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链接预测是知识图谱补全的典型任务。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测试目的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判断路径是否能帮助用户纠正对低评分的怀疑。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正式07  CN15K—来源于—NELL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632"/>
      </w:tblGrid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题目类型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高分错误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候选事实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CN15K—来源于—NELL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模型评分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0.918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路径证据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CN15K—属于—不确定知识图谱数据集（0.88）；NELL—属于—不确定知识图谱（0.86）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参考答案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驳回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判断依据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两个对象属于同一领域不能证明前者来源于后者；CN15K来源于ConceptNet。建议驳回原因为“来源错误”。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测试目的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检验高分和误导路径造成的盲从风险。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正式08  NL27K—来源于—ConceptNet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632"/>
      </w:tblGrid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题目类型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高分错误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候选事实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NL27K—来源于—ConceptNet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模型评分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0.887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路径证据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NL27K—用于—知识图谱实验（0.84）；ConceptNet—属于—知识图谱（0.83）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参考答案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驳回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判断依据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存在领域关联不能推出数据来源；NL27K来源于NELL。建议驳回原因为“来源错误”。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测试目的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识别“有关联但不能推出结论”的路径。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正式09  BERT—开发机构—OpenAI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632"/>
      </w:tblGrid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题目类型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高分错误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候选事实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BERT—开发机构—OpenAI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模型评分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0.863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路径证据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BERT—属于—人工智能模型（0.85）；OpenAI—研究—人工智能（0.82）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参考答案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驳回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判断依据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BERT由Google研究团队提出。建议驳回原因为“事实错误”。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测试目的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检查用户能否抵抗高分和表面相关路径。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正式10  银川—位于—甘肃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632"/>
      </w:tblGrid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题目类型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实体错误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候选事实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银川—位于—甘肃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模型评分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0.821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路径证据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银川—位于—中国西北地区（0.86）；甘肃—位于—中国西北地区（0.84）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参考答案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驳回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判断依据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同属西北地区不能推出银川位于甘肃；银川位于宁夏。建议驳回原因为“尾实体错误”。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测试目的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判断用户能否识别路径结论强度不足。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正式11  ConceptNet—属于—金融风控数据集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632"/>
      </w:tblGrid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题目类型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类别错误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候选事实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ConceptNet—属于—金融风控数据集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模型评分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0.734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路径证据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ConceptNet—可用于—人工智能应用（0.77）；金融风控—使用—人工智能（0.72）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参考答案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驳回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判断依据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共享应用领域不能证明ConceptNet属于金融风控数据集。建议驳回原因为“实体类别错误”。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测试目的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检查用户能否识别过度推理。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正式12  UBERT-RM—用于—图像分割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632"/>
      </w:tblGrid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题目类型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关系错误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候选事实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UBERT-RM—用于—图像分割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模型评分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0.701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路径证据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UBERT-RM—使用—神经网络（0.75）；图像分割—使用—神经网络（0.73）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参考答案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驳回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判断依据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使用相似技术不代表具有相同用途；当前项目用于不确定知识图谱补全。建议驳回原因为“关系错误”。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测试目的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检验对共享技术路径的辨别能力。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正式13  宁夏大学—位于—银川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632"/>
      </w:tblGrid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题目类型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无路径正确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候选事实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宁夏大学—位于—银川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模型评分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0.684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路径证据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无可用路径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参考答案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接受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判断依据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宁夏大学位于银川；缺少路径不代表事实错误。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测试目的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检查用户是否把“无路径”误解为“事实错误”。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正式14  CN15K—包含关系数量—36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632"/>
      </w:tblGrid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题目类型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无路径正确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候选事实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CN15K—包含关系数量—36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模型评分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0.618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路径证据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无可用路径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参考答案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接受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判断依据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论文数据集统计记录CN15K包含36种关系。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测试目的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观察用户能否在无路径时结合已有信息判断。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正式15  NL27K—包含实体数量—15000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632"/>
      </w:tblGrid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题目类型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无路径错误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候选事实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NL27K—包含实体数量—15000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模型评分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0.673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路径证据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无可用路径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参考答案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驳回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判断依据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15000是CN15K的实体数；NL27K包含27221个实体。建议驳回原因为“数值错误”。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测试目的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避免用户形成“无路径一律接受或一律驳回”的机械规则。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正式16  UBERT-RM—适用于—医疗知识图谱生产系统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632"/>
      </w:tblGrid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题目类型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证据不足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候选事实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UBERT-RM—适用于—医疗知识图谱生产系统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模型评分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0.882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路径证据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规则推理—适用于—医疗领域（0.81）；UBERT-RM—支持—规则推理（0.84）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参考答案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暂缓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判断依据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技术上可能适用，但现有项目没有医疗数据测试或生产部署证据。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测试目的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检查用户是否把“可能适用”误判为“已经验证”。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正式17  路径跳数4—一定优于—路径跳数3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632"/>
      </w:tblGrid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题目类型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结论过度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候选事实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路径跳数4—一定优于—路径跳数3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模型评分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0.791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路径证据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CN15K中4跳MRR较高；NL27K中4跳MRR也较高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参考答案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暂缓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判断依据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部分指标支持4跳，但不能推出所有指标、所有数据和所有成本条件下都更好。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测试目的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识别绝对化结论，理解实验指标的边界。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正式18  子图跳数3—是—所有场景的最佳配置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632"/>
      </w:tblGrid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题目类型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证据冲突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候选事实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子图跳数3—是—所有场景的最佳配置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模型评分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0.836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路径证据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NL27K在3跳时多项指标最高；CN15K在2跳时表现更好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参考答案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暂缓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判断依据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不同数据集的最佳设置不同，现有证据不足以确定统一配置。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测试目的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观察用户在证据冲突时能否选择暂缓。</w:t>
            </w:r>
          </w:p>
        </w:tc>
      </w:tr>
    </w:tbl>
    <w:p>
      <w:pPr>
        <w:spacing w:after="40"/>
      </w:pPr>
    </w:p>
    <w:p>
      <w:pPr>
        <w:pStyle w:val="Heading1"/>
      </w:pPr>
      <w:r>
        <w:t>六 正式测试答案速查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rPr>
          <w:tblHeader w:val="true"/>
        </w:trPr>
        <w:tc>
          <w:tcPr>
            <w:tcW w:type="dxa" w:w="1958"/>
            <w:shd w:fill="244A6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题号</w:t>
            </w:r>
          </w:p>
        </w:tc>
        <w:tc>
          <w:tcPr>
            <w:tcW w:type="dxa" w:w="1958"/>
            <w:shd w:fill="244A6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候选事实</w:t>
            </w:r>
          </w:p>
        </w:tc>
        <w:tc>
          <w:tcPr>
            <w:tcW w:type="dxa" w:w="1958"/>
            <w:shd w:fill="244A6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评分</w:t>
            </w:r>
          </w:p>
        </w:tc>
        <w:tc>
          <w:tcPr>
            <w:tcW w:type="dxa" w:w="1958"/>
            <w:shd w:fill="244A6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答案</w:t>
            </w:r>
          </w:p>
        </w:tc>
        <w:tc>
          <w:tcPr>
            <w:tcW w:type="dxa" w:w="1958"/>
            <w:shd w:fill="244A64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</w:t>
            </w:r>
          </w:p>
        </w:tc>
      </w:tr>
      <w:tr>
        <w:tc>
          <w:tcPr>
            <w:tcW w:type="dxa" w:w="195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正式01</w:t>
            </w:r>
          </w:p>
        </w:tc>
        <w:tc>
          <w:tcPr>
            <w:tcW w:type="dxa" w:w="195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ConceptNet—属于—常识知识图谱</w:t>
            </w:r>
          </w:p>
        </w:tc>
        <w:tc>
          <w:tcPr>
            <w:tcW w:type="dxa" w:w="195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0.891</w:t>
            </w:r>
          </w:p>
        </w:tc>
        <w:tc>
          <w:tcPr>
            <w:tcW w:type="dxa" w:w="195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接受</w:t>
            </w:r>
          </w:p>
        </w:tc>
        <w:tc>
          <w:tcPr>
            <w:tcW w:type="dxa" w:w="195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高分正确</w:t>
            </w:r>
          </w:p>
        </w:tc>
      </w:tr>
      <w:tr>
        <w:tc>
          <w:tcPr>
            <w:tcW w:type="dxa" w:w="195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正式02</w:t>
            </w:r>
          </w:p>
        </w:tc>
        <w:tc>
          <w:tcPr>
            <w:tcW w:type="dxa" w:w="195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NELL—来源于—网页信息抽取</w:t>
            </w:r>
          </w:p>
        </w:tc>
        <w:tc>
          <w:tcPr>
            <w:tcW w:type="dxa" w:w="195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0.847</w:t>
            </w:r>
          </w:p>
        </w:tc>
        <w:tc>
          <w:tcPr>
            <w:tcW w:type="dxa" w:w="195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接受</w:t>
            </w:r>
          </w:p>
        </w:tc>
        <w:tc>
          <w:tcPr>
            <w:tcW w:type="dxa" w:w="195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高分正确</w:t>
            </w:r>
          </w:p>
        </w:tc>
      </w:tr>
      <w:tr>
        <w:tc>
          <w:tcPr>
            <w:tcW w:type="dxa" w:w="195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正式03</w:t>
            </w:r>
          </w:p>
        </w:tc>
        <w:tc>
          <w:tcPr>
            <w:tcW w:type="dxa" w:w="195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BERT—开发机构—Google</w:t>
            </w:r>
          </w:p>
        </w:tc>
        <w:tc>
          <w:tcPr>
            <w:tcW w:type="dxa" w:w="195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0.756</w:t>
            </w:r>
          </w:p>
        </w:tc>
        <w:tc>
          <w:tcPr>
            <w:tcW w:type="dxa" w:w="195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接受</w:t>
            </w:r>
          </w:p>
        </w:tc>
        <w:tc>
          <w:tcPr>
            <w:tcW w:type="dxa" w:w="195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中分正确</w:t>
            </w:r>
          </w:p>
        </w:tc>
      </w:tr>
      <w:tr>
        <w:tc>
          <w:tcPr>
            <w:tcW w:type="dxa" w:w="195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正式04</w:t>
            </w:r>
          </w:p>
        </w:tc>
        <w:tc>
          <w:tcPr>
            <w:tcW w:type="dxa" w:w="195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CN15K—来源于—ConceptNet</w:t>
            </w:r>
          </w:p>
        </w:tc>
        <w:tc>
          <w:tcPr>
            <w:tcW w:type="dxa" w:w="195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0.438</w:t>
            </w:r>
          </w:p>
        </w:tc>
        <w:tc>
          <w:tcPr>
            <w:tcW w:type="dxa" w:w="195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接受</w:t>
            </w:r>
          </w:p>
        </w:tc>
        <w:tc>
          <w:tcPr>
            <w:tcW w:type="dxa" w:w="195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低分正确</w:t>
            </w:r>
          </w:p>
        </w:tc>
      </w:tr>
      <w:tr>
        <w:tc>
          <w:tcPr>
            <w:tcW w:type="dxa" w:w="195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正式05</w:t>
            </w:r>
          </w:p>
        </w:tc>
        <w:tc>
          <w:tcPr>
            <w:tcW w:type="dxa" w:w="195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NL27K—来源于—NELL</w:t>
            </w:r>
          </w:p>
        </w:tc>
        <w:tc>
          <w:tcPr>
            <w:tcW w:type="dxa" w:w="195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0.491</w:t>
            </w:r>
          </w:p>
        </w:tc>
        <w:tc>
          <w:tcPr>
            <w:tcW w:type="dxa" w:w="195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接受</w:t>
            </w:r>
          </w:p>
        </w:tc>
        <w:tc>
          <w:tcPr>
            <w:tcW w:type="dxa" w:w="195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低分正确</w:t>
            </w:r>
          </w:p>
        </w:tc>
      </w:tr>
      <w:tr>
        <w:tc>
          <w:tcPr>
            <w:tcW w:type="dxa" w:w="195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正式06</w:t>
            </w:r>
          </w:p>
        </w:tc>
        <w:tc>
          <w:tcPr>
            <w:tcW w:type="dxa" w:w="195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知识图谱补全—相关任务—链接预测</w:t>
            </w:r>
          </w:p>
        </w:tc>
        <w:tc>
          <w:tcPr>
            <w:tcW w:type="dxa" w:w="195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0.526</w:t>
            </w:r>
          </w:p>
        </w:tc>
        <w:tc>
          <w:tcPr>
            <w:tcW w:type="dxa" w:w="195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接受</w:t>
            </w:r>
          </w:p>
        </w:tc>
        <w:tc>
          <w:tcPr>
            <w:tcW w:type="dxa" w:w="195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低分正确</w:t>
            </w:r>
          </w:p>
        </w:tc>
      </w:tr>
      <w:tr>
        <w:tc>
          <w:tcPr>
            <w:tcW w:type="dxa" w:w="195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正式07</w:t>
            </w:r>
          </w:p>
        </w:tc>
        <w:tc>
          <w:tcPr>
            <w:tcW w:type="dxa" w:w="195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CN15K—来源于—NELL</w:t>
            </w:r>
          </w:p>
        </w:tc>
        <w:tc>
          <w:tcPr>
            <w:tcW w:type="dxa" w:w="195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0.918</w:t>
            </w:r>
          </w:p>
        </w:tc>
        <w:tc>
          <w:tcPr>
            <w:tcW w:type="dxa" w:w="195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驳回</w:t>
            </w:r>
          </w:p>
        </w:tc>
        <w:tc>
          <w:tcPr>
            <w:tcW w:type="dxa" w:w="195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高分错误</w:t>
            </w:r>
          </w:p>
        </w:tc>
      </w:tr>
      <w:tr>
        <w:tc>
          <w:tcPr>
            <w:tcW w:type="dxa" w:w="195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正式08</w:t>
            </w:r>
          </w:p>
        </w:tc>
        <w:tc>
          <w:tcPr>
            <w:tcW w:type="dxa" w:w="195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NL27K—来源于—ConceptNet</w:t>
            </w:r>
          </w:p>
        </w:tc>
        <w:tc>
          <w:tcPr>
            <w:tcW w:type="dxa" w:w="195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0.887</w:t>
            </w:r>
          </w:p>
        </w:tc>
        <w:tc>
          <w:tcPr>
            <w:tcW w:type="dxa" w:w="195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驳回</w:t>
            </w:r>
          </w:p>
        </w:tc>
        <w:tc>
          <w:tcPr>
            <w:tcW w:type="dxa" w:w="195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高分错误</w:t>
            </w:r>
          </w:p>
        </w:tc>
      </w:tr>
      <w:tr>
        <w:tc>
          <w:tcPr>
            <w:tcW w:type="dxa" w:w="195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正式09</w:t>
            </w:r>
          </w:p>
        </w:tc>
        <w:tc>
          <w:tcPr>
            <w:tcW w:type="dxa" w:w="195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BERT—开发机构—OpenAI</w:t>
            </w:r>
          </w:p>
        </w:tc>
        <w:tc>
          <w:tcPr>
            <w:tcW w:type="dxa" w:w="195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0.863</w:t>
            </w:r>
          </w:p>
        </w:tc>
        <w:tc>
          <w:tcPr>
            <w:tcW w:type="dxa" w:w="195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驳回</w:t>
            </w:r>
          </w:p>
        </w:tc>
        <w:tc>
          <w:tcPr>
            <w:tcW w:type="dxa" w:w="195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高分错误</w:t>
            </w:r>
          </w:p>
        </w:tc>
      </w:tr>
      <w:tr>
        <w:tc>
          <w:tcPr>
            <w:tcW w:type="dxa" w:w="195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正式10</w:t>
            </w:r>
          </w:p>
        </w:tc>
        <w:tc>
          <w:tcPr>
            <w:tcW w:type="dxa" w:w="195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银川—位于—甘肃</w:t>
            </w:r>
          </w:p>
        </w:tc>
        <w:tc>
          <w:tcPr>
            <w:tcW w:type="dxa" w:w="195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0.821</w:t>
            </w:r>
          </w:p>
        </w:tc>
        <w:tc>
          <w:tcPr>
            <w:tcW w:type="dxa" w:w="195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驳回</w:t>
            </w:r>
          </w:p>
        </w:tc>
        <w:tc>
          <w:tcPr>
            <w:tcW w:type="dxa" w:w="195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实体错误</w:t>
            </w:r>
          </w:p>
        </w:tc>
      </w:tr>
      <w:tr>
        <w:tc>
          <w:tcPr>
            <w:tcW w:type="dxa" w:w="195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正式11</w:t>
            </w:r>
          </w:p>
        </w:tc>
        <w:tc>
          <w:tcPr>
            <w:tcW w:type="dxa" w:w="195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ConceptNet—属于—金融风控数据集</w:t>
            </w:r>
          </w:p>
        </w:tc>
        <w:tc>
          <w:tcPr>
            <w:tcW w:type="dxa" w:w="195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0.734</w:t>
            </w:r>
          </w:p>
        </w:tc>
        <w:tc>
          <w:tcPr>
            <w:tcW w:type="dxa" w:w="195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驳回</w:t>
            </w:r>
          </w:p>
        </w:tc>
        <w:tc>
          <w:tcPr>
            <w:tcW w:type="dxa" w:w="195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类别错误</w:t>
            </w:r>
          </w:p>
        </w:tc>
      </w:tr>
      <w:tr>
        <w:tc>
          <w:tcPr>
            <w:tcW w:type="dxa" w:w="195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正式12</w:t>
            </w:r>
          </w:p>
        </w:tc>
        <w:tc>
          <w:tcPr>
            <w:tcW w:type="dxa" w:w="195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UBERT-RM—用于—图像分割</w:t>
            </w:r>
          </w:p>
        </w:tc>
        <w:tc>
          <w:tcPr>
            <w:tcW w:type="dxa" w:w="195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0.701</w:t>
            </w:r>
          </w:p>
        </w:tc>
        <w:tc>
          <w:tcPr>
            <w:tcW w:type="dxa" w:w="195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驳回</w:t>
            </w:r>
          </w:p>
        </w:tc>
        <w:tc>
          <w:tcPr>
            <w:tcW w:type="dxa" w:w="195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关系错误</w:t>
            </w:r>
          </w:p>
        </w:tc>
      </w:tr>
      <w:tr>
        <w:tc>
          <w:tcPr>
            <w:tcW w:type="dxa" w:w="195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正式13</w:t>
            </w:r>
          </w:p>
        </w:tc>
        <w:tc>
          <w:tcPr>
            <w:tcW w:type="dxa" w:w="195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宁夏大学—位于—银川</w:t>
            </w:r>
          </w:p>
        </w:tc>
        <w:tc>
          <w:tcPr>
            <w:tcW w:type="dxa" w:w="195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0.684</w:t>
            </w:r>
          </w:p>
        </w:tc>
        <w:tc>
          <w:tcPr>
            <w:tcW w:type="dxa" w:w="195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接受</w:t>
            </w:r>
          </w:p>
        </w:tc>
        <w:tc>
          <w:tcPr>
            <w:tcW w:type="dxa" w:w="195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无路径正确</w:t>
            </w:r>
          </w:p>
        </w:tc>
      </w:tr>
      <w:tr>
        <w:tc>
          <w:tcPr>
            <w:tcW w:type="dxa" w:w="195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正式14</w:t>
            </w:r>
          </w:p>
        </w:tc>
        <w:tc>
          <w:tcPr>
            <w:tcW w:type="dxa" w:w="195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CN15K—包含关系数量—36</w:t>
            </w:r>
          </w:p>
        </w:tc>
        <w:tc>
          <w:tcPr>
            <w:tcW w:type="dxa" w:w="195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0.618</w:t>
            </w:r>
          </w:p>
        </w:tc>
        <w:tc>
          <w:tcPr>
            <w:tcW w:type="dxa" w:w="195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接受</w:t>
            </w:r>
          </w:p>
        </w:tc>
        <w:tc>
          <w:tcPr>
            <w:tcW w:type="dxa" w:w="195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无路径正确</w:t>
            </w:r>
          </w:p>
        </w:tc>
      </w:tr>
      <w:tr>
        <w:tc>
          <w:tcPr>
            <w:tcW w:type="dxa" w:w="195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正式15</w:t>
            </w:r>
          </w:p>
        </w:tc>
        <w:tc>
          <w:tcPr>
            <w:tcW w:type="dxa" w:w="195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NL27K—包含实体数量—15000</w:t>
            </w:r>
          </w:p>
        </w:tc>
        <w:tc>
          <w:tcPr>
            <w:tcW w:type="dxa" w:w="195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0.673</w:t>
            </w:r>
          </w:p>
        </w:tc>
        <w:tc>
          <w:tcPr>
            <w:tcW w:type="dxa" w:w="195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驳回</w:t>
            </w:r>
          </w:p>
        </w:tc>
        <w:tc>
          <w:tcPr>
            <w:tcW w:type="dxa" w:w="195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无路径错误</w:t>
            </w:r>
          </w:p>
        </w:tc>
      </w:tr>
      <w:tr>
        <w:tc>
          <w:tcPr>
            <w:tcW w:type="dxa" w:w="195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正式16</w:t>
            </w:r>
          </w:p>
        </w:tc>
        <w:tc>
          <w:tcPr>
            <w:tcW w:type="dxa" w:w="195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UBERT-RM—适用于—医疗知识图谱生产系统</w:t>
            </w:r>
          </w:p>
        </w:tc>
        <w:tc>
          <w:tcPr>
            <w:tcW w:type="dxa" w:w="195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0.882</w:t>
            </w:r>
          </w:p>
        </w:tc>
        <w:tc>
          <w:tcPr>
            <w:tcW w:type="dxa" w:w="195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暂缓</w:t>
            </w:r>
          </w:p>
        </w:tc>
        <w:tc>
          <w:tcPr>
            <w:tcW w:type="dxa" w:w="195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证据不足</w:t>
            </w:r>
          </w:p>
        </w:tc>
      </w:tr>
      <w:tr>
        <w:tc>
          <w:tcPr>
            <w:tcW w:type="dxa" w:w="195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正式17</w:t>
            </w:r>
          </w:p>
        </w:tc>
        <w:tc>
          <w:tcPr>
            <w:tcW w:type="dxa" w:w="195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路径跳数4—一定优于—路径跳数3</w:t>
            </w:r>
          </w:p>
        </w:tc>
        <w:tc>
          <w:tcPr>
            <w:tcW w:type="dxa" w:w="195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0.791</w:t>
            </w:r>
          </w:p>
        </w:tc>
        <w:tc>
          <w:tcPr>
            <w:tcW w:type="dxa" w:w="195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暂缓</w:t>
            </w:r>
          </w:p>
        </w:tc>
        <w:tc>
          <w:tcPr>
            <w:tcW w:type="dxa" w:w="195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结论过度</w:t>
            </w:r>
          </w:p>
        </w:tc>
      </w:tr>
      <w:tr>
        <w:tc>
          <w:tcPr>
            <w:tcW w:type="dxa" w:w="195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正式18</w:t>
            </w:r>
          </w:p>
        </w:tc>
        <w:tc>
          <w:tcPr>
            <w:tcW w:type="dxa" w:w="195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子图跳数3—是—所有场景的最佳配置</w:t>
            </w:r>
          </w:p>
        </w:tc>
        <w:tc>
          <w:tcPr>
            <w:tcW w:type="dxa" w:w="195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0.836</w:t>
            </w:r>
          </w:p>
        </w:tc>
        <w:tc>
          <w:tcPr>
            <w:tcW w:type="dxa" w:w="195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暂缓</w:t>
            </w:r>
          </w:p>
        </w:tc>
        <w:tc>
          <w:tcPr>
            <w:tcW w:type="dxa" w:w="1958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证据冲突</w:t>
            </w:r>
          </w:p>
        </w:tc>
      </w:tr>
    </w:tbl>
    <w:p>
      <w:pPr>
        <w:pStyle w:val="Heading1"/>
      </w:pPr>
      <w:r>
        <w:t>七 审题确认清单</w:t>
      </w:r>
    </w:p>
    <w:p>
      <w:r>
        <w:t>□ 每道题的参考答案是否只有一种合理解释。</w:t>
      </w:r>
    </w:p>
    <w:p>
      <w:r>
        <w:t>□ 关系名称是否自然、含义是否一致。</w:t>
      </w:r>
    </w:p>
    <w:p>
      <w:r>
        <w:t>□ 高分错误和低分正确案例是否会造成有效区分，而不是故意刁难。</w:t>
      </w:r>
    </w:p>
    <w:p>
      <w:r>
        <w:t>□ 暂缓题是否确实属于证据不足、证据冲突或超出验证范围。</w:t>
      </w:r>
    </w:p>
    <w:p>
      <w:r>
        <w:t>□ 路径证据是否能被普通目标用户读懂。</w:t>
      </w:r>
    </w:p>
    <w:p>
      <w:r>
        <w:t>□ 正式测试中展示的题目、评分和路径是否与本题库一致。</w:t>
      </w:r>
    </w:p>
    <w:sectPr w:rsidR="00FC693F" w:rsidRPr="0006063C" w:rsidSect="00034616">
      <w:footerReference w:type="default" r:id="rId9"/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67085"/>
        <w:sz w:val="16"/>
      </w:rPr>
      <w:t>原型用户测试题库与参考答案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