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pd6g0ttzz2i4" w:id="0"/>
      <w:bookmarkEnd w:id="0"/>
      <w:r w:rsidDel="00000000" w:rsidR="00000000" w:rsidRPr="00000000">
        <w:rPr>
          <w:rtl w:val="0"/>
        </w:rPr>
        <w:t xml:space="preserve">Rapport d'Audit de Gestion des Risques : Institution Bancaire</w:t>
      </w:r>
    </w:p>
    <w:p w:rsidR="00000000" w:rsidDel="00000000" w:rsidP="00000000" w:rsidRDefault="00000000" w:rsidRPr="00000000" w14:paraId="00000002">
      <w:pPr>
        <w:pStyle w:val="Heading4"/>
        <w:rPr/>
      </w:pPr>
      <w:bookmarkStart w:colFirst="0" w:colLast="0" w:name="_lf76zjmg1qlr" w:id="1"/>
      <w:bookmarkEnd w:id="1"/>
      <w:r w:rsidDel="00000000" w:rsidR="00000000" w:rsidRPr="00000000">
        <w:rPr>
          <w:rtl w:val="0"/>
        </w:rPr>
        <w:t xml:space="preserve">1. Introduction</w:t>
      </w:r>
    </w:p>
    <w:p w:rsidR="00000000" w:rsidDel="00000000" w:rsidP="00000000" w:rsidRDefault="00000000" w:rsidRPr="00000000" w14:paraId="00000003">
      <w:pPr>
        <w:rPr/>
      </w:pPr>
      <w:r w:rsidDel="00000000" w:rsidR="00000000" w:rsidRPr="00000000">
        <w:rPr>
          <w:rtl w:val="0"/>
        </w:rPr>
        <w:t xml:space="preserve">Dans un paysage financier marqué par une cyber-menace protéiforme et une sophistication croissante des vecteurs d'attaque, la gestion des risques ne constitue plus une simple fonction support, mais un pilier central de la gouvernance stratégique. La protection des actifs informationnels — données clients, systèmes de paiement et infrastructures de règlement — est le garant de la confiance systémique et de la continuité d'exploitation de l'institution.Ce rapport d'audit vise à évaluer l'efficacité opérationnelle des contrôles en place et à définir une trajectoire de remédiation rigoureuse. L'objectif est d'aligner la posture de sécurité sur l'appétence au risque de la direction, tout en garantissant une conformité stricte aux exigences réglementaires en vigueur.</w:t>
      </w:r>
    </w:p>
    <w:p w:rsidR="00000000" w:rsidDel="00000000" w:rsidP="00000000" w:rsidRDefault="00000000" w:rsidRPr="00000000" w14:paraId="00000004">
      <w:pPr>
        <w:pStyle w:val="Heading4"/>
        <w:rPr/>
      </w:pPr>
      <w:bookmarkStart w:colFirst="0" w:colLast="0" w:name="_ouwyj8jljbhi" w:id="2"/>
      <w:bookmarkEnd w:id="2"/>
      <w:r w:rsidDel="00000000" w:rsidR="00000000" w:rsidRPr="00000000">
        <w:rPr>
          <w:rtl w:val="0"/>
        </w:rPr>
        <w:t xml:space="preserve">2. Établissement du contexte</w:t>
      </w:r>
    </w:p>
    <w:p w:rsidR="00000000" w:rsidDel="00000000" w:rsidP="00000000" w:rsidRDefault="00000000" w:rsidRPr="00000000" w14:paraId="00000005">
      <w:pPr>
        <w:pStyle w:val="Heading5"/>
        <w:rPr/>
      </w:pPr>
      <w:bookmarkStart w:colFirst="0" w:colLast="0" w:name="_vjyu39937kwn" w:id="3"/>
      <w:bookmarkEnd w:id="3"/>
      <w:r w:rsidDel="00000000" w:rsidR="00000000" w:rsidRPr="00000000">
        <w:rPr>
          <w:rtl w:val="0"/>
        </w:rPr>
        <w:t xml:space="preserve">2.1 Champ d’application et portée</w:t>
      </w:r>
    </w:p>
    <w:p w:rsidR="00000000" w:rsidDel="00000000" w:rsidP="00000000" w:rsidRDefault="00000000" w:rsidRPr="00000000" w14:paraId="00000006">
      <w:pPr>
        <w:rPr/>
      </w:pPr>
      <w:r w:rsidDel="00000000" w:rsidR="00000000" w:rsidRPr="00000000">
        <w:rPr>
          <w:rtl w:val="0"/>
        </w:rPr>
        <w:t xml:space="preserve">Le périmètre de l'audit englobe l'ensemble des actifs critiques participant à la chaîne de valeur bancaire, notamment :</w:t>
      </w:r>
    </w:p>
    <w:p w:rsidR="00000000" w:rsidDel="00000000" w:rsidP="00000000" w:rsidRDefault="00000000" w:rsidRPr="00000000" w14:paraId="00000007">
      <w:pPr>
        <w:numPr>
          <w:ilvl w:val="0"/>
          <w:numId w:val="7"/>
        </w:numPr>
        <w:ind w:left="720" w:hanging="360"/>
        <w:rPr>
          <w:u w:val="none"/>
        </w:rPr>
      </w:pPr>
      <w:r w:rsidDel="00000000" w:rsidR="00000000" w:rsidRPr="00000000">
        <w:rPr>
          <w:b w:val="1"/>
          <w:bCs w:val="1"/>
          <w:rtl w:val="0"/>
        </w:rPr>
        <w:t xml:space="preserve">Plateforme E-banking :</w:t>
      </w:r>
      <w:r w:rsidDel="00000000" w:rsidR="00000000" w:rsidRPr="00000000">
        <w:rPr>
          <w:rtl w:val="0"/>
        </w:rPr>
        <w:t xml:space="preserve">  L'architecture web, reposant sur le framework  </w:t>
      </w:r>
      <w:r w:rsidDel="00000000" w:rsidR="00000000" w:rsidRPr="00000000">
        <w:rPr>
          <w:b w:val="1"/>
          <w:bCs w:val="1"/>
          <w:rtl w:val="0"/>
        </w:rPr>
        <w:t xml:space="preserve">Laravel</w:t>
      </w:r>
      <w:r w:rsidDel="00000000" w:rsidR="00000000" w:rsidRPr="00000000">
        <w:rPr>
          <w:rtl w:val="0"/>
        </w:rPr>
        <w:t xml:space="preserve"> , incluant les portails clients et les API de services tiers.</w:t>
      </w:r>
    </w:p>
    <w:p w:rsidR="00000000" w:rsidDel="00000000" w:rsidP="00000000" w:rsidRDefault="00000000" w:rsidRPr="00000000" w14:paraId="00000008">
      <w:pPr>
        <w:numPr>
          <w:ilvl w:val="0"/>
          <w:numId w:val="7"/>
        </w:numPr>
        <w:ind w:left="720" w:hanging="360"/>
        <w:rPr>
          <w:u w:val="none"/>
        </w:rPr>
      </w:pPr>
      <w:r w:rsidDel="00000000" w:rsidR="00000000" w:rsidRPr="00000000">
        <w:rPr>
          <w:b w:val="1"/>
          <w:bCs w:val="1"/>
          <w:rtl w:val="0"/>
        </w:rPr>
        <w:t xml:space="preserve">Bases de données clients (Core Banking System) :</w:t>
      </w:r>
      <w:r w:rsidDel="00000000" w:rsidR="00000000" w:rsidRPr="00000000">
        <w:rPr>
          <w:rtl w:val="0"/>
        </w:rPr>
        <w:t xml:space="preserve">  Systèmes critiques stockant les données d'identification et les registres de transactions.</w:t>
      </w:r>
    </w:p>
    <w:p w:rsidR="00000000" w:rsidDel="00000000" w:rsidP="00000000" w:rsidRDefault="00000000" w:rsidRPr="00000000" w14:paraId="00000009">
      <w:pPr>
        <w:numPr>
          <w:ilvl w:val="0"/>
          <w:numId w:val="7"/>
        </w:numPr>
        <w:ind w:left="720" w:hanging="360"/>
        <w:rPr>
          <w:u w:val="none"/>
        </w:rPr>
      </w:pPr>
      <w:r w:rsidDel="00000000" w:rsidR="00000000" w:rsidRPr="00000000">
        <w:rPr>
          <w:b w:val="1"/>
          <w:bCs w:val="1"/>
          <w:rtl w:val="0"/>
        </w:rPr>
        <w:t xml:space="preserve">Infrastructure SWIFT :</w:t>
      </w:r>
      <w:r w:rsidDel="00000000" w:rsidR="00000000" w:rsidRPr="00000000">
        <w:rPr>
          <w:rtl w:val="0"/>
        </w:rPr>
        <w:t xml:space="preserve">  Environnement dédié aux transferts interbancaires, soumis au cadre de contrôle du  </w:t>
      </w:r>
      <w:r w:rsidDel="00000000" w:rsidR="00000000" w:rsidRPr="00000000">
        <w:rPr>
          <w:b w:val="1"/>
          <w:bCs w:val="1"/>
          <w:rtl w:val="0"/>
        </w:rPr>
        <w:t xml:space="preserve">Customer Security Programme (CSP)</w:t>
      </w:r>
      <w:r w:rsidDel="00000000" w:rsidR="00000000" w:rsidRPr="00000000">
        <w:rPr>
          <w:rtl w:val="0"/>
        </w:rPr>
        <w:t xml:space="preserve"> .</w:t>
      </w:r>
    </w:p>
    <w:p w:rsidR="00000000" w:rsidDel="00000000" w:rsidP="00000000" w:rsidRDefault="00000000" w:rsidRPr="00000000" w14:paraId="0000000A">
      <w:pPr>
        <w:numPr>
          <w:ilvl w:val="0"/>
          <w:numId w:val="7"/>
        </w:numPr>
        <w:ind w:left="720" w:hanging="360"/>
        <w:rPr>
          <w:u w:val="none"/>
        </w:rPr>
      </w:pPr>
      <w:r w:rsidDel="00000000" w:rsidR="00000000" w:rsidRPr="00000000">
        <w:rPr>
          <w:b w:val="1"/>
          <w:bCs w:val="1"/>
          <w:rtl w:val="0"/>
        </w:rPr>
        <w:t xml:space="preserve">Postes de travail et accès distants :</w:t>
      </w:r>
      <w:r w:rsidDel="00000000" w:rsidR="00000000" w:rsidRPr="00000000">
        <w:rPr>
          <w:rtl w:val="0"/>
        </w:rPr>
        <w:t xml:space="preserve">  Accès administratifs et terminaux de paiement.</w:t>
      </w:r>
    </w:p>
    <w:p w:rsidR="00000000" w:rsidDel="00000000" w:rsidP="00000000" w:rsidRDefault="00000000" w:rsidRPr="00000000" w14:paraId="0000000B">
      <w:pPr>
        <w:pStyle w:val="Heading5"/>
        <w:rPr/>
      </w:pPr>
      <w:bookmarkStart w:colFirst="0" w:colLast="0" w:name="_rno2qzhckw70" w:id="4"/>
      <w:bookmarkEnd w:id="4"/>
      <w:r w:rsidDel="00000000" w:rsidR="00000000" w:rsidRPr="00000000">
        <w:rPr>
          <w:rtl w:val="0"/>
        </w:rPr>
        <w:t xml:space="preserve">2.2 Facteurs d’évaluation des risques</w:t>
      </w:r>
    </w:p>
    <w:p w:rsidR="00000000" w:rsidDel="00000000" w:rsidP="00000000" w:rsidRDefault="00000000" w:rsidRPr="00000000" w14:paraId="0000000C">
      <w:pPr>
        <w:rPr/>
      </w:pPr>
      <w:r w:rsidDel="00000000" w:rsidR="00000000" w:rsidRPr="00000000">
        <w:rPr>
          <w:rtl w:val="0"/>
        </w:rPr>
        <w:t xml:space="preserve">L'évaluation se fonde sur les critères de décision stratégiques suivants :</w:t>
      </w:r>
    </w:p>
    <w:p w:rsidR="00000000" w:rsidDel="00000000" w:rsidP="00000000" w:rsidRDefault="00000000" w:rsidRPr="00000000" w14:paraId="0000000D">
      <w:pPr>
        <w:numPr>
          <w:ilvl w:val="0"/>
          <w:numId w:val="9"/>
        </w:numPr>
        <w:ind w:left="720" w:hanging="360"/>
        <w:rPr>
          <w:u w:val="none"/>
        </w:rPr>
      </w:pPr>
      <w:r w:rsidDel="00000000" w:rsidR="00000000" w:rsidRPr="00000000">
        <w:rPr>
          <w:b w:val="1"/>
          <w:bCs w:val="1"/>
          <w:rtl w:val="0"/>
        </w:rPr>
        <w:t xml:space="preserve">Obligations réglementaires :</w:t>
      </w:r>
      <w:r w:rsidDel="00000000" w:rsidR="00000000" w:rsidRPr="00000000">
        <w:rPr>
          <w:rtl w:val="0"/>
        </w:rPr>
        <w:t xml:space="preserve">  Conformité aux directives  </w:t>
      </w:r>
      <w:r w:rsidDel="00000000" w:rsidR="00000000" w:rsidRPr="00000000">
        <w:rPr>
          <w:b w:val="1"/>
          <w:bCs w:val="1"/>
          <w:rtl w:val="0"/>
        </w:rPr>
        <w:t xml:space="preserve">DSP2</w:t>
      </w:r>
      <w:r w:rsidDel="00000000" w:rsidR="00000000" w:rsidRPr="00000000">
        <w:rPr>
          <w:rtl w:val="0"/>
        </w:rPr>
        <w:t xml:space="preserve"> ,  </w:t>
      </w:r>
      <w:r w:rsidDel="00000000" w:rsidR="00000000" w:rsidRPr="00000000">
        <w:rPr>
          <w:b w:val="1"/>
          <w:bCs w:val="1"/>
          <w:rtl w:val="0"/>
        </w:rPr>
        <w:t xml:space="preserve">RGPD</w:t>
      </w:r>
      <w:r w:rsidDel="00000000" w:rsidR="00000000" w:rsidRPr="00000000">
        <w:rPr>
          <w:rtl w:val="0"/>
        </w:rPr>
        <w:t xml:space="preserve">  et aux exigences de l' </w:t>
      </w:r>
      <w:r w:rsidDel="00000000" w:rsidR="00000000" w:rsidRPr="00000000">
        <w:rPr>
          <w:b w:val="1"/>
          <w:bCs w:val="1"/>
          <w:rtl w:val="0"/>
        </w:rPr>
        <w:t xml:space="preserve">ACPR</w:t>
      </w:r>
      <w:r w:rsidDel="00000000" w:rsidR="00000000" w:rsidRPr="00000000">
        <w:rPr>
          <w:rtl w:val="0"/>
        </w:rPr>
        <w:t xml:space="preserve">  (Autorité de Contrôle Prudentiel et de Résolution).</w:t>
      </w:r>
    </w:p>
    <w:p w:rsidR="00000000" w:rsidDel="00000000" w:rsidP="00000000" w:rsidRDefault="00000000" w:rsidRPr="00000000" w14:paraId="0000000E">
      <w:pPr>
        <w:numPr>
          <w:ilvl w:val="0"/>
          <w:numId w:val="9"/>
        </w:numPr>
        <w:ind w:left="720" w:hanging="360"/>
        <w:rPr>
          <w:u w:val="none"/>
        </w:rPr>
      </w:pPr>
      <w:r w:rsidDel="00000000" w:rsidR="00000000" w:rsidRPr="00000000">
        <w:rPr>
          <w:b w:val="1"/>
          <w:bCs w:val="1"/>
          <w:rtl w:val="0"/>
        </w:rPr>
        <w:t xml:space="preserve">Impact financier et opérationnel :</w:t>
      </w:r>
      <w:r w:rsidDel="00000000" w:rsidR="00000000" w:rsidRPr="00000000">
        <w:rPr>
          <w:rtl w:val="0"/>
        </w:rPr>
        <w:t xml:space="preserve">  Mesure des pertes directes, des coûts de recouvrement et respect des objectifs de temps et de point de récupération ( </w:t>
      </w:r>
      <w:r w:rsidDel="00000000" w:rsidR="00000000" w:rsidRPr="00000000">
        <w:rPr>
          <w:b w:val="1"/>
          <w:bCs w:val="1"/>
          <w:rtl w:val="0"/>
        </w:rPr>
        <w:t xml:space="preserve">RTO/RPO</w:t>
      </w:r>
      <w:r w:rsidDel="00000000" w:rsidR="00000000" w:rsidRPr="00000000">
        <w:rPr>
          <w:rtl w:val="0"/>
        </w:rPr>
        <w:t xml:space="preserve"> ).</w:t>
      </w:r>
    </w:p>
    <w:p w:rsidR="00000000" w:rsidDel="00000000" w:rsidP="00000000" w:rsidRDefault="00000000" w:rsidRPr="00000000" w14:paraId="0000000F">
      <w:pPr>
        <w:numPr>
          <w:ilvl w:val="0"/>
          <w:numId w:val="9"/>
        </w:numPr>
        <w:ind w:left="720" w:hanging="360"/>
        <w:rPr>
          <w:u w:val="none"/>
        </w:rPr>
      </w:pPr>
      <w:r w:rsidDel="00000000" w:rsidR="00000000" w:rsidRPr="00000000">
        <w:rPr>
          <w:b w:val="1"/>
          <w:bCs w:val="1"/>
          <w:rtl w:val="0"/>
        </w:rPr>
        <w:t xml:space="preserve">Réputation et confiance :</w:t>
      </w:r>
      <w:r w:rsidDel="00000000" w:rsidR="00000000" w:rsidRPr="00000000">
        <w:rPr>
          <w:rtl w:val="0"/>
        </w:rPr>
        <w:t xml:space="preserve">  Évaluation du risque de dépréciation de la marque et de perte massive de clientèle (choc de liquidité potentiel).</w:t>
      </w:r>
    </w:p>
    <w:p w:rsidR="00000000" w:rsidDel="00000000" w:rsidP="00000000" w:rsidRDefault="00000000" w:rsidRPr="00000000" w14:paraId="00000010">
      <w:pPr>
        <w:pStyle w:val="Heading4"/>
        <w:rPr/>
      </w:pPr>
      <w:bookmarkStart w:colFirst="0" w:colLast="0" w:name="_2ofx2fiu8hqg" w:id="5"/>
      <w:bookmarkEnd w:id="5"/>
      <w:r w:rsidDel="00000000" w:rsidR="00000000" w:rsidRPr="00000000">
        <w:rPr>
          <w:rtl w:val="0"/>
        </w:rPr>
        <w:t xml:space="preserve">3. Analyse des risques</w:t>
      </w:r>
    </w:p>
    <w:p w:rsidR="00000000" w:rsidDel="00000000" w:rsidP="00000000" w:rsidRDefault="00000000" w:rsidRPr="00000000" w14:paraId="00000011">
      <w:pPr>
        <w:pStyle w:val="Heading5"/>
        <w:rPr/>
      </w:pPr>
      <w:bookmarkStart w:colFirst="0" w:colLast="0" w:name="_9pj6mjfdrs68" w:id="6"/>
      <w:bookmarkEnd w:id="6"/>
      <w:r w:rsidDel="00000000" w:rsidR="00000000" w:rsidRPr="00000000">
        <w:rPr>
          <w:rtl w:val="0"/>
        </w:rPr>
        <w:t xml:space="preserve">3.1 Identification des risques</w:t>
      </w:r>
    </w:p>
    <w:p w:rsidR="00000000" w:rsidDel="00000000" w:rsidP="00000000" w:rsidRDefault="00000000" w:rsidRPr="00000000" w14:paraId="00000012">
      <w:pPr>
        <w:pStyle w:val="Heading6"/>
        <w:rPr/>
      </w:pPr>
      <w:bookmarkStart w:colFirst="0" w:colLast="0" w:name="_e5gr1tyjx1fa" w:id="7"/>
      <w:bookmarkEnd w:id="7"/>
      <w:r w:rsidDel="00000000" w:rsidR="00000000" w:rsidRPr="00000000">
        <w:rPr>
          <w:rtl w:val="0"/>
        </w:rPr>
        <w:t xml:space="preserve">Identification des menaces</w:t>
      </w:r>
    </w:p>
    <w:p w:rsidR="00000000" w:rsidDel="00000000" w:rsidP="00000000" w:rsidRDefault="00000000" w:rsidRPr="00000000" w14:paraId="00000013">
      <w:pPr>
        <w:rPr/>
      </w:pPr>
      <w:r w:rsidDel="00000000" w:rsidR="00000000" w:rsidRPr="00000000">
        <w:rPr>
          <w:rtl w:val="0"/>
        </w:rPr>
        <w:t xml:space="preserve">Type de Menace,Description contextuelle bancaire</w:t>
      </w:r>
    </w:p>
    <w:p w:rsidR="00000000" w:rsidDel="00000000" w:rsidP="00000000" w:rsidRDefault="00000000" w:rsidRPr="00000000" w14:paraId="00000014">
      <w:pPr>
        <w:rPr/>
      </w:pPr>
      <w:r w:rsidDel="00000000" w:rsidR="00000000" w:rsidRPr="00000000">
        <w:rPr>
          <w:rtl w:val="0"/>
        </w:rPr>
        <w:t xml:space="preserve">Fraude SWIFT / BEC,Compromission des accès (Business Email Compromise) visant à initier des virements interbancaires frauduleux vers des comptes miroirs.</w:t>
      </w:r>
    </w:p>
    <w:p w:rsidR="00000000" w:rsidDel="00000000" w:rsidP="00000000" w:rsidRDefault="00000000" w:rsidRPr="00000000" w14:paraId="00000015">
      <w:pPr>
        <w:rPr/>
      </w:pPr>
      <w:r w:rsidDel="00000000" w:rsidR="00000000" w:rsidRPr="00000000">
        <w:rPr>
          <w:rtl w:val="0"/>
        </w:rPr>
        <w:t xml:space="preserve">Exploitation de vulnérabilités Web,Attaques par injection ou contournement de logique (ex: CSRF) sur le portail e-banking Laravel pour exfiltrer des données ou détourner des fonds.</w:t>
      </w:r>
    </w:p>
    <w:p w:rsidR="00000000" w:rsidDel="00000000" w:rsidP="00000000" w:rsidRDefault="00000000" w:rsidRPr="00000000" w14:paraId="00000016">
      <w:pPr>
        <w:rPr/>
      </w:pPr>
      <w:r w:rsidDel="00000000" w:rsidR="00000000" w:rsidRPr="00000000">
        <w:rPr>
          <w:rtl w:val="0"/>
        </w:rPr>
        <w:t xml:space="preserve">Supply Chain Attack,Compromission d'un fournisseur Fintech tiers injectant un code malveillant dans les modules de paiement de la banque.</w:t>
      </w:r>
    </w:p>
    <w:p w:rsidR="00000000" w:rsidDel="00000000" w:rsidP="00000000" w:rsidRDefault="00000000" w:rsidRPr="00000000" w14:paraId="00000017">
      <w:pPr>
        <w:rPr/>
      </w:pPr>
      <w:r w:rsidDel="00000000" w:rsidR="00000000" w:rsidRPr="00000000">
        <w:rPr>
          <w:rtl w:val="0"/>
        </w:rPr>
        <w:t xml:space="preserve">Fraude interne,Manipulation des registres financiers ou détournement d'actifs par un collaborateur exploitant un défaut de séparation des tâches ( SoD ).</w:t>
      </w:r>
    </w:p>
    <w:p w:rsidR="00000000" w:rsidDel="00000000" w:rsidP="00000000" w:rsidRDefault="00000000" w:rsidRPr="00000000" w14:paraId="00000018">
      <w:pPr>
        <w:pStyle w:val="Heading6"/>
        <w:rPr/>
      </w:pPr>
      <w:bookmarkStart w:colFirst="0" w:colLast="0" w:name="_fsux0e48nga2" w:id="8"/>
      <w:bookmarkEnd w:id="8"/>
      <w:r w:rsidDel="00000000" w:rsidR="00000000" w:rsidRPr="00000000">
        <w:rPr>
          <w:rtl w:val="0"/>
        </w:rPr>
        <w:t xml:space="preserve">Identification des mesures de sécurité existantes</w:t>
      </w:r>
    </w:p>
    <w:p w:rsidR="00000000" w:rsidDel="00000000" w:rsidP="00000000" w:rsidRDefault="00000000" w:rsidRPr="00000000" w14:paraId="00000019">
      <w:pPr>
        <w:rPr/>
      </w:pPr>
      <w:r w:rsidDel="00000000" w:rsidR="00000000" w:rsidRPr="00000000">
        <w:rPr>
          <w:rtl w:val="0"/>
        </w:rPr>
        <w:t xml:space="preserve">La structure de défense actuelle repose sur les dispositifs suivants :</w:t>
      </w:r>
    </w:p>
    <w:p w:rsidR="00000000" w:rsidDel="00000000" w:rsidP="00000000" w:rsidRDefault="00000000" w:rsidRPr="00000000" w14:paraId="0000001A">
      <w:pPr>
        <w:numPr>
          <w:ilvl w:val="0"/>
          <w:numId w:val="8"/>
        </w:numPr>
        <w:ind w:left="720" w:hanging="360"/>
        <w:rPr>
          <w:u w:val="none"/>
        </w:rPr>
      </w:pPr>
      <w:r w:rsidDel="00000000" w:rsidR="00000000" w:rsidRPr="00000000">
        <w:rPr>
          <w:b w:val="1"/>
          <w:bCs w:val="1"/>
          <w:rtl w:val="0"/>
        </w:rPr>
        <w:t xml:space="preserve">Segmentation réseau :</w:t>
      </w:r>
      <w:r w:rsidDel="00000000" w:rsidR="00000000" w:rsidRPr="00000000">
        <w:rPr>
          <w:rtl w:val="0"/>
        </w:rPr>
        <w:t xml:space="preserve">  Utilisation de  </w:t>
      </w:r>
      <w:r w:rsidDel="00000000" w:rsidR="00000000" w:rsidRPr="00000000">
        <w:rPr>
          <w:b w:val="1"/>
          <w:bCs w:val="1"/>
          <w:rtl w:val="0"/>
        </w:rPr>
        <w:t xml:space="preserve">VLANs</w:t>
      </w:r>
      <w:r w:rsidDel="00000000" w:rsidR="00000000" w:rsidRPr="00000000">
        <w:rPr>
          <w:rtl w:val="0"/>
        </w:rPr>
        <w:t xml:space="preserve">  isolant l'environnement de production et les serveurs SWIFT.</w:t>
      </w:r>
    </w:p>
    <w:p w:rsidR="00000000" w:rsidDel="00000000" w:rsidP="00000000" w:rsidRDefault="00000000" w:rsidRPr="00000000" w14:paraId="0000001B">
      <w:pPr>
        <w:numPr>
          <w:ilvl w:val="0"/>
          <w:numId w:val="8"/>
        </w:numPr>
        <w:ind w:left="720" w:hanging="360"/>
        <w:rPr>
          <w:u w:val="none"/>
        </w:rPr>
      </w:pPr>
      <w:r w:rsidDel="00000000" w:rsidR="00000000" w:rsidRPr="00000000">
        <w:rPr>
          <w:b w:val="1"/>
          <w:bCs w:val="1"/>
          <w:rtl w:val="0"/>
        </w:rPr>
        <w:t xml:space="preserve">Chiffrement et Intégrité :</w:t>
      </w:r>
      <w:r w:rsidDel="00000000" w:rsidR="00000000" w:rsidRPr="00000000">
        <w:rPr>
          <w:rtl w:val="0"/>
        </w:rPr>
        <w:t xml:space="preserve">  Déploiement de modules de sécurité matériels ( </w:t>
      </w:r>
      <w:r w:rsidDel="00000000" w:rsidR="00000000" w:rsidRPr="00000000">
        <w:rPr>
          <w:b w:val="1"/>
          <w:bCs w:val="1"/>
          <w:rtl w:val="0"/>
        </w:rPr>
        <w:t xml:space="preserve">HSM</w:t>
      </w:r>
      <w:r w:rsidDel="00000000" w:rsidR="00000000" w:rsidRPr="00000000">
        <w:rPr>
          <w:rtl w:val="0"/>
        </w:rPr>
        <w:t xml:space="preserve"> ) pour la gestion des clés de chiffrement et la signature des transactions.</w:t>
      </w:r>
    </w:p>
    <w:p w:rsidR="00000000" w:rsidDel="00000000" w:rsidP="00000000" w:rsidRDefault="00000000" w:rsidRPr="00000000" w14:paraId="0000001C">
      <w:pPr>
        <w:numPr>
          <w:ilvl w:val="0"/>
          <w:numId w:val="8"/>
        </w:numPr>
        <w:ind w:left="720" w:hanging="360"/>
        <w:rPr>
          <w:u w:val="none"/>
        </w:rPr>
      </w:pPr>
      <w:r w:rsidDel="00000000" w:rsidR="00000000" w:rsidRPr="00000000">
        <w:rPr>
          <w:b w:val="1"/>
          <w:bCs w:val="1"/>
          <w:rtl w:val="0"/>
        </w:rPr>
        <w:t xml:space="preserve">Authentification Forte (MFA) :</w:t>
      </w:r>
      <w:r w:rsidDel="00000000" w:rsidR="00000000" w:rsidRPr="00000000">
        <w:rPr>
          <w:rtl w:val="0"/>
        </w:rPr>
        <w:t xml:space="preserve">  Mise en œuvre systématique pour les accès clients et les sessions d'administration système.</w:t>
      </w:r>
    </w:p>
    <w:p w:rsidR="00000000" w:rsidDel="00000000" w:rsidP="00000000" w:rsidRDefault="00000000" w:rsidRPr="00000000" w14:paraId="0000001D">
      <w:pPr>
        <w:pStyle w:val="Heading6"/>
        <w:rPr/>
      </w:pPr>
      <w:bookmarkStart w:colFirst="0" w:colLast="0" w:name="_huj8vroi364c" w:id="9"/>
      <w:bookmarkEnd w:id="9"/>
      <w:r w:rsidDel="00000000" w:rsidR="00000000" w:rsidRPr="00000000">
        <w:rPr>
          <w:rtl w:val="0"/>
        </w:rPr>
        <w:t xml:space="preserve">Identification des vulnérabilités</w:t>
      </w:r>
    </w:p>
    <w:p w:rsidR="00000000" w:rsidDel="00000000" w:rsidP="00000000" w:rsidRDefault="00000000" w:rsidRPr="00000000" w14:paraId="0000001E">
      <w:pPr>
        <w:rPr/>
      </w:pPr>
      <w:r w:rsidDel="00000000" w:rsidR="00000000" w:rsidRPr="00000000">
        <w:rPr>
          <w:rtl w:val="0"/>
        </w:rPr>
        <w:t xml:space="preserve">L'audit a révélé des failles critiques nécessitant une intervention immédiate :</w:t>
      </w:r>
    </w:p>
    <w:p w:rsidR="00000000" w:rsidDel="00000000" w:rsidP="00000000" w:rsidRDefault="00000000" w:rsidRPr="00000000" w14:paraId="0000001F">
      <w:pPr>
        <w:numPr>
          <w:ilvl w:val="0"/>
          <w:numId w:val="3"/>
        </w:numPr>
        <w:ind w:left="720" w:hanging="360"/>
        <w:rPr>
          <w:u w:val="none"/>
        </w:rPr>
      </w:pPr>
      <w:r w:rsidDel="00000000" w:rsidR="00000000" w:rsidRPr="00000000">
        <w:rPr>
          <w:b w:val="1"/>
          <w:bCs w:val="1"/>
          <w:rtl w:val="0"/>
        </w:rPr>
        <w:t xml:space="preserve">Configuration Laravel non durcie :</w:t>
      </w:r>
      <w:r w:rsidDel="00000000" w:rsidR="00000000" w:rsidRPr="00000000">
        <w:rPr>
          <w:rtl w:val="0"/>
        </w:rPr>
        <w:t xml:space="preserve">  Défaut d'implémentation des recommandations de sécurité spécifiques au framework (protection CSRF incomplète sur certains endpoints API, absence de sécurisation des cookies de session).</w:t>
      </w:r>
    </w:p>
    <w:p w:rsidR="00000000" w:rsidDel="00000000" w:rsidP="00000000" w:rsidRDefault="00000000" w:rsidRPr="00000000" w14:paraId="00000020">
      <w:pPr>
        <w:numPr>
          <w:ilvl w:val="0"/>
          <w:numId w:val="3"/>
        </w:numPr>
        <w:ind w:left="720" w:hanging="360"/>
        <w:rPr>
          <w:u w:val="none"/>
        </w:rPr>
      </w:pPr>
      <w:r w:rsidDel="00000000" w:rsidR="00000000" w:rsidRPr="00000000">
        <w:rPr>
          <w:b w:val="1"/>
          <w:bCs w:val="1"/>
          <w:rtl w:val="0"/>
        </w:rPr>
        <w:t xml:space="preserve">Gestion des correctifs (Patch Management) :</w:t>
      </w:r>
      <w:r w:rsidDel="00000000" w:rsidR="00000000" w:rsidRPr="00000000">
        <w:rPr>
          <w:rtl w:val="0"/>
        </w:rPr>
        <w:t xml:space="preserve">  Retards critiques dans l'application des mises à jour de sécurité sur les serveurs de base de données Linux.</w:t>
      </w:r>
    </w:p>
    <w:p w:rsidR="00000000" w:rsidDel="00000000" w:rsidP="00000000" w:rsidRDefault="00000000" w:rsidRPr="00000000" w14:paraId="00000021">
      <w:pPr>
        <w:numPr>
          <w:ilvl w:val="0"/>
          <w:numId w:val="3"/>
        </w:numPr>
        <w:ind w:left="720" w:hanging="360"/>
        <w:rPr>
          <w:u w:val="none"/>
        </w:rPr>
      </w:pPr>
      <w:r w:rsidDel="00000000" w:rsidR="00000000" w:rsidRPr="00000000">
        <w:rPr>
          <w:b w:val="1"/>
          <w:bCs w:val="1"/>
          <w:rtl w:val="0"/>
        </w:rPr>
        <w:t xml:space="preserve">Séparation des tâches (SoD) :</w:t>
      </w:r>
      <w:r w:rsidDel="00000000" w:rsidR="00000000" w:rsidRPr="00000000">
        <w:rPr>
          <w:rtl w:val="0"/>
        </w:rPr>
        <w:t xml:space="preserve">  Cumul de privilèges excessifs sur certains profils administrateurs, facilitant un risque de fraude interne non détectée.</w:t>
      </w:r>
    </w:p>
    <w:p w:rsidR="00000000" w:rsidDel="00000000" w:rsidP="00000000" w:rsidRDefault="00000000" w:rsidRPr="00000000" w14:paraId="00000022">
      <w:pPr>
        <w:pStyle w:val="Heading6"/>
        <w:rPr/>
      </w:pPr>
      <w:bookmarkStart w:colFirst="0" w:colLast="0" w:name="_u4ei05dj2vd4" w:id="10"/>
      <w:bookmarkEnd w:id="10"/>
      <w:r w:rsidDel="00000000" w:rsidR="00000000" w:rsidRPr="00000000">
        <w:rPr>
          <w:rtl w:val="0"/>
        </w:rPr>
        <w:t xml:space="preserve">Identification des impacts</w:t>
      </w:r>
    </w:p>
    <w:p w:rsidR="00000000" w:rsidDel="00000000" w:rsidP="00000000" w:rsidRDefault="00000000" w:rsidRPr="00000000" w14:paraId="00000023">
      <w:pPr>
        <w:numPr>
          <w:ilvl w:val="0"/>
          <w:numId w:val="10"/>
        </w:numPr>
        <w:ind w:left="720" w:hanging="360"/>
        <w:rPr>
          <w:u w:val="none"/>
        </w:rPr>
      </w:pPr>
      <w:r w:rsidDel="00000000" w:rsidR="00000000" w:rsidRPr="00000000">
        <w:rPr>
          <w:b w:val="1"/>
          <w:bCs w:val="1"/>
          <w:rtl w:val="0"/>
        </w:rPr>
        <w:t xml:space="preserve">Impact financier :</w:t>
      </w:r>
      <w:r w:rsidDel="00000000" w:rsidR="00000000" w:rsidRPr="00000000">
        <w:rPr>
          <w:rtl w:val="0"/>
        </w:rPr>
        <w:t xml:space="preserve">  Pertes sèches liées aux détournements et amendes réglementaires pouvant atteindre 4% du chiffre d'affaires annuel (RGPD).</w:t>
      </w:r>
    </w:p>
    <w:p w:rsidR="00000000" w:rsidDel="00000000" w:rsidP="00000000" w:rsidRDefault="00000000" w:rsidRPr="00000000" w14:paraId="00000024">
      <w:pPr>
        <w:numPr>
          <w:ilvl w:val="0"/>
          <w:numId w:val="10"/>
        </w:numPr>
        <w:ind w:left="720" w:hanging="360"/>
        <w:rPr>
          <w:u w:val="none"/>
        </w:rPr>
      </w:pPr>
      <w:r w:rsidDel="00000000" w:rsidR="00000000" w:rsidRPr="00000000">
        <w:rPr>
          <w:b w:val="1"/>
          <w:bCs w:val="1"/>
          <w:rtl w:val="0"/>
        </w:rPr>
        <w:t xml:space="preserve">Impact juridique :</w:t>
      </w:r>
      <w:r w:rsidDel="00000000" w:rsidR="00000000" w:rsidRPr="00000000">
        <w:rPr>
          <w:rtl w:val="0"/>
        </w:rPr>
        <w:t xml:space="preserve">  Contentieux de masse avec les clients et risque de retrait d'agrément par l'ACPR.</w:t>
      </w:r>
    </w:p>
    <w:p w:rsidR="00000000" w:rsidDel="00000000" w:rsidP="00000000" w:rsidRDefault="00000000" w:rsidRPr="00000000" w14:paraId="00000025">
      <w:pPr>
        <w:numPr>
          <w:ilvl w:val="0"/>
          <w:numId w:val="10"/>
        </w:numPr>
        <w:ind w:left="720" w:hanging="360"/>
        <w:rPr>
          <w:u w:val="none"/>
        </w:rPr>
      </w:pPr>
      <w:r w:rsidDel="00000000" w:rsidR="00000000" w:rsidRPr="00000000">
        <w:rPr>
          <w:b w:val="1"/>
          <w:bCs w:val="1"/>
          <w:rtl w:val="0"/>
        </w:rPr>
        <w:t xml:space="preserve">Impact opérationnel :</w:t>
      </w:r>
      <w:r w:rsidDel="00000000" w:rsidR="00000000" w:rsidRPr="00000000">
        <w:rPr>
          <w:rtl w:val="0"/>
        </w:rPr>
        <w:t xml:space="preserve">  Rupture du service de paiement impactant le RTO (Recovery Time Objective), entraînant une paralysie des opérations de compensation.</w:t>
      </w:r>
    </w:p>
    <w:p w:rsidR="00000000" w:rsidDel="00000000" w:rsidP="00000000" w:rsidRDefault="00000000" w:rsidRPr="00000000" w14:paraId="00000026">
      <w:pPr>
        <w:pStyle w:val="Heading5"/>
        <w:rPr/>
      </w:pPr>
      <w:bookmarkStart w:colFirst="0" w:colLast="0" w:name="_cyh7aw50bqtl" w:id="11"/>
      <w:bookmarkEnd w:id="11"/>
      <w:r w:rsidDel="00000000" w:rsidR="00000000" w:rsidRPr="00000000">
        <w:rPr>
          <w:rtl w:val="0"/>
        </w:rPr>
        <w:t xml:space="preserve">3.2 Estimation ou évaluation des risques</w:t>
      </w:r>
    </w:p>
    <w:p w:rsidR="00000000" w:rsidDel="00000000" w:rsidP="00000000" w:rsidRDefault="00000000" w:rsidRPr="00000000" w14:paraId="00000027">
      <w:pPr>
        <w:rPr/>
      </w:pPr>
      <w:r w:rsidDel="00000000" w:rsidR="00000000" w:rsidRPr="00000000">
        <w:rPr>
          <w:rtl w:val="0"/>
        </w:rPr>
        <w:t xml:space="preserve">Le niveau de risque résiduel est calculé selon la formule :  </w:t>
      </w:r>
      <w:r w:rsidDel="00000000" w:rsidR="00000000" w:rsidRPr="00000000">
        <w:rPr>
          <w:b w:val="1"/>
          <w:bCs w:val="1"/>
          <w:rtl w:val="0"/>
        </w:rPr>
        <w:t xml:space="preserve">Risque = Probabilité × Gravité</w:t>
      </w:r>
      <w:r w:rsidDel="00000000" w:rsidR="00000000" w:rsidRPr="00000000">
        <w:rPr>
          <w:rtl w:val="0"/>
        </w:rPr>
        <w:t xml:space="preserve"> . Pour cette institution, tout risque dont le score est supérieur à un seuil défini par le Conseil d'Administration (score &gt; 12) est considéré comme "hors appétence" et nécessite un traitement impératif. Cette méthode permet de quantifier l'urgence de l'investissement sécuritaire par rapport au coût d'un sinistre potentiel.</w:t>
      </w:r>
    </w:p>
    <w:p w:rsidR="00000000" w:rsidDel="00000000" w:rsidP="00000000" w:rsidRDefault="00000000" w:rsidRPr="00000000" w14:paraId="00000028">
      <w:pPr>
        <w:pStyle w:val="Heading5"/>
        <w:rPr/>
      </w:pPr>
      <w:bookmarkStart w:colFirst="0" w:colLast="0" w:name="_dfznpjj7ejc4" w:id="12"/>
      <w:bookmarkEnd w:id="12"/>
      <w:r w:rsidDel="00000000" w:rsidR="00000000" w:rsidRPr="00000000">
        <w:rPr>
          <w:rtl w:val="0"/>
        </w:rPr>
        <w:t xml:space="preserve">3.3 Classement des risques (réordonnancement)</w:t>
      </w:r>
    </w:p>
    <w:p w:rsidR="00000000" w:rsidDel="00000000" w:rsidP="00000000" w:rsidRDefault="00000000" w:rsidRPr="00000000" w14:paraId="00000029">
      <w:pPr>
        <w:rPr/>
      </w:pPr>
      <w:r w:rsidDel="00000000" w:rsidR="00000000" w:rsidRPr="00000000">
        <w:rPr>
          <w:rtl w:val="0"/>
        </w:rPr>
        <w:t xml:space="preserve">Priorité,Risque Identifié,Niveau de Risque</w:t>
      </w:r>
    </w:p>
    <w:p w:rsidR="00000000" w:rsidDel="00000000" w:rsidP="00000000" w:rsidRDefault="00000000" w:rsidRPr="00000000" w14:paraId="0000002A">
      <w:pPr>
        <w:rPr/>
      </w:pPr>
      <w:r w:rsidDel="00000000" w:rsidR="00000000" w:rsidRPr="00000000">
        <w:rPr>
          <w:rtl w:val="0"/>
        </w:rPr>
        <w:t xml:space="preserve">1,Fraude massive via compromission SWIFT,Critique</w:t>
      </w:r>
    </w:p>
    <w:p w:rsidR="00000000" w:rsidDel="00000000" w:rsidP="00000000" w:rsidRDefault="00000000" w:rsidRPr="00000000" w14:paraId="0000002B">
      <w:pPr>
        <w:rPr/>
      </w:pPr>
      <w:r w:rsidDel="00000000" w:rsidR="00000000" w:rsidRPr="00000000">
        <w:rPr>
          <w:rtl w:val="0"/>
        </w:rPr>
        <w:t xml:space="preserve">2,Exfiltration de la base de données clients via injection SQL/Laravel,Critique</w:t>
      </w:r>
    </w:p>
    <w:p w:rsidR="00000000" w:rsidDel="00000000" w:rsidP="00000000" w:rsidRDefault="00000000" w:rsidRPr="00000000" w14:paraId="0000002C">
      <w:pPr>
        <w:rPr/>
      </w:pPr>
      <w:r w:rsidDel="00000000" w:rsidR="00000000" w:rsidRPr="00000000">
        <w:rPr>
          <w:rtl w:val="0"/>
        </w:rPr>
        <w:t xml:space="preserve">3,Fraude interne par abus de privilèges (défaut de SoD),Élevé</w:t>
      </w:r>
    </w:p>
    <w:p w:rsidR="00000000" w:rsidDel="00000000" w:rsidP="00000000" w:rsidRDefault="00000000" w:rsidRPr="00000000" w14:paraId="0000002D">
      <w:pPr>
        <w:rPr/>
      </w:pPr>
      <w:r w:rsidDel="00000000" w:rsidR="00000000" w:rsidRPr="00000000">
        <w:rPr>
          <w:rtl w:val="0"/>
        </w:rPr>
        <w:t xml:space="preserve">4,Indisponibilité du portail e-banking (DDoS),Moyen</w:t>
      </w:r>
    </w:p>
    <w:p w:rsidR="00000000" w:rsidDel="00000000" w:rsidP="00000000" w:rsidRDefault="00000000" w:rsidRPr="00000000" w14:paraId="0000002E">
      <w:pPr>
        <w:pStyle w:val="Heading4"/>
        <w:rPr/>
      </w:pPr>
      <w:bookmarkStart w:colFirst="0" w:colLast="0" w:name="_hg5rrxkpnguy" w:id="13"/>
      <w:bookmarkEnd w:id="13"/>
      <w:r w:rsidDel="00000000" w:rsidR="00000000" w:rsidRPr="00000000">
        <w:rPr>
          <w:rtl w:val="0"/>
        </w:rPr>
        <w:t xml:space="preserve">4. Plan de traitement des risques</w:t>
      </w:r>
    </w:p>
    <w:p w:rsidR="00000000" w:rsidDel="00000000" w:rsidP="00000000" w:rsidRDefault="00000000" w:rsidRPr="00000000" w14:paraId="0000002F">
      <w:pPr>
        <w:pStyle w:val="Heading5"/>
        <w:rPr/>
      </w:pPr>
      <w:bookmarkStart w:colFirst="0" w:colLast="0" w:name="_4wwcyqfxycs5" w:id="14"/>
      <w:bookmarkEnd w:id="14"/>
      <w:r w:rsidDel="00000000" w:rsidR="00000000" w:rsidRPr="00000000">
        <w:rPr>
          <w:rtl w:val="0"/>
        </w:rPr>
        <w:t xml:space="preserve">4.1 Traitements possibles</w:t>
      </w:r>
    </w:p>
    <w:p w:rsidR="00000000" w:rsidDel="00000000" w:rsidP="00000000" w:rsidRDefault="00000000" w:rsidRPr="00000000" w14:paraId="00000030">
      <w:pPr>
        <w:numPr>
          <w:ilvl w:val="0"/>
          <w:numId w:val="2"/>
        </w:numPr>
        <w:ind w:left="720" w:hanging="360"/>
        <w:rPr>
          <w:u w:val="none"/>
        </w:rPr>
      </w:pPr>
      <w:r w:rsidDel="00000000" w:rsidR="00000000" w:rsidRPr="00000000">
        <w:rPr>
          <w:b w:val="1"/>
          <w:bCs w:val="1"/>
          <w:rtl w:val="0"/>
        </w:rPr>
        <w:t xml:space="preserve">Réduction :</w:t>
      </w:r>
      <w:r w:rsidDel="00000000" w:rsidR="00000000" w:rsidRPr="00000000">
        <w:rPr>
          <w:rtl w:val="0"/>
        </w:rPr>
        <w:t xml:space="preserve">  Durcissement des configurations applicatives Laravel et déploiement d'un agent EDR sur les postes critiques.</w:t>
      </w:r>
    </w:p>
    <w:p w:rsidR="00000000" w:rsidDel="00000000" w:rsidP="00000000" w:rsidRDefault="00000000" w:rsidRPr="00000000" w14:paraId="00000031">
      <w:pPr>
        <w:numPr>
          <w:ilvl w:val="0"/>
          <w:numId w:val="2"/>
        </w:numPr>
        <w:ind w:left="720" w:hanging="360"/>
        <w:rPr>
          <w:u w:val="none"/>
        </w:rPr>
      </w:pPr>
      <w:r w:rsidDel="00000000" w:rsidR="00000000" w:rsidRPr="00000000">
        <w:rPr>
          <w:b w:val="1"/>
          <w:bCs w:val="1"/>
          <w:rtl w:val="0"/>
        </w:rPr>
        <w:t xml:space="preserve">Transfert :</w:t>
      </w:r>
      <w:r w:rsidDel="00000000" w:rsidR="00000000" w:rsidRPr="00000000">
        <w:rPr>
          <w:rtl w:val="0"/>
        </w:rPr>
        <w:t xml:space="preserve">  Souscription à une  </w:t>
      </w:r>
      <w:r w:rsidDel="00000000" w:rsidR="00000000" w:rsidRPr="00000000">
        <w:rPr>
          <w:b w:val="1"/>
          <w:bCs w:val="1"/>
          <w:rtl w:val="0"/>
        </w:rPr>
        <w:t xml:space="preserve">cyber-assurance</w:t>
      </w:r>
      <w:r w:rsidDel="00000000" w:rsidR="00000000" w:rsidRPr="00000000">
        <w:rPr>
          <w:rtl w:val="0"/>
        </w:rPr>
        <w:t xml:space="preserve">  spécifique aux risques de type  </w:t>
      </w:r>
      <w:r w:rsidDel="00000000" w:rsidR="00000000" w:rsidRPr="00000000">
        <w:rPr>
          <w:b w:val="1"/>
          <w:bCs w:val="1"/>
          <w:rtl w:val="0"/>
        </w:rPr>
        <w:t xml:space="preserve">ECC (Electronic and Computer Crime)</w:t>
      </w:r>
      <w:r w:rsidDel="00000000" w:rsidR="00000000" w:rsidRPr="00000000">
        <w:rPr>
          <w:rtl w:val="0"/>
        </w:rPr>
        <w:t xml:space="preserve">  pour couvrir les pertes financières directes.</w:t>
      </w:r>
    </w:p>
    <w:p w:rsidR="00000000" w:rsidDel="00000000" w:rsidP="00000000" w:rsidRDefault="00000000" w:rsidRPr="00000000" w14:paraId="00000032">
      <w:pPr>
        <w:numPr>
          <w:ilvl w:val="0"/>
          <w:numId w:val="2"/>
        </w:numPr>
        <w:ind w:left="720" w:hanging="360"/>
        <w:rPr>
          <w:u w:val="none"/>
        </w:rPr>
      </w:pPr>
      <w:r w:rsidDel="00000000" w:rsidR="00000000" w:rsidRPr="00000000">
        <w:rPr>
          <w:b w:val="1"/>
          <w:bCs w:val="1"/>
          <w:rtl w:val="0"/>
        </w:rPr>
        <w:t xml:space="preserve">Évitement :</w:t>
      </w:r>
      <w:r w:rsidDel="00000000" w:rsidR="00000000" w:rsidRPr="00000000">
        <w:rPr>
          <w:rtl w:val="0"/>
        </w:rPr>
        <w:t xml:space="preserve">  Retrait des fonctionnalités de consultation de compte via des API tierces non auditées.</w:t>
      </w:r>
    </w:p>
    <w:p w:rsidR="00000000" w:rsidDel="00000000" w:rsidP="00000000" w:rsidRDefault="00000000" w:rsidRPr="00000000" w14:paraId="00000033">
      <w:pPr>
        <w:numPr>
          <w:ilvl w:val="0"/>
          <w:numId w:val="2"/>
        </w:numPr>
        <w:ind w:left="720" w:hanging="360"/>
        <w:rPr>
          <w:u w:val="none"/>
        </w:rPr>
      </w:pPr>
      <w:r w:rsidDel="00000000" w:rsidR="00000000" w:rsidRPr="00000000">
        <w:rPr>
          <w:b w:val="1"/>
          <w:bCs w:val="1"/>
          <w:rtl w:val="0"/>
        </w:rPr>
        <w:t xml:space="preserve">Acceptation :</w:t>
      </w:r>
      <w:r w:rsidDel="00000000" w:rsidR="00000000" w:rsidRPr="00000000">
        <w:rPr>
          <w:rtl w:val="0"/>
        </w:rPr>
        <w:t xml:space="preserve">  Décision formelle de maintenir l'utilisation de protocoles legacy pour certains clients institutionnels, sous réserve d'un monitoring renforcé.</w:t>
      </w:r>
    </w:p>
    <w:p w:rsidR="00000000" w:rsidDel="00000000" w:rsidP="00000000" w:rsidRDefault="00000000" w:rsidRPr="00000000" w14:paraId="00000034">
      <w:pPr>
        <w:pStyle w:val="Heading5"/>
        <w:rPr/>
      </w:pPr>
      <w:bookmarkStart w:colFirst="0" w:colLast="0" w:name="_v3xeb32kmux" w:id="15"/>
      <w:bookmarkEnd w:id="15"/>
      <w:r w:rsidDel="00000000" w:rsidR="00000000" w:rsidRPr="00000000">
        <w:rPr>
          <w:rtl w:val="0"/>
        </w:rPr>
        <w:t xml:space="preserve">4.2 Acceptation du plan de traitement des risques</w:t>
      </w:r>
    </w:p>
    <w:p w:rsidR="00000000" w:rsidDel="00000000" w:rsidP="00000000" w:rsidRDefault="00000000" w:rsidRPr="00000000" w14:paraId="00000035">
      <w:pPr>
        <w:rPr/>
      </w:pPr>
      <w:r w:rsidDel="00000000" w:rsidR="00000000" w:rsidRPr="00000000">
        <w:rPr>
          <w:rtl w:val="0"/>
        </w:rPr>
        <w:t xml:space="preserve">La validation du plan de traitement incombe à la Direction Générale. L'acceptation des risques résiduels doit faire l'objet d'un acte formel signé par l'autorité compétente, engageant la responsabilité de l'institution sur les zones d'exposition non couvertes.</w:t>
      </w:r>
    </w:p>
    <w:p w:rsidR="00000000" w:rsidDel="00000000" w:rsidP="00000000" w:rsidRDefault="00000000" w:rsidRPr="00000000" w14:paraId="00000036">
      <w:pPr>
        <w:pStyle w:val="Heading4"/>
        <w:rPr/>
      </w:pPr>
      <w:bookmarkStart w:colFirst="0" w:colLast="0" w:name="_nhyu09r2isvj" w:id="16"/>
      <w:bookmarkEnd w:id="16"/>
      <w:r w:rsidDel="00000000" w:rsidR="00000000" w:rsidRPr="00000000">
        <w:rPr>
          <w:rtl w:val="0"/>
        </w:rPr>
        <w:t xml:space="preserve">5. Mise en place des mesures de sécurité</w:t>
      </w:r>
    </w:p>
    <w:p w:rsidR="00000000" w:rsidDel="00000000" w:rsidP="00000000" w:rsidRDefault="00000000" w:rsidRPr="00000000" w14:paraId="00000037">
      <w:pPr>
        <w:rPr/>
      </w:pPr>
      <w:r w:rsidDel="00000000" w:rsidR="00000000" w:rsidRPr="00000000">
        <w:rPr>
          <w:rtl w:val="0"/>
        </w:rPr>
        <w:t xml:space="preserve">La feuille de route est structurée par phases d'urgence :</w:t>
      </w:r>
    </w:p>
    <w:p w:rsidR="00000000" w:rsidDel="00000000" w:rsidP="00000000" w:rsidRDefault="00000000" w:rsidRPr="00000000" w14:paraId="00000038">
      <w:pPr>
        <w:numPr>
          <w:ilvl w:val="0"/>
          <w:numId w:val="6"/>
        </w:numPr>
        <w:ind w:left="720" w:hanging="360"/>
        <w:rPr>
          <w:b w:val="1"/>
          <w:bCs w:val="1"/>
          <w:u w:val="none"/>
        </w:rPr>
      </w:pPr>
      <w:r w:rsidDel="00000000" w:rsidR="00000000" w:rsidRPr="00000000">
        <w:rPr>
          <w:b w:val="1"/>
          <w:bCs w:val="1"/>
          <w:rtl w:val="0"/>
        </w:rPr>
        <w:t xml:space="preserve">Phase 1 : Remédiation immédiate (Quick Wins - 0-3 mois)</w:t>
      </w:r>
    </w:p>
    <w:p w:rsidR="00000000" w:rsidDel="00000000" w:rsidP="00000000" w:rsidRDefault="00000000" w:rsidRPr="00000000" w14:paraId="00000039">
      <w:pPr>
        <w:numPr>
          <w:ilvl w:val="0"/>
          <w:numId w:val="6"/>
        </w:numPr>
        <w:ind w:left="720" w:hanging="360"/>
        <w:rPr>
          <w:u w:val="none"/>
        </w:rPr>
      </w:pPr>
      <w:r w:rsidDel="00000000" w:rsidR="00000000" w:rsidRPr="00000000">
        <w:rPr>
          <w:rtl w:val="0"/>
        </w:rPr>
        <w:t xml:space="preserve">Patching d'urgence des serveurs de bases de données.</w:t>
      </w:r>
    </w:p>
    <w:p w:rsidR="00000000" w:rsidDel="00000000" w:rsidP="00000000" w:rsidRDefault="00000000" w:rsidRPr="00000000" w14:paraId="0000003A">
      <w:pPr>
        <w:numPr>
          <w:ilvl w:val="0"/>
          <w:numId w:val="6"/>
        </w:numPr>
        <w:ind w:left="720" w:hanging="360"/>
        <w:rPr>
          <w:u w:val="none"/>
        </w:rPr>
      </w:pPr>
      <w:r w:rsidDel="00000000" w:rsidR="00000000" w:rsidRPr="00000000">
        <w:rPr>
          <w:rtl w:val="0"/>
        </w:rPr>
        <w:t xml:space="preserve">Alignement de la plateforme e-banking sur les  </w:t>
      </w:r>
      <w:r w:rsidDel="00000000" w:rsidR="00000000" w:rsidRPr="00000000">
        <w:rPr>
          <w:b w:val="1"/>
          <w:bCs w:val="1"/>
          <w:rtl w:val="0"/>
        </w:rPr>
        <w:t xml:space="preserve">Agiratech Laravel Security Practices</w:t>
      </w:r>
      <w:r w:rsidDel="00000000" w:rsidR="00000000" w:rsidRPr="00000000">
        <w:rPr>
          <w:rtl w:val="0"/>
        </w:rPr>
        <w:t xml:space="preserve">  (Audit du moteur Eloquent, validation des entrées).</w:t>
      </w:r>
    </w:p>
    <w:p w:rsidR="00000000" w:rsidDel="00000000" w:rsidP="00000000" w:rsidRDefault="00000000" w:rsidRPr="00000000" w14:paraId="0000003B">
      <w:pPr>
        <w:numPr>
          <w:ilvl w:val="0"/>
          <w:numId w:val="6"/>
        </w:numPr>
        <w:ind w:left="720" w:hanging="360"/>
        <w:rPr>
          <w:u w:val="none"/>
        </w:rPr>
      </w:pPr>
      <w:r w:rsidDel="00000000" w:rsidR="00000000" w:rsidRPr="00000000">
        <w:rPr>
          <w:rtl w:val="0"/>
        </w:rPr>
        <w:t xml:space="preserve">Renforcement des contrôles SWIFT CSP.</w:t>
      </w:r>
    </w:p>
    <w:p w:rsidR="00000000" w:rsidDel="00000000" w:rsidP="00000000" w:rsidRDefault="00000000" w:rsidRPr="00000000" w14:paraId="0000003C">
      <w:pPr>
        <w:numPr>
          <w:ilvl w:val="0"/>
          <w:numId w:val="6"/>
        </w:numPr>
        <w:ind w:left="720" w:hanging="360"/>
        <w:rPr>
          <w:b w:val="1"/>
          <w:bCs w:val="1"/>
        </w:rPr>
      </w:pPr>
      <w:r w:rsidDel="00000000" w:rsidR="00000000" w:rsidRPr="00000000">
        <w:rPr>
          <w:b w:val="1"/>
          <w:bCs w:val="1"/>
          <w:rtl w:val="0"/>
        </w:rPr>
        <w:t xml:space="preserve">Phase 2 : Surveillance et Détection (3-9 mois)</w:t>
      </w:r>
    </w:p>
    <w:p w:rsidR="00000000" w:rsidDel="00000000" w:rsidP="00000000" w:rsidRDefault="00000000" w:rsidRPr="00000000" w14:paraId="0000003D">
      <w:pPr>
        <w:numPr>
          <w:ilvl w:val="0"/>
          <w:numId w:val="6"/>
        </w:numPr>
        <w:ind w:left="720" w:hanging="360"/>
        <w:rPr>
          <w:u w:val="none"/>
        </w:rPr>
      </w:pPr>
      <w:r w:rsidDel="00000000" w:rsidR="00000000" w:rsidRPr="00000000">
        <w:rPr>
          <w:rtl w:val="0"/>
        </w:rPr>
        <w:t xml:space="preserve">Déploiement d'un  </w:t>
      </w:r>
      <w:r w:rsidDel="00000000" w:rsidR="00000000" w:rsidRPr="00000000">
        <w:rPr>
          <w:b w:val="1"/>
          <w:bCs w:val="1"/>
          <w:rtl w:val="0"/>
        </w:rPr>
        <w:t xml:space="preserve">SIEM</w:t>
      </w:r>
      <w:r w:rsidDel="00000000" w:rsidR="00000000" w:rsidRPr="00000000">
        <w:rPr>
          <w:rtl w:val="0"/>
        </w:rPr>
        <w:t xml:space="preserve">  centralisé pour la collecte des logs.</w:t>
      </w:r>
    </w:p>
    <w:p w:rsidR="00000000" w:rsidDel="00000000" w:rsidP="00000000" w:rsidRDefault="00000000" w:rsidRPr="00000000" w14:paraId="0000003E">
      <w:pPr>
        <w:numPr>
          <w:ilvl w:val="0"/>
          <w:numId w:val="6"/>
        </w:numPr>
        <w:ind w:left="720" w:hanging="360"/>
        <w:rPr>
          <w:u w:val="none"/>
        </w:rPr>
      </w:pPr>
      <w:r w:rsidDel="00000000" w:rsidR="00000000" w:rsidRPr="00000000">
        <w:rPr>
          <w:rtl w:val="0"/>
        </w:rPr>
        <w:t xml:space="preserve">Externalisation de la surveillance à un  </w:t>
      </w:r>
      <w:r w:rsidDel="00000000" w:rsidR="00000000" w:rsidRPr="00000000">
        <w:rPr>
          <w:b w:val="1"/>
          <w:bCs w:val="1"/>
          <w:rtl w:val="0"/>
        </w:rPr>
        <w:t xml:space="preserve">SOC (Security Operations Center)</w:t>
      </w:r>
      <w:r w:rsidDel="00000000" w:rsidR="00000000" w:rsidRPr="00000000">
        <w:rPr>
          <w:rtl w:val="0"/>
        </w:rPr>
        <w:t xml:space="preserve">  24/7.</w:t>
      </w:r>
    </w:p>
    <w:p w:rsidR="00000000" w:rsidDel="00000000" w:rsidP="00000000" w:rsidRDefault="00000000" w:rsidRPr="00000000" w14:paraId="0000003F">
      <w:pPr>
        <w:numPr>
          <w:ilvl w:val="0"/>
          <w:numId w:val="6"/>
        </w:numPr>
        <w:ind w:left="720" w:hanging="360"/>
        <w:rPr>
          <w:b w:val="1"/>
          <w:bCs w:val="1"/>
        </w:rPr>
      </w:pPr>
      <w:r w:rsidDel="00000000" w:rsidR="00000000" w:rsidRPr="00000000">
        <w:rPr>
          <w:b w:val="1"/>
          <w:bCs w:val="1"/>
          <w:rtl w:val="0"/>
        </w:rPr>
        <w:t xml:space="preserve">Phase 3 : Gouvernance et Culture (Stratégique - 12 mois)</w:t>
      </w:r>
    </w:p>
    <w:p w:rsidR="00000000" w:rsidDel="00000000" w:rsidP="00000000" w:rsidRDefault="00000000" w:rsidRPr="00000000" w14:paraId="00000040">
      <w:pPr>
        <w:numPr>
          <w:ilvl w:val="0"/>
          <w:numId w:val="6"/>
        </w:numPr>
        <w:ind w:left="720" w:hanging="360"/>
        <w:rPr>
          <w:u w:val="none"/>
        </w:rPr>
      </w:pPr>
      <w:r w:rsidDel="00000000" w:rsidR="00000000" w:rsidRPr="00000000">
        <w:rPr>
          <w:rtl w:val="0"/>
        </w:rPr>
        <w:t xml:space="preserve">Révision de la matrice des droits et mise en œuvre de la  </w:t>
      </w:r>
      <w:r w:rsidDel="00000000" w:rsidR="00000000" w:rsidRPr="00000000">
        <w:rPr>
          <w:b w:val="1"/>
          <w:bCs w:val="1"/>
          <w:rtl w:val="0"/>
        </w:rPr>
        <w:t xml:space="preserve">Séparation des Tâches (SoD)</w:t>
      </w:r>
      <w:r w:rsidDel="00000000" w:rsidR="00000000" w:rsidRPr="00000000">
        <w:rPr>
          <w:rtl w:val="0"/>
        </w:rPr>
        <w:t xml:space="preserve"> .</w:t>
      </w:r>
    </w:p>
    <w:p w:rsidR="00000000" w:rsidDel="00000000" w:rsidP="00000000" w:rsidRDefault="00000000" w:rsidRPr="00000000" w14:paraId="00000041">
      <w:pPr>
        <w:numPr>
          <w:ilvl w:val="0"/>
          <w:numId w:val="6"/>
        </w:numPr>
        <w:ind w:left="720" w:hanging="360"/>
        <w:rPr>
          <w:u w:val="none"/>
        </w:rPr>
      </w:pPr>
      <w:r w:rsidDel="00000000" w:rsidR="00000000" w:rsidRPr="00000000">
        <w:rPr>
          <w:rtl w:val="0"/>
        </w:rPr>
        <w:t xml:space="preserve">Programme de sensibilisation avancé contre l'ingénierie sociale (Phishing ciblé).</w:t>
      </w:r>
    </w:p>
    <w:p w:rsidR="00000000" w:rsidDel="00000000" w:rsidP="00000000" w:rsidRDefault="00000000" w:rsidRPr="00000000" w14:paraId="00000042">
      <w:pPr>
        <w:pStyle w:val="Heading4"/>
        <w:rPr/>
      </w:pPr>
      <w:bookmarkStart w:colFirst="0" w:colLast="0" w:name="_7nwxyy6i7pn5" w:id="17"/>
      <w:bookmarkEnd w:id="17"/>
      <w:r w:rsidDel="00000000" w:rsidR="00000000" w:rsidRPr="00000000">
        <w:rPr>
          <w:rtl w:val="0"/>
        </w:rPr>
        <w:t xml:space="preserve">6. Communication des risques</w:t>
      </w:r>
    </w:p>
    <w:p w:rsidR="00000000" w:rsidDel="00000000" w:rsidP="00000000" w:rsidRDefault="00000000" w:rsidRPr="00000000" w14:paraId="00000043">
      <w:pPr>
        <w:rPr/>
      </w:pPr>
      <w:r w:rsidDel="00000000" w:rsidR="00000000" w:rsidRPr="00000000">
        <w:rPr>
          <w:rtl w:val="0"/>
        </w:rPr>
        <w:t xml:space="preserve">La communication doit être proactive :</w:t>
      </w:r>
    </w:p>
    <w:p w:rsidR="00000000" w:rsidDel="00000000" w:rsidP="00000000" w:rsidRDefault="00000000" w:rsidRPr="00000000" w14:paraId="00000044">
      <w:pPr>
        <w:numPr>
          <w:ilvl w:val="0"/>
          <w:numId w:val="5"/>
        </w:numPr>
        <w:ind w:left="720" w:hanging="360"/>
        <w:rPr>
          <w:u w:val="none"/>
        </w:rPr>
      </w:pPr>
      <w:r w:rsidDel="00000000" w:rsidR="00000000" w:rsidRPr="00000000">
        <w:rPr>
          <w:b w:val="1"/>
          <w:bCs w:val="1"/>
          <w:rtl w:val="0"/>
        </w:rPr>
        <w:t xml:space="preserve">Reporting Direction :</w:t>
      </w:r>
      <w:r w:rsidDel="00000000" w:rsidR="00000000" w:rsidRPr="00000000">
        <w:rPr>
          <w:rtl w:val="0"/>
        </w:rPr>
        <w:t xml:space="preserve">  Présentation trimestrielle des indicateurs de risque (KRI) au Conseil d'Administration.</w:t>
      </w:r>
    </w:p>
    <w:p w:rsidR="00000000" w:rsidDel="00000000" w:rsidP="00000000" w:rsidRDefault="00000000" w:rsidRPr="00000000" w14:paraId="00000045">
      <w:pPr>
        <w:numPr>
          <w:ilvl w:val="0"/>
          <w:numId w:val="5"/>
        </w:numPr>
        <w:ind w:left="720" w:hanging="360"/>
        <w:rPr>
          <w:u w:val="none"/>
        </w:rPr>
      </w:pPr>
      <w:r w:rsidDel="00000000" w:rsidR="00000000" w:rsidRPr="00000000">
        <w:rPr>
          <w:b w:val="1"/>
          <w:bCs w:val="1"/>
          <w:rtl w:val="0"/>
        </w:rPr>
        <w:t xml:space="preserve">Conformité :</w:t>
      </w:r>
      <w:r w:rsidDel="00000000" w:rsidR="00000000" w:rsidRPr="00000000">
        <w:rPr>
          <w:rtl w:val="0"/>
        </w:rPr>
        <w:t xml:space="preserve">  Notification immédiate à l'ACPR et à la CNIL en cas de violation majeure de données.</w:t>
      </w:r>
    </w:p>
    <w:p w:rsidR="00000000" w:rsidDel="00000000" w:rsidP="00000000" w:rsidRDefault="00000000" w:rsidRPr="00000000" w14:paraId="00000046">
      <w:pPr>
        <w:numPr>
          <w:ilvl w:val="0"/>
          <w:numId w:val="5"/>
        </w:numPr>
        <w:ind w:left="720" w:hanging="360"/>
        <w:rPr>
          <w:u w:val="none"/>
        </w:rPr>
      </w:pPr>
      <w:r w:rsidDel="00000000" w:rsidR="00000000" w:rsidRPr="00000000">
        <w:rPr>
          <w:b w:val="1"/>
          <w:bCs w:val="1"/>
          <w:rtl w:val="0"/>
        </w:rPr>
        <w:t xml:space="preserve">Interne :</w:t>
      </w:r>
      <w:r w:rsidDel="00000000" w:rsidR="00000000" w:rsidRPr="00000000">
        <w:rPr>
          <w:rtl w:val="0"/>
        </w:rPr>
        <w:t xml:space="preserve">  Diffusion de alertes de sécurité hebdomadaires aux opérationnels.</w:t>
      </w:r>
    </w:p>
    <w:p w:rsidR="00000000" w:rsidDel="00000000" w:rsidP="00000000" w:rsidRDefault="00000000" w:rsidRPr="00000000" w14:paraId="00000047">
      <w:pPr>
        <w:pStyle w:val="Heading4"/>
        <w:rPr/>
      </w:pPr>
      <w:bookmarkStart w:colFirst="0" w:colLast="0" w:name="_kwp6sp3amoxp" w:id="18"/>
      <w:bookmarkEnd w:id="18"/>
      <w:r w:rsidDel="00000000" w:rsidR="00000000" w:rsidRPr="00000000">
        <w:rPr>
          <w:rtl w:val="0"/>
        </w:rPr>
        <w:t xml:space="preserve">7. Revue des risques</w:t>
      </w:r>
    </w:p>
    <w:p w:rsidR="00000000" w:rsidDel="00000000" w:rsidP="00000000" w:rsidRDefault="00000000" w:rsidRPr="00000000" w14:paraId="00000048">
      <w:pPr>
        <w:rPr/>
      </w:pPr>
      <w:r w:rsidDel="00000000" w:rsidR="00000000" w:rsidRPr="00000000">
        <w:rPr>
          <w:rtl w:val="0"/>
        </w:rPr>
        <w:t xml:space="preserve">L'analyse des risques est un processus vivant. Une revue exhaustive sera conduite semestriellement ou lors de tout changement majeur (ex : migration vers le Cloud, mise à jour majeure du framework Laravel).</w:t>
      </w:r>
    </w:p>
    <w:p w:rsidR="00000000" w:rsidDel="00000000" w:rsidP="00000000" w:rsidRDefault="00000000" w:rsidRPr="00000000" w14:paraId="00000049">
      <w:pPr>
        <w:pStyle w:val="Heading4"/>
        <w:rPr/>
      </w:pPr>
      <w:bookmarkStart w:colFirst="0" w:colLast="0" w:name="_vov9e7uyxo2c" w:id="19"/>
      <w:bookmarkEnd w:id="19"/>
      <w:r w:rsidDel="00000000" w:rsidR="00000000" w:rsidRPr="00000000">
        <w:rPr>
          <w:rtl w:val="0"/>
        </w:rPr>
        <w:t xml:space="preserve">8. Amélioration de la gestion des risques</w:t>
      </w:r>
    </w:p>
    <w:p w:rsidR="00000000" w:rsidDel="00000000" w:rsidP="00000000" w:rsidRDefault="00000000" w:rsidRPr="00000000" w14:paraId="0000004A">
      <w:pPr>
        <w:rPr/>
      </w:pPr>
      <w:r w:rsidDel="00000000" w:rsidR="00000000" w:rsidRPr="00000000">
        <w:rPr>
          <w:rtl w:val="0"/>
        </w:rPr>
        <w:t xml:space="preserve">L'institution adopte un cycle d'amélioration continue basé sur le feedback des incidents réels et les résultats des tests d'intrusion (Red Teaming). Chaque incident doit donner lieu à un rapport de "Leçons apprises" pour affiner la détection.</w:t>
      </w:r>
    </w:p>
    <w:p w:rsidR="00000000" w:rsidDel="00000000" w:rsidP="00000000" w:rsidRDefault="00000000" w:rsidRPr="00000000" w14:paraId="0000004B">
      <w:pPr>
        <w:pStyle w:val="Heading4"/>
        <w:rPr/>
      </w:pPr>
      <w:bookmarkStart w:colFirst="0" w:colLast="0" w:name="_9hjsucab66ug" w:id="20"/>
      <w:bookmarkEnd w:id="20"/>
      <w:r w:rsidDel="00000000" w:rsidR="00000000" w:rsidRPr="00000000">
        <w:rPr>
          <w:rtl w:val="0"/>
        </w:rPr>
        <w:t xml:space="preserve">9. Conclusion</w:t>
      </w:r>
    </w:p>
    <w:p w:rsidR="00000000" w:rsidDel="00000000" w:rsidP="00000000" w:rsidRDefault="00000000" w:rsidRPr="00000000" w14:paraId="0000004C">
      <w:pPr>
        <w:rPr/>
      </w:pPr>
      <w:r w:rsidDel="00000000" w:rsidR="00000000" w:rsidRPr="00000000">
        <w:rPr>
          <w:rtl w:val="0"/>
        </w:rPr>
        <w:t xml:space="preserve">La sécurité de l'institution bancaire repose sur une approche multicouche où la technique doit servir la stratégie. L'alignement sur les standards ISO 27005 et le durcissement de notre architecture Laravel sont des étapes non négociables pour maintenir notre résilience opérationnelle face aux menaces actuelles.</w:t>
      </w:r>
    </w:p>
    <w:p w:rsidR="00000000" w:rsidDel="00000000" w:rsidP="00000000" w:rsidRDefault="00000000" w:rsidRPr="00000000" w14:paraId="0000004D">
      <w:pPr>
        <w:pStyle w:val="Heading4"/>
        <w:rPr/>
      </w:pPr>
      <w:bookmarkStart w:colFirst="0" w:colLast="0" w:name="_gebdtio1ki1j" w:id="21"/>
      <w:bookmarkEnd w:id="21"/>
      <w:r w:rsidDel="00000000" w:rsidR="00000000" w:rsidRPr="00000000">
        <w:rPr>
          <w:rtl w:val="0"/>
        </w:rPr>
        <w:t xml:space="preserve">Annexes</w:t>
      </w:r>
    </w:p>
    <w:p w:rsidR="00000000" w:rsidDel="00000000" w:rsidP="00000000" w:rsidRDefault="00000000" w:rsidRPr="00000000" w14:paraId="0000004E">
      <w:pPr>
        <w:pStyle w:val="Heading5"/>
        <w:rPr/>
      </w:pPr>
      <w:bookmarkStart w:colFirst="0" w:colLast="0" w:name="_hw6x5xqukcx" w:id="22"/>
      <w:bookmarkEnd w:id="22"/>
      <w:r w:rsidDel="00000000" w:rsidR="00000000" w:rsidRPr="00000000">
        <w:rPr>
          <w:rtl w:val="0"/>
        </w:rPr>
        <w:t xml:space="preserve">Annexe A : Exemple d’un processus de Gestion de Risques</w:t>
      </w:r>
    </w:p>
    <w:p w:rsidR="00000000" w:rsidDel="00000000" w:rsidP="00000000" w:rsidRDefault="00000000" w:rsidRPr="00000000" w14:paraId="0000004F">
      <w:pPr>
        <w:rPr>
          <w:b w:val="1"/>
          <w:bCs w:val="1"/>
        </w:rPr>
      </w:pPr>
      <w:r w:rsidDel="00000000" w:rsidR="00000000" w:rsidRPr="00000000">
        <w:rPr>
          <w:b w:val="1"/>
          <w:bCs w:val="1"/>
          <w:rtl w:val="0"/>
        </w:rPr>
        <w:t xml:space="preserve">Cas d'étude : Accès non autorisé aux comptes via faille applicative</w:t>
      </w:r>
    </w:p>
    <w:p w:rsidR="00000000" w:rsidDel="00000000" w:rsidP="00000000" w:rsidRDefault="00000000" w:rsidRPr="00000000" w14:paraId="00000050">
      <w:pPr>
        <w:numPr>
          <w:ilvl w:val="0"/>
          <w:numId w:val="1"/>
        </w:numPr>
        <w:ind w:left="720" w:hanging="360"/>
        <w:rPr>
          <w:u w:val="none"/>
        </w:rPr>
      </w:pPr>
      <w:r w:rsidDel="00000000" w:rsidR="00000000" w:rsidRPr="00000000">
        <w:rPr>
          <w:b w:val="1"/>
          <w:bCs w:val="1"/>
          <w:rtl w:val="0"/>
        </w:rPr>
        <w:t xml:space="preserve">Identification :</w:t>
      </w:r>
      <w:r w:rsidDel="00000000" w:rsidR="00000000" w:rsidRPr="00000000">
        <w:rPr>
          <w:rtl w:val="0"/>
        </w:rPr>
        <w:t xml:space="preserve">  Découverte d'une vulnérabilité potentielle de type "Mass Assignment" sur un contrôleur Laravel.</w:t>
      </w:r>
    </w:p>
    <w:p w:rsidR="00000000" w:rsidDel="00000000" w:rsidP="00000000" w:rsidRDefault="00000000" w:rsidRPr="00000000" w14:paraId="00000051">
      <w:pPr>
        <w:numPr>
          <w:ilvl w:val="0"/>
          <w:numId w:val="1"/>
        </w:numPr>
        <w:ind w:left="720" w:hanging="360"/>
        <w:rPr>
          <w:u w:val="none"/>
        </w:rPr>
      </w:pPr>
      <w:r w:rsidDel="00000000" w:rsidR="00000000" w:rsidRPr="00000000">
        <w:rPr>
          <w:b w:val="1"/>
          <w:bCs w:val="1"/>
          <w:rtl w:val="0"/>
        </w:rPr>
        <w:t xml:space="preserve">Analyse :</w:t>
      </w:r>
      <w:r w:rsidDel="00000000" w:rsidR="00000000" w:rsidRPr="00000000">
        <w:rPr>
          <w:rtl w:val="0"/>
        </w:rPr>
        <w:t xml:space="preserve">  Probabilité élevée (automatisation des scans), Gravité Critique (accès aux comptes).</w:t>
      </w:r>
    </w:p>
    <w:p w:rsidR="00000000" w:rsidDel="00000000" w:rsidP="00000000" w:rsidRDefault="00000000" w:rsidRPr="00000000" w14:paraId="00000052">
      <w:pPr>
        <w:numPr>
          <w:ilvl w:val="0"/>
          <w:numId w:val="1"/>
        </w:numPr>
        <w:ind w:left="720" w:hanging="360"/>
        <w:rPr>
          <w:u w:val="none"/>
        </w:rPr>
      </w:pPr>
      <w:r w:rsidDel="00000000" w:rsidR="00000000" w:rsidRPr="00000000">
        <w:rPr>
          <w:b w:val="1"/>
          <w:bCs w:val="1"/>
          <w:rtl w:val="0"/>
        </w:rPr>
        <w:t xml:space="preserve">Traitement :</w:t>
      </w:r>
      <w:r w:rsidDel="00000000" w:rsidR="00000000" w:rsidRPr="00000000">
        <w:rPr>
          <w:rtl w:val="0"/>
        </w:rPr>
        <w:t xml:space="preserve">  Réduction immédiate via modification du code ($guarded / $fillable) et déploiement d'un WAF.</w:t>
      </w:r>
    </w:p>
    <w:p w:rsidR="00000000" w:rsidDel="00000000" w:rsidP="00000000" w:rsidRDefault="00000000" w:rsidRPr="00000000" w14:paraId="00000053">
      <w:pPr>
        <w:numPr>
          <w:ilvl w:val="0"/>
          <w:numId w:val="1"/>
        </w:numPr>
        <w:ind w:left="720" w:hanging="360"/>
        <w:rPr>
          <w:u w:val="none"/>
        </w:rPr>
      </w:pPr>
      <w:r w:rsidDel="00000000" w:rsidR="00000000" w:rsidRPr="00000000">
        <w:rPr>
          <w:b w:val="1"/>
          <w:bCs w:val="1"/>
          <w:rtl w:val="0"/>
        </w:rPr>
        <w:t xml:space="preserve">Risque Résiduel :</w:t>
      </w:r>
      <w:r w:rsidDel="00000000" w:rsidR="00000000" w:rsidRPr="00000000">
        <w:rPr>
          <w:rtl w:val="0"/>
        </w:rPr>
        <w:t xml:space="preserve">  Évalué comme "Faible" après implémentation de l'authentification multi-facteurs (MFA) et monitoring SOC.</w:t>
      </w:r>
    </w:p>
    <w:p w:rsidR="00000000" w:rsidDel="00000000" w:rsidP="00000000" w:rsidRDefault="00000000" w:rsidRPr="00000000" w14:paraId="00000054">
      <w:pPr>
        <w:pStyle w:val="Heading5"/>
        <w:rPr/>
      </w:pPr>
      <w:bookmarkStart w:colFirst="0" w:colLast="0" w:name="_u0s5qd1gfqy6" w:id="23"/>
      <w:bookmarkEnd w:id="23"/>
      <w:r w:rsidDel="00000000" w:rsidR="00000000" w:rsidRPr="00000000">
        <w:rPr>
          <w:rtl w:val="0"/>
        </w:rPr>
        <w:t xml:space="preserve">Annexe B : Les Références</w:t>
      </w:r>
    </w:p>
    <w:p w:rsidR="00000000" w:rsidDel="00000000" w:rsidP="00000000" w:rsidRDefault="00000000" w:rsidRPr="00000000" w14:paraId="00000055">
      <w:pPr>
        <w:numPr>
          <w:ilvl w:val="0"/>
          <w:numId w:val="4"/>
        </w:numPr>
        <w:ind w:left="720" w:hanging="360"/>
        <w:rPr>
          <w:u w:val="none"/>
        </w:rPr>
      </w:pPr>
      <w:r w:rsidDel="00000000" w:rsidR="00000000" w:rsidRPr="00000000">
        <w:rPr>
          <w:b w:val="1"/>
          <w:bCs w:val="1"/>
          <w:rtl w:val="0"/>
        </w:rPr>
        <w:t xml:space="preserve">ISO/IEC 27005:2022</w:t>
      </w:r>
      <w:r w:rsidDel="00000000" w:rsidR="00000000" w:rsidRPr="00000000">
        <w:rPr>
          <w:rtl w:val="0"/>
        </w:rPr>
        <w:t xml:space="preserve">  : Technologies de l'information - Gestion des risques liés à la sécurité de l'information.</w:t>
      </w:r>
    </w:p>
    <w:p w:rsidR="00000000" w:rsidDel="00000000" w:rsidP="00000000" w:rsidRDefault="00000000" w:rsidRPr="00000000" w14:paraId="00000056">
      <w:pPr>
        <w:numPr>
          <w:ilvl w:val="0"/>
          <w:numId w:val="4"/>
        </w:numPr>
        <w:ind w:left="720" w:hanging="360"/>
        <w:rPr>
          <w:u w:val="none"/>
        </w:rPr>
      </w:pPr>
      <w:r w:rsidDel="00000000" w:rsidR="00000000" w:rsidRPr="00000000">
        <w:rPr>
          <w:b w:val="1"/>
          <w:bCs w:val="1"/>
          <w:rtl w:val="0"/>
        </w:rPr>
        <w:t xml:space="preserve">Agiratech Laravel Security Practices (2019)</w:t>
      </w:r>
      <w:r w:rsidDel="00000000" w:rsidR="00000000" w:rsidRPr="00000000">
        <w:rPr>
          <w:rtl w:val="0"/>
        </w:rPr>
        <w:t xml:space="preserve">  : Standards de développement sécurisé pour le framework Laravel.</w:t>
      </w:r>
    </w:p>
    <w:p w:rsidR="00000000" w:rsidDel="00000000" w:rsidP="00000000" w:rsidRDefault="00000000" w:rsidRPr="00000000" w14:paraId="00000057">
      <w:pPr>
        <w:numPr>
          <w:ilvl w:val="0"/>
          <w:numId w:val="4"/>
        </w:numPr>
        <w:ind w:left="720" w:hanging="360"/>
        <w:rPr>
          <w:u w:val="none"/>
        </w:rPr>
      </w:pPr>
      <w:r w:rsidDel="00000000" w:rsidR="00000000" w:rsidRPr="00000000">
        <w:rPr>
          <w:b w:val="1"/>
          <w:bCs w:val="1"/>
          <w:rtl w:val="0"/>
        </w:rPr>
        <w:t xml:space="preserve">SWIFT Customer Security Programme (CSP)</w:t>
      </w:r>
      <w:r w:rsidDel="00000000" w:rsidR="00000000" w:rsidRPr="00000000">
        <w:rPr>
          <w:rtl w:val="0"/>
        </w:rPr>
        <w:t xml:space="preserve">  : Cadre de contrôle pour la messagerie interbancaire.</w:t>
      </w:r>
    </w:p>
    <w:p w:rsidR="00000000" w:rsidDel="00000000" w:rsidP="00000000" w:rsidRDefault="00000000" w:rsidRPr="00000000" w14:paraId="00000058">
      <w:pPr>
        <w:numPr>
          <w:ilvl w:val="0"/>
          <w:numId w:val="4"/>
        </w:numPr>
        <w:ind w:left="720" w:hanging="360"/>
        <w:rPr>
          <w:u w:val="none"/>
        </w:rPr>
      </w:pPr>
      <w:r w:rsidDel="00000000" w:rsidR="00000000" w:rsidRPr="00000000">
        <w:rPr>
          <w:b w:val="1"/>
          <w:bCs w:val="1"/>
          <w:rtl w:val="0"/>
        </w:rPr>
        <w:t xml:space="preserve">Directives ACPR</w:t>
      </w:r>
      <w:r w:rsidDel="00000000" w:rsidR="00000000" w:rsidRPr="00000000">
        <w:rPr>
          <w:rtl w:val="0"/>
        </w:rPr>
        <w:t xml:space="preserve">  : Recommandations sur la résilience informatique dans le secteur bancaire.</w:t>
      </w:r>
    </w:p>
    <w:p w:rsidR="00000000" w:rsidDel="00000000" w:rsidP="00000000" w:rsidRDefault="00000000" w:rsidRPr="00000000" w14:paraId="0000005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