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2/25/2026 | Prepared for VAN Strategic Outreach</w:t>
      </w:r>
    </w:p>
    <w:p>
      <w:pPr>
        <w:spacing w:after="100"/>
      </w:pPr>
      <w:r>
        <w:rPr>
          <w:b/>
          <w:bCs/>
          <w:sz w:val="40"/>
          <w:szCs w:val="40"/>
          <w:rFonts w:ascii="Arial" w:cs="Arial" w:eastAsia="Arial" w:hAnsi="Arial"/>
        </w:rPr>
        <w:t xml:space="preserve">CapGrow Partners LLC</w:t>
      </w:r>
      <w:r>
        <w:rPr>
          <w:color w:val="666666"/>
          <w:sz w:val="24"/>
          <w:szCs w:val="24"/>
          <w:rFonts w:ascii="Arial" w:cs="Arial" w:eastAsia="Arial" w:hAnsi="Arial"/>
        </w:rPr>
        <w:t xml:space="preserve">  [Tier 3]</w:t>
      </w:r>
    </w:p>
    <w:p>
      <w:pPr>
        <w:spacing w:after="60"/>
      </w:pPr>
      <w:r>
        <w:rPr>
          <w:color w:val="0066CC"/>
          <w:sz w:val="22"/>
          <w:szCs w:val="22"/>
          <w:rFonts w:ascii="Arial" w:cs="Arial" w:eastAsia="Arial" w:hAnsi="Arial"/>
        </w:rPr>
        <w:t xml:space="preserve">capgrowpartners.com</w:t>
      </w:r>
    </w:p>
    <w:p>
      <w:pPr>
        <w:spacing w:after="200"/>
      </w:pPr>
      <w:r>
        <w:rPr>
          <w:color w:val="666666"/>
          <w:sz w:val="20"/>
          <w:szCs w:val="20"/>
          <w:rFonts w:ascii="Arial" w:cs="Arial" w:eastAsia="Arial" w:hAnsi="Arial"/>
        </w:rPr>
        <w:t xml:space="preserve">Real Estate • 14 employees • Traffic unknown</w:t>
      </w:r>
    </w:p>
    <w:p>
      <w:pPr>
        <w:spacing w:after="300"/>
      </w:pPr>
      <w:r>
        <w:rPr>
          <w:b/>
          <w:bCs/>
          <w:color w:val="666666"/>
          <w:sz w:val="20"/>
          <w:szCs w:val="20"/>
          <w:rFonts w:ascii="Arial" w:cs="Arial" w:eastAsia="Arial" w:hAnsi="Arial"/>
        </w:rPr>
        <w:t xml:space="preserve">✗ NOT ON WEBFLOW</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w:t>
      </w:r>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CD5C5C"/>
                <w:sz w:val="22"/>
                <w:szCs w:val="22"/>
                <w:rFonts w:ascii="Arial" w:cs="Arial" w:eastAsia="Arial" w:hAnsi="Arial"/>
              </w:rPr>
              <w:t xml:space="preserve">63/100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92/100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90/100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N/A</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Recent news articles from CapGrow Partners published after January 1st, 2025, focus on industry trends and collaborative efforts within the healthcare sector. Articles discuss evolving priorities for medical providers concerning Medicaid recipients, detailed plans for improving behavioral healthcare in Ohio highlighting cooperation between civic and private entities, and updates on federal opioid response grants. Historical context on the company's growth is provided in an article about its 20 years in real estate. Other news covers developments in managed care contracts. There is no specific ...</w:t>
      </w:r>
    </w:p>
    <w:p>
      <w:pPr>
        <w:spacing w:before="200" w:after="60"/>
      </w:pPr>
      <w:r>
        <w:rPr>
          <w:b/>
          <w:bCs/>
          <w:sz w:val="20"/>
          <w:szCs w:val="20"/>
          <w:rFonts w:ascii="Arial" w:cs="Arial" w:eastAsia="Arial" w:hAnsi="Arial"/>
        </w:rPr>
        <w:t xml:space="preserve">Funding:</w:t>
      </w:r>
    </w:p>
    <w:p>
      <w:pPr>
        <w:spacing w:after="200"/>
      </w:pPr>
      <w:r>
        <w:rPr>
          <w:color w:val="444444"/>
          <w:sz w:val="18"/>
          <w:szCs w:val="18"/>
          <w:rFonts w:ascii="Arial" w:cs="Arial" w:eastAsia="Arial" w:hAnsi="Arial"/>
        </w:rPr>
        <w:t xml:space="preserve">No recent funding news was found for CapGrow Partners LLC. While financial transactions such as debt financing and acquisitions of equity interests in CapGrow by another entity are documented, CapGrow itself has not raised traditional equity funding rounds according to available data.</w:t>
      </w:r>
    </w:p>
    <w:p>
      <w:pPr>
        <w:pBdr>
          <w:bottom w:val="single" w:color="1565C0" w:sz="6"/>
        </w:pBdr>
        <w:spacing w:before="300" w:after="150"/>
      </w:pPr>
      <w:r>
        <w:rPr>
          <w:b/>
          <w:bCs/>
          <w:color w:val="1565C0"/>
          <w:sz w:val="26"/>
          <w:szCs w:val="26"/>
          <w:rFonts w:ascii="Arial" w:cs="Arial" w:eastAsia="Arial" w:hAnsi="Arial"/>
        </w:rPr>
        <w:t xml:space="preserve">COMPANY INTELLIGENCE</w:t>
      </w:r>
    </w:p>
    <w:p>
      <w:pPr>
        <w:spacing w:after="60"/>
      </w:pPr>
      <w:r>
        <w:rPr>
          <w:b/>
          <w:bCs/>
          <w:sz w:val="20"/>
          <w:szCs w:val="20"/>
          <w:rFonts w:ascii="Arial" w:cs="Arial" w:eastAsia="Arial" w:hAnsi="Arial"/>
        </w:rPr>
        <w:t xml:space="preserve">How They Represent Themselves:</w:t>
      </w:r>
    </w:p>
    <w:p>
      <w:pPr>
        <w:spacing w:after="200"/>
      </w:pPr>
      <w:r>
        <w:rPr>
          <w:color w:val="444444"/>
          <w:sz w:val="18"/>
          <w:szCs w:val="18"/>
          <w:rFonts w:ascii="Arial" w:cs="Arial" w:eastAsia="Arial" w:hAnsi="Arial"/>
        </w:rPr>
        <w:t xml:space="preserve">Accessed the CapGrow Partners homepage at https://capgrowpartners.com/., Identified and extracted...</w:t>
      </w:r>
    </w:p>
    <w:p>
      <w:pPr>
        <w:spacing w:before="100" w:after="60"/>
      </w:pPr>
      <w:r>
        <w:rPr>
          <w:b/>
          <w:bCs/>
          <w:sz w:val="20"/>
          <w:szCs w:val="20"/>
          <w:rFonts w:ascii="Arial" w:cs="Arial" w:eastAsia="Arial" w:hAnsi="Arial"/>
        </w:rPr>
        <w:t xml:space="preserve">What They Do</w:t>
      </w:r>
    </w:p>
    <w:p>
      <w:pPr>
        <w:spacing w:after="150"/>
      </w:pPr>
      <w:r>
        <w:rPr>
          <w:color w:val="444444"/>
          <w:sz w:val="18"/>
          <w:szCs w:val="18"/>
          <w:rFonts w:ascii="Arial" w:cs="Arial" w:eastAsia="Arial" w:hAnsi="Arial"/>
        </w:rPr>
        <w:t xml:space="preserve">CapGrow Partners primarily operates as a real estate investment firm that partners with healthcare operators. Their core business model revolves around:
Sale-Leaseback Transactions: This is their primary mechanism. They acquire real estate (land and buildings) from healthcare providers, who then lease the property back from CapGrow through a long-term agreement. This allows the healthcare operator to convert illiquid real estate assets into cash, which can then be used for:
- Working capital
- Debt reduction
- Facility expansion or renovation
- Technology upgrades
- Acquisitions
- Shareholder ...</w:t>
      </w:r>
    </w:p>
    <w:p>
      <w:pPr>
        <w:spacing w:before="100" w:after="60"/>
      </w:pPr>
      <w:r>
        <w:rPr>
          <w:b/>
          <w:bCs/>
          <w:sz w:val="20"/>
          <w:szCs w:val="20"/>
          <w:rFonts w:ascii="Arial" w:cs="Arial" w:eastAsia="Arial" w:hAnsi="Arial"/>
        </w:rPr>
        <w:t xml:space="preserve">Who They Serve</w:t>
      </w:r>
    </w:p>
    <w:p>
      <w:pPr>
        <w:spacing w:after="150"/>
      </w:pPr>
      <w:r>
        <w:rPr>
          <w:color w:val="444444"/>
          <w:sz w:val="18"/>
          <w:szCs w:val="18"/>
          <w:rFonts w:ascii="Arial" w:cs="Arial" w:eastAsia="Arial" w:hAnsi="Arial"/>
        </w:rPr>
        <w:t xml:space="preserve">CapGrow Partners serves a specific segment of the healthcare industry, primarily:
- Behavioral Health Providers: This includes facilities for mental health treatment, substance abuse recovery, eating disorders, autism spectrum disorders, and other specialized behavioral health services.
- Post-Acute Care Providers: This typically covers facilities such as skilled nursing facilities (SNFs), assisted living facilities (ALFs), long-term acute care hospitals (LTACHs), and other transitional or rehabilitative care centers.
- Other Specialized Healthcare Providers: They may also work with other nich...</w:t>
      </w:r>
    </w:p>
    <w:p>
      <w:pPr>
        <w:spacing w:before="100" w:after="60"/>
      </w:pPr>
      <w:r>
        <w:rPr>
          <w:b/>
          <w:bCs/>
          <w:sz w:val="20"/>
          <w:szCs w:val="20"/>
          <w:rFonts w:ascii="Arial" w:cs="Arial" w:eastAsia="Arial" w:hAnsi="Arial"/>
        </w:rPr>
        <w:t xml:space="preserve">What Makes Them Different</w:t>
      </w:r>
    </w:p>
    <w:p>
      <w:pPr>
        <w:spacing w:after="150"/>
      </w:pPr>
      <w:r>
        <w:rPr>
          <w:color w:val="444444"/>
          <w:sz w:val="18"/>
          <w:szCs w:val="18"/>
          <w:rFonts w:ascii="Arial" w:cs="Arial" w:eastAsia="Arial" w:hAnsi="Arial"/>
        </w:rPr>
        <w:t xml:space="preserve">Several factors differentiate CapGrow Partners:
Deep Niche Specialization: Unlike general real estate investors or even broad healthcare real estate investment trusts (REITs), CapGrow has an exceptionally focused expertise in behavioral health and post-acute care. This allows them to understand the unique challenges, opportunities, and regulatory landscapes of these specific sectors.
Operator-Centric Approach: They position themselves as a "capital partner" rather than just a landlord. They aim to understand the operator's business model, strategic goals, and patient care mission, tailoring so...</w:t>
      </w:r>
    </w:p>
    <w:p>
      <w:pPr>
        <w:spacing w:before="100" w:after="60"/>
      </w:pPr>
      <w:r>
        <w:rPr>
          <w:b/>
          <w:bCs/>
          <w:sz w:val="20"/>
          <w:szCs w:val="20"/>
          <w:rFonts w:ascii="Arial" w:cs="Arial" w:eastAsia="Arial" w:hAnsi="Arial"/>
        </w:rPr>
        <w:t xml:space="preserve">What They Are Known For</w:t>
      </w:r>
    </w:p>
    <w:p>
      <w:pPr>
        <w:spacing w:after="150"/>
      </w:pPr>
      <w:r>
        <w:rPr>
          <w:color w:val="444444"/>
          <w:sz w:val="18"/>
          <w:szCs w:val="18"/>
          <w:rFonts w:ascii="Arial" w:cs="Arial" w:eastAsia="Arial" w:hAnsi="Arial"/>
        </w:rPr>
        <w:t xml:space="preserve">CapGrow Partners is known for:
- Expertise in Behavioral Health Real Estate: They are recognized as a leading capital provider and real estate partner in the rapidly growing and increasingly important behavioral health sector.
- Strategic Sale-Leaseback Solutions: Their ability to provide flexible and significant capital through sale-leaseback arrangements is a hallmark of their business.
- Enabling Growth for Healthcare Operators: They are known for helping operators unlock capital to expand services, improve facilities, and ultimately serve more patients.
- Long-Term Partnership Mentality: T...</w:t>
      </w:r>
    </w:p>
    <w:p>
      <w:pPr>
        <w:spacing w:before="100" w:after="60"/>
      </w:pPr>
      <w:r>
        <w:rPr>
          <w:b/>
          <w:bCs/>
          <w:sz w:val="20"/>
          <w:szCs w:val="20"/>
          <w:rFonts w:ascii="Arial" w:cs="Arial" w:eastAsia="Arial" w:hAnsi="Arial"/>
        </w:rPr>
        <w:t xml:space="preserve">What Do Customers Say About Them?</w:t>
      </w:r>
    </w:p>
    <w:p>
      <w:pPr>
        <w:spacing w:after="150"/>
      </w:pPr>
      <w:r>
        <w:rPr>
          <w:color w:val="444444"/>
          <w:sz w:val="18"/>
          <w:szCs w:val="18"/>
          <w:rFonts w:ascii="Arial" w:cs="Arial" w:eastAsia="Arial" w:hAnsi="Arial"/>
        </w:rPr>
        <w:t xml:space="preserve">Direct, public customer testimonials for private equity firms like CapGrow Partners are generally scarce due to the confidential nature of such transactions and partnerships. However, based on their stated approach and the value proposition they offer, customers (healthcare operators) would likely express:
- Understanding and Expertise: Appreciation for CapGrow's deep understanding of their specialized healthcare business, beyond just the real estate itself.
- Flexibility and Responsiveness: Positive feedback on their ability to structure tailored deals and respond efficiently to capital needs...</w:t>
      </w:r>
    </w:p>
    <w:p>
      <w:pPr>
        <w:pBdr>
          <w:bottom w:val="single" w:color="1565C0" w:sz="6"/>
        </w:pBdr>
        <w:spacing w:before="300" w:after="150"/>
      </w:pPr>
      <w:r>
        <w:rPr>
          <w:b/>
          <w:bCs/>
          <w:color w:val="1565C0"/>
          <w:sz w:val="26"/>
          <w:szCs w:val="26"/>
          <w:rFonts w:ascii="Arial" w:cs="Arial" w:eastAsia="Arial" w:hAnsi="Arial"/>
        </w:rPr>
        <w:t xml:space="preserve">BUYING COMMITTEE</w:t>
      </w:r>
    </w:p>
    <w:p>
      <w:r>
        <w:rPr>
          <w:color w:val="CD5C5C"/>
          <w:sz w:val="20"/>
          <w:szCs w:val="20"/>
          <w:rFonts w:ascii="Arial" w:cs="Arial" w:eastAsia="Arial" w:hAnsi="Arial"/>
        </w:rPr>
        <w:t xml:space="preserve">No contacts identified—research gap</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Industry recognition/awards</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Website Performance Gap: </w:t>
      </w:r>
      <w:r>
        <w:rPr>
          <w:sz w:val="20"/>
          <w:szCs w:val="20"/>
          <w:rFonts w:ascii="Arial" w:cs="Arial" w:eastAsia="Arial" w:hAnsi="Arial"/>
        </w:rPr>
        <w:t xml:space="preserve">63/100 performance score—below industry standard</w:t>
      </w:r>
    </w:p>
    <w:p>
      <w:pPr>
        <w:spacing w:after="80"/>
      </w:pPr>
      <w:r>
        <w:rPr>
          <w:i/>
          <w:iCs/>
          <w:color w:val="555555"/>
          <w:sz w:val="18"/>
          <w:szCs w:val="18"/>
          <w:rFonts w:ascii="Arial" w:cs="Arial" w:eastAsia="Arial" w:hAnsi="Arial"/>
        </w:rPr>
        <w:t xml:space="preserve">   → Poor site performance undermines credibility and conversion, especially for companies where the website is a primary trust signal</w:t>
      </w:r>
    </w:p>
    <w:p>
      <w:pPr>
        <w:spacing w:after="40"/>
      </w:pPr>
      <w:r>
        <w:rPr>
          <w:b/>
          <w:bCs/>
          <w:sz w:val="20"/>
          <w:szCs w:val="20"/>
          <w:rFonts w:ascii="Arial" w:cs="Arial" w:eastAsia="Arial" w:hAnsi="Arial"/>
        </w:rPr>
        <w:t xml:space="preserve">● Legacy Tech Stack: </w:t>
      </w:r>
      <w:r>
        <w:rPr>
          <w:sz w:val="20"/>
          <w:szCs w:val="20"/>
          <w:rFonts w:ascii="Arial" w:cs="Arial" w:eastAsia="Arial" w:hAnsi="Arial"/>
        </w:rPr>
        <w:t xml:space="preserve">WordPress, Legacy jQuery, Outdated WordPress version, Legacy page builder (WPBakery/Visual Composer)</w:t>
      </w:r>
    </w:p>
    <w:p>
      <w:pPr>
        <w:spacing w:after="80"/>
      </w:pPr>
      <w:r>
        <w:rPr>
          <w:i/>
          <w:iCs/>
          <w:color w:val="555555"/>
          <w:sz w:val="18"/>
          <w:szCs w:val="18"/>
          <w:rFonts w:ascii="Arial" w:cs="Arial" w:eastAsia="Arial" w:hAnsi="Arial"/>
        </w:rPr>
        <w:t xml:space="preserve">   → Outdated CMS and tooling create maintenance burden and limit marketing agility—migration opportunity</w:t>
      </w:r>
    </w:p>
    <w:p>
      <w:pPr>
        <w:spacing w:after="40"/>
      </w:pPr>
      <w:r>
        <w:rPr>
          <w:b/>
          <w:bCs/>
          <w:sz w:val="20"/>
          <w:szCs w:val="20"/>
          <w:rFonts w:ascii="Arial" w:cs="Arial" w:eastAsia="Arial" w:hAnsi="Arial"/>
        </w:rPr>
        <w:t xml:space="preserve">○ Lean Team, Specialized Focus: </w:t>
      </w:r>
      <w:r>
        <w:rPr>
          <w:sz w:val="20"/>
          <w:szCs w:val="20"/>
          <w:rFonts w:ascii="Arial" w:cs="Arial" w:eastAsia="Arial" w:hAnsi="Arial"/>
        </w:rPr>
        <w:t xml:space="preserve">14 employees in Real Estate—likely no dedicated web/marketing engineering resources</w:t>
      </w:r>
    </w:p>
    <w:p>
      <w:pPr>
        <w:spacing w:after="80"/>
      </w:pPr>
      <w:r>
        <w:rPr>
          <w:i/>
          <w:iCs/>
          <w:color w:val="555555"/>
          <w:sz w:val="18"/>
          <w:szCs w:val="18"/>
          <w:rFonts w:ascii="Arial" w:cs="Arial" w:eastAsia="Arial" w:hAnsi="Arial"/>
        </w:rPr>
        <w:t xml:space="preserve">   → Small teams rely on external partners for web execution—high agency dependency potential</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No Economic Buyer Identified: </w:t>
      </w:r>
      <w:r>
        <w:rPr>
          <w:sz w:val="20"/>
          <w:szCs w:val="20"/>
          <w:rFonts w:ascii="Arial" w:cs="Arial" w:eastAsia="Arial" w:hAnsi="Arial"/>
        </w:rPr>
        <w:t xml:space="preserve">No VP+ marketing leader in contact list</w:t>
      </w:r>
    </w:p>
    <w:p>
      <w:pPr>
        <w:spacing w:after="80"/>
      </w:pPr>
      <w:r>
        <w:rPr>
          <w:i/>
          <w:iCs/>
          <w:color w:val="555555"/>
          <w:sz w:val="18"/>
          <w:szCs w:val="18"/>
          <w:rFonts w:ascii="Arial" w:cs="Arial" w:eastAsia="Arial" w:hAnsi="Arial"/>
        </w:rPr>
        <w:t xml:space="preserve">   Mitigation: Champion-led entry required—build internal advocacy before seeking budget holder</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Recent news shows active company momentum (product launches, partnerships)—web presence needs to keep pace with business growth. Running on WordPress with legacy tooling—as their business grows, the gap between business needs and web platform capabilities will widen. Now is the time to propose a modern platform migration.</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Webflow migration expertise could address their platform modernization needs while solving performance issues. VAN's performance optimization capabilities directly address their 63/100 score—we can quantify the conversion impact and deliver measurable improvement. VAN's WordPress-to-Webflow migration expertise directly applies—we can modernize their web platform while improving performance, reducing maintenance overhead, and giving their team direct publishing control. With a 14-person team, they need a partner who can own web execution end-to-end—VAN's full-service model is a natural fit.</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TBD</w:t>
      </w:r>
      <w:r>
        <w:rPr>
          <w:sz w:val="20"/>
          <w:szCs w:val="20"/>
          <w:rFonts w:ascii="Arial" w:cs="Arial" w:eastAsia="Arial" w:hAnsi="Arial"/>
        </w:rPr>
        <w:t xml:space="preserve"> — Unknown</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No contacts identified—need additional research</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DISCOVERY</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High—no validated entry path</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TBD</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Value-based outreach</w:t>
      </w:r>
    </w:p>
    <w:p>
      <w:pPr>
        <w:spacing w:after="100"/>
      </w:pPr>
      <w:r>
        <w:rPr>
          <w:i/>
          <w:iCs/>
          <w:sz w:val="18"/>
          <w:szCs w:val="18"/>
          <w:rFonts w:ascii="Arial" w:cs="Arial" w:eastAsia="Arial" w:hAnsi="Arial"/>
        </w:rPr>
        <w:t xml:space="preserve">   Goal: Validate pain hypothesis, establish credibility</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Economic buyer (VP+ Marketing) not identified—need to find budget holder</w:t>
      </w:r>
    </w:p>
    <w:p>
      <w:pPr>
        <w:spacing w:after="40"/>
      </w:pPr>
      <w:r>
        <w:rPr>
          <w:color w:val="666666"/>
          <w:sz w:val="18"/>
          <w:szCs w:val="18"/>
          <w:rFonts w:ascii="Arial" w:cs="Arial" w:eastAsia="Arial" w:hAnsi="Arial"/>
        </w:rPr>
        <w:t xml:space="preserve">• No contacts identified—need contact research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2/25/2026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2026-02-25T20:06:21.343Z</dcterms:created>
  <dcterms:modified xsi:type="dcterms:W3CDTF">2026-02-25T20:06:21.343Z</dcterms:modified>
</cp:coreProperties>
</file>

<file path=docProps/custom.xml><?xml version="1.0" encoding="utf-8"?>
<Properties xmlns="http://schemas.openxmlformats.org/officeDocument/2006/custom-properties" xmlns:vt="http://schemas.openxmlformats.org/officeDocument/2006/docPropsVTypes"/>
</file>