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80"/>
        <w:jc w:val="left"/>
      </w:pPr>
      <w:r>
        <w:rPr>
          <w:rFonts w:ascii="Calibri" w:hAnsi="Calibri"/>
          <w:b/>
          <w:color w:val="2D2D2D"/>
          <w:sz w:val="56"/>
        </w:rPr>
        <w:t>SHADOW</w:t>
      </w:r>
    </w:p>
    <w:p>
      <w:pPr>
        <w:spacing w:after="720"/>
        <w:jc w:val="left"/>
      </w:pPr>
      <w:r>
        <w:rPr>
          <w:rFonts w:ascii="Calibri" w:hAnsi="Calibri"/>
          <w:color w:val="666666"/>
          <w:sz w:val="18"/>
        </w:rPr>
        <w:t>Webflow Premium Partner  |  Enterprise</w:t>
      </w:r>
    </w:p>
    <w:p>
      <w:pPr>
        <w:spacing w:before="80" w:after="80"/>
        <w:pBdr>
          <w:bottom w:val="single" w:sz="6" w:space="1" w:color="E8422F"/>
        </w:pBdr>
      </w:pPr>
    </w:p>
    <w:p>
      <w:pPr>
        <w:spacing w:after="240"/>
      </w:pPr>
    </w:p>
    <w:p>
      <w:pPr>
        <w:spacing w:after="160"/>
        <w:jc w:val="left"/>
      </w:pPr>
      <w:r>
        <w:rPr>
          <w:rFonts w:ascii="Calibri" w:hAnsi="Calibri"/>
          <w:b/>
          <w:color w:val="E8422F"/>
          <w:sz w:val="24"/>
        </w:rPr>
        <w:t>Sofar Ocean  |  Website Rebuild</w:t>
      </w:r>
    </w:p>
    <w:p>
      <w:pPr>
        <w:spacing w:after="480" w:line="264" w:lineRule="auto"/>
        <w:jc w:val="left"/>
      </w:pPr>
      <w:r>
        <w:rPr>
          <w:rFonts w:ascii="Calibri" w:hAnsi="Calibri"/>
          <w:b/>
          <w:color w:val="2D2D2D"/>
          <w:sz w:val="72"/>
        </w:rPr>
        <w:t>Giving the World’s Ocean</w:t>
        <w:br/>
        <w:t>Data Platform a Digital</w:t>
        <w:br/>
        <w:t>Presence That Moves</w:t>
        <w:br/>
        <w:t>Like Water</w:t>
      </w:r>
    </w:p>
    <w:p>
      <w:pPr>
        <w:spacing w:after="160"/>
      </w:pPr>
      <w:r>
        <w:rPr>
          <w:rFonts w:ascii="Calibri" w:hAnsi="Calibri"/>
          <w:b/>
          <w:color w:val="1A1A1A"/>
          <w:sz w:val="22"/>
        </w:rPr>
        <w:t>Shadow Digital</w:t>
      </w:r>
      <w:r>
        <w:rPr>
          <w:rFonts w:ascii="Calibri" w:hAnsi="Calibri"/>
          <w:color w:val="1A1A1A"/>
          <w:sz w:val="22"/>
        </w:rPr>
        <w:t xml:space="preserve"> is your go-to Webflow agency for building powerful, results-driven websites. We specialize in crafting cutting-edge digital experiences for </w:t>
      </w:r>
      <w:r>
        <w:rPr>
          <w:rFonts w:ascii="Calibri" w:hAnsi="Calibri"/>
          <w:b/>
          <w:color w:val="1A1A1A"/>
          <w:sz w:val="22"/>
        </w:rPr>
        <w:t>modern brands</w:t>
      </w:r>
      <w:r>
        <w:rPr>
          <w:rFonts w:ascii="Calibri" w:hAnsi="Calibri"/>
          <w:color w:val="1A1A1A"/>
          <w:sz w:val="22"/>
        </w:rPr>
        <w:t>, combining sleek design with strategic expertise.</w:t>
      </w:r>
    </w:p>
    <w:p>
      <w:pPr>
        <w:spacing w:after="720"/>
      </w:pPr>
      <w:r>
        <w:rPr>
          <w:rFonts w:ascii="Calibri" w:hAnsi="Calibri"/>
          <w:color w:val="1A1A1A"/>
          <w:sz w:val="22"/>
        </w:rPr>
        <w:t>From concept to continuous optimization, we’re here to help you achieve your business goals and elevate your web presence.</w:t>
      </w:r>
    </w:p>
    <w:p>
      <w:pPr>
        <w:spacing w:after="80"/>
      </w:pPr>
      <w:r>
        <w:rPr>
          <w:rFonts w:ascii="Calibri" w:hAnsi="Calibri"/>
          <w:b/>
          <w:color w:val="1A1A1A"/>
          <w:sz w:val="20"/>
        </w:rPr>
        <w:t>Prepared for:</w:t>
      </w:r>
    </w:p>
    <w:p>
      <w:pPr>
        <w:spacing w:after="0"/>
      </w:pPr>
      <w:r>
        <w:rPr>
          <w:rFonts w:ascii="Calibri" w:hAnsi="Calibri"/>
          <w:color w:val="1A1A1A"/>
          <w:sz w:val="21"/>
        </w:rPr>
        <w:t>Rosy Garcia</w:t>
      </w:r>
    </w:p>
    <w:p>
      <w:pPr>
        <w:spacing w:after="320"/>
      </w:pPr>
      <w:r>
        <w:rPr>
          <w:rFonts w:ascii="Calibri" w:hAnsi="Calibri"/>
          <w:color w:val="1A1A1A"/>
          <w:sz w:val="21"/>
        </w:rPr>
        <w:t>Sofar Ocean</w:t>
      </w:r>
    </w:p>
    <w:p>
      <w:pPr>
        <w:spacing w:after="80"/>
      </w:pPr>
      <w:r>
        <w:rPr>
          <w:rFonts w:ascii="Calibri" w:hAnsi="Calibri"/>
          <w:b/>
          <w:color w:val="1A1A1A"/>
          <w:sz w:val="20"/>
        </w:rPr>
        <w:t>Created by:</w:t>
      </w:r>
    </w:p>
    <w:p>
      <w:pPr>
        <w:spacing w:after="0"/>
      </w:pPr>
      <w:r>
        <w:rPr>
          <w:rFonts w:ascii="Calibri" w:hAnsi="Calibri"/>
          <w:color w:val="1A1A1A"/>
          <w:sz w:val="21"/>
        </w:rPr>
        <w:t>Yannick Lorenz</w:t>
      </w:r>
    </w:p>
    <w:p>
      <w:pPr>
        <w:spacing w:after="320"/>
      </w:pPr>
      <w:r>
        <w:rPr>
          <w:rFonts w:ascii="Calibri" w:hAnsi="Calibri"/>
          <w:color w:val="1A1A1A"/>
          <w:sz w:val="21"/>
        </w:rPr>
        <w:t>Shadow Digital</w:t>
      </w:r>
    </w:p>
    <w:p>
      <w:r>
        <w:br w:type="page"/>
      </w:r>
    </w:p>
    <w:p>
      <w:pPr>
        <w:spacing w:before="480" w:after="240"/>
      </w:pPr>
      <w:r>
        <w:rPr>
          <w:rFonts w:ascii="Calibri" w:hAnsi="Calibri"/>
          <w:b/>
          <w:color w:val="E8422F"/>
          <w:sz w:val="44"/>
        </w:rPr>
        <w:t xml:space="preserve">1. </w:t>
      </w:r>
      <w:r>
        <w:rPr>
          <w:rFonts w:ascii="Calibri" w:hAnsi="Calibri"/>
          <w:b/>
          <w:color w:val="2D2D2D"/>
          <w:sz w:val="44"/>
        </w:rPr>
        <w:t>The Opportunity</w:t>
      </w:r>
    </w:p>
    <w:p>
      <w:pPr>
        <w:spacing w:after="160" w:line="312" w:lineRule="auto"/>
      </w:pPr>
      <w:r>
        <w:rPr>
          <w:rFonts w:ascii="Calibri" w:hAnsi="Calibri"/>
          <w:color w:val="1A1A1A"/>
          <w:sz w:val="21"/>
        </w:rPr>
        <w:t>Sofar Ocean has built something extraordinary — the world’s largest real-time ocean sensor network, powering decisions across maritime shipping, climate science, defense, and coastal resilience. Spotter buoys floating in every ocean. Wayfinder routing ships around weather. Forecasting models that outperform legacy providers. The technology speaks for itself.</w:t>
      </w:r>
    </w:p>
    <w:p>
      <w:pPr>
        <w:spacing w:after="160" w:line="312" w:lineRule="auto"/>
      </w:pPr>
      <w:r>
        <w:rPr>
          <w:rFonts w:ascii="Calibri" w:hAnsi="Calibri"/>
          <w:b/>
          <w:color w:val="1A1A1A"/>
          <w:sz w:val="21"/>
        </w:rPr>
        <w:t>The website doesn’t.</w:t>
      </w:r>
      <w:r>
        <w:rPr>
          <w:rFonts w:ascii="Calibri" w:hAnsi="Calibri"/>
          <w:color w:val="1A1A1A"/>
          <w:sz w:val="21"/>
        </w:rPr>
      </w:r>
    </w:p>
    <w:p>
      <w:pPr>
        <w:spacing w:after="160" w:line="312" w:lineRule="auto"/>
      </w:pPr>
      <w:r>
        <w:rPr>
          <w:rFonts w:ascii="Calibri" w:hAnsi="Calibri"/>
          <w:color w:val="1A1A1A"/>
          <w:sz w:val="21"/>
        </w:rPr>
        <w:t>What you have today is what your team calls a “lasagna” — layers of additions built over years without a unifying architecture, component system, or content strategy. Every page was built from scratch. Changes in one section break things in another. The marketing team is afraid to touch it. And when a prospect lands on sofarocean.com after a conference conversation or a Wayfinder demo, they’re met with a site that doesn’t reflect the sophistication of the product behind it.</w:t>
      </w:r>
    </w:p>
    <w:p>
      <w:pPr>
        <w:spacing w:after="160" w:line="312" w:lineRule="auto"/>
      </w:pPr>
      <w:r>
        <w:rPr>
          <w:rFonts w:ascii="Calibri" w:hAnsi="Calibri"/>
          <w:color w:val="1A1A1A"/>
          <w:sz w:val="21"/>
        </w:rPr>
        <w:t>This matters more now than it did a year ago. Sofar’s audience has split into two distinct segments — digitally native buyers who expect a modern, conversion-driven experience, and traditional maritime operators who need a clear, credible overview they can share with their fleet management teams. The current site serves neither well. There’s no solutions-based navigation, no persona-specific entry points, and no way for Rosy or Michelle to create targeted content without rebuilding pages from scratch.</w:t>
      </w:r>
    </w:p>
    <w:p>
      <w:pPr>
        <w:spacing w:after="160" w:line="312" w:lineRule="auto"/>
      </w:pPr>
      <w:r>
        <w:rPr>
          <w:rFonts w:ascii="Calibri" w:hAnsi="Calibri"/>
          <w:color w:val="1A1A1A"/>
          <w:sz w:val="21"/>
        </w:rPr>
        <w:t>Meanwhile, the team has grown. Rosy, Michelle, and Maggie are the first dedicated marketing and design hires focused on the website — but they’ve inherited a platform with no documentation, no component library, and no templates. The tools don’t match the talent.</w:t>
      </w:r>
    </w:p>
    <w:p>
      <w:pPr>
        <w:spacing w:after="160" w:line="312" w:lineRule="auto"/>
      </w:pPr>
      <w:r>
        <w:rPr>
          <w:rFonts w:ascii="Calibri" w:hAnsi="Calibri"/>
          <w:color w:val="1A1A1A"/>
          <w:sz w:val="21"/>
        </w:rPr>
        <w:t>The opportunity: a clean-slate rebuild that gives Sofar a site architecture worthy of the technology it represents — solutions-based navigation, motion-heavy design that evokes the ocean, a component library the team can actually use, and a CMS structure that scales with 200+ pieces of existing content and everything that comes next.</w:t>
      </w:r>
    </w:p>
    <w:p>
      <w:pPr>
        <w:spacing w:before="80" w:after="80"/>
        <w:pBdr>
          <w:bottom w:val="single" w:sz="6" w:space="1" w:color="E8422F"/>
        </w:pBdr>
      </w:pPr>
    </w:p>
    <w:p>
      <w:pPr>
        <w:spacing w:before="40" w:after="40"/>
      </w:pPr>
    </w:p>
    <w:p>
      <w:pPr>
        <w:spacing w:before="480" w:after="240"/>
      </w:pPr>
      <w:r>
        <w:rPr>
          <w:rFonts w:ascii="Calibri" w:hAnsi="Calibri"/>
          <w:b/>
          <w:color w:val="E8422F"/>
          <w:sz w:val="44"/>
        </w:rPr>
        <w:t xml:space="preserve">2. </w:t>
      </w:r>
      <w:r>
        <w:rPr>
          <w:rFonts w:ascii="Calibri" w:hAnsi="Calibri"/>
          <w:b/>
          <w:color w:val="2D2D2D"/>
          <w:sz w:val="44"/>
        </w:rPr>
        <w:t>Expected Outcomes</w:t>
      </w:r>
    </w:p>
    <w:p>
      <w:pPr>
        <w:pStyle w:val="ListBullet"/>
        <w:spacing w:after="80" w:line="312" w:lineRule="auto"/>
      </w:pPr>
      <w:r>
        <w:rPr>
          <w:rFonts w:ascii="Calibri" w:hAnsi="Calibri"/>
          <w:b/>
          <w:color w:val="1A1A1A"/>
          <w:sz w:val="21"/>
        </w:rPr>
        <w:t>Solutions-based navigation that sells</w:t>
      </w:r>
      <w:r>
        <w:rPr>
          <w:rFonts w:ascii="Calibri" w:hAnsi="Calibri"/>
          <w:color w:val="1A1A1A"/>
          <w:sz w:val="21"/>
        </w:rPr>
        <w:t xml:space="preserve"> — Visitors will find what they need through the lens of what Sofar solves (voyage intelligence, ocean sensing, weather forecasting, defense) — not through a product catalog. Each solution area will have its own entry point, use cases, and conversion path.</w:t>
      </w:r>
    </w:p>
    <w:p>
      <w:pPr>
        <w:pStyle w:val="ListBullet"/>
        <w:spacing w:after="80" w:line="312" w:lineRule="auto"/>
      </w:pPr>
      <w:r>
        <w:rPr>
          <w:rFonts w:ascii="Calibri" w:hAnsi="Calibri"/>
          <w:b/>
          <w:color w:val="1A1A1A"/>
          <w:sz w:val="21"/>
        </w:rPr>
        <w:t>Two audiences, one site</w:t>
      </w:r>
      <w:r>
        <w:rPr>
          <w:rFonts w:ascii="Calibri" w:hAnsi="Calibri"/>
          <w:color w:val="1A1A1A"/>
          <w:sz w:val="21"/>
        </w:rPr>
        <w:t xml:space="preserve"> — Digitally native buyers get the interactive, conversion-optimized experience they expect. Traditional maritime operators get the clean, authoritative overview they need to share internally. Both audiences self-select within seconds of landing.</w:t>
      </w:r>
    </w:p>
    <w:p>
      <w:pPr>
        <w:pStyle w:val="ListBullet"/>
        <w:spacing w:after="80" w:line="312" w:lineRule="auto"/>
      </w:pPr>
      <w:r>
        <w:rPr>
          <w:rFonts w:ascii="Calibri" w:hAnsi="Calibri"/>
          <w:b/>
          <w:color w:val="1A1A1A"/>
          <w:sz w:val="21"/>
        </w:rPr>
        <w:t>A site that moves like the ocean</w:t>
      </w:r>
      <w:r>
        <w:rPr>
          <w:rFonts w:ascii="Calibri" w:hAnsi="Calibri"/>
          <w:color w:val="1A1A1A"/>
          <w:sz w:val="21"/>
        </w:rPr>
        <w:t xml:space="preserve"> — Parallax scrolling, native Webflow animations, and motion design throughout — not as decoration, but as a storytelling device that reinforces Sofar’s identity. The site will feel alive in a way that matches the real-time data flowing through your sensor network.</w:t>
      </w:r>
    </w:p>
    <w:p>
      <w:pPr>
        <w:pStyle w:val="ListBullet"/>
        <w:spacing w:after="80" w:line="312" w:lineRule="auto"/>
      </w:pPr>
      <w:r>
        <w:rPr>
          <w:rFonts w:ascii="Calibri" w:hAnsi="Calibri"/>
          <w:b/>
          <w:color w:val="1A1A1A"/>
          <w:sz w:val="21"/>
        </w:rPr>
        <w:t>Marketing team independence</w:t>
      </w:r>
      <w:r>
        <w:rPr>
          <w:rFonts w:ascii="Calibri" w:hAnsi="Calibri"/>
          <w:color w:val="1A1A1A"/>
          <w:sz w:val="21"/>
        </w:rPr>
        <w:t xml:space="preserve"> — Rosy, Michelle, and Maggie will be able to create, edit, and launch pages using a documented component library and pre-built templates — without rebuilding from scratch every time. What currently requires starting from zero will be drag-and-drop.</w:t>
      </w:r>
    </w:p>
    <w:p>
      <w:pPr>
        <w:pStyle w:val="ListBullet"/>
        <w:spacing w:after="80" w:line="312" w:lineRule="auto"/>
      </w:pPr>
      <w:r>
        <w:rPr>
          <w:rFonts w:ascii="Calibri" w:hAnsi="Calibri"/>
          <w:b/>
          <w:color w:val="1A1A1A"/>
          <w:sz w:val="21"/>
        </w:rPr>
        <w:t>A scalable content engine</w:t>
      </w:r>
      <w:r>
        <w:rPr>
          <w:rFonts w:ascii="Calibri" w:hAnsi="Calibri"/>
          <w:color w:val="1A1A1A"/>
          <w:sz w:val="21"/>
        </w:rPr>
        <w:t xml:space="preserve"> — 200+ blog posts, research papers, case studies, and event listings migrated into a structured CMS with proper taxonomy, filtering, and templates. New content types can be added without developer involvement.</w:t>
      </w:r>
    </w:p>
    <w:p>
      <w:pPr>
        <w:pStyle w:val="ListBullet"/>
        <w:spacing w:after="80" w:line="312" w:lineRule="auto"/>
      </w:pPr>
      <w:r>
        <w:rPr>
          <w:rFonts w:ascii="Calibri" w:hAnsi="Calibri"/>
          <w:b/>
          <w:color w:val="1A1A1A"/>
          <w:sz w:val="21"/>
        </w:rPr>
        <w:t>Clean architecture, zero tech debt</w:t>
      </w:r>
      <w:r>
        <w:rPr>
          <w:rFonts w:ascii="Calibri" w:hAnsi="Calibri"/>
          <w:color w:val="1A1A1A"/>
          <w:sz w:val="21"/>
        </w:rPr>
        <w:t xml:space="preserve"> — Every component named, documented, and reusable. No more “lasagna” — a system where changes in one place don’t break things elsewhere. The team won’t be afraid to touch the site anymore.</w:t>
      </w:r>
    </w:p>
    <w:p>
      <w:pPr>
        <w:pStyle w:val="ListBullet"/>
        <w:spacing w:after="80" w:line="312" w:lineRule="auto"/>
      </w:pPr>
      <w:r>
        <w:rPr>
          <w:rFonts w:ascii="Calibri" w:hAnsi="Calibri"/>
          <w:b/>
          <w:color w:val="1A1A1A"/>
          <w:sz w:val="21"/>
        </w:rPr>
        <w:t>SEO foundation from day one</w:t>
      </w:r>
      <w:r>
        <w:rPr>
          <w:rFonts w:ascii="Calibri" w:hAnsi="Calibri"/>
          <w:color w:val="1A1A1A"/>
          <w:sz w:val="21"/>
        </w:rPr>
        <w:t xml:space="preserve"> — Technical SEO, on-page optimization, redirect mapping, and schema markup implemented during the build — not bolted on afterward. The organic equity you’ve built over years gets preserved and strengthened.</w:t>
      </w:r>
    </w:p>
    <w:p>
      <w:pPr>
        <w:spacing w:before="80" w:after="80"/>
        <w:pBdr>
          <w:bottom w:val="single" w:sz="6" w:space="1" w:color="E8422F"/>
        </w:pBdr>
      </w:pPr>
    </w:p>
    <w:p>
      <w:pPr>
        <w:spacing w:before="40" w:after="40"/>
      </w:pPr>
    </w:p>
    <w:p>
      <w:r>
        <w:br w:type="page"/>
      </w:r>
    </w:p>
    <w:p>
      <w:pPr>
        <w:spacing w:before="480" w:after="240"/>
      </w:pPr>
      <w:r>
        <w:rPr>
          <w:rFonts w:ascii="Calibri" w:hAnsi="Calibri"/>
          <w:b/>
          <w:color w:val="E8422F"/>
          <w:sz w:val="44"/>
        </w:rPr>
        <w:t xml:space="preserve">3. </w:t>
      </w:r>
      <w:r>
        <w:rPr>
          <w:rFonts w:ascii="Calibri" w:hAnsi="Calibri"/>
          <w:b/>
          <w:color w:val="2D2D2D"/>
          <w:sz w:val="44"/>
        </w:rPr>
        <w:t>Our Approach</w:t>
      </w:r>
    </w:p>
    <w:p>
      <w:pPr>
        <w:spacing w:after="160" w:line="312" w:lineRule="auto"/>
      </w:pPr>
      <w:r>
        <w:rPr>
          <w:rFonts w:ascii="Calibri" w:hAnsi="Calibri"/>
          <w:color w:val="1A1A1A"/>
          <w:sz w:val="21"/>
        </w:rPr>
        <w:t>We work in sprint-based cycles — each sprint delivers tangible progress, each major phase requires your sign-off before we move forward. Nothing gets built that your team hasn’t reviewed, and nothing gets approved that doesn’t map back to your business goals.</w:t>
      </w:r>
    </w:p>
    <w:p>
      <w:pPr>
        <w:spacing w:after="160" w:line="312" w:lineRule="auto"/>
      </w:pPr>
      <w:r>
        <w:rPr>
          <w:rFonts w:ascii="Calibri" w:hAnsi="Calibri"/>
          <w:b/>
          <w:color w:val="1A1A1A"/>
          <w:sz w:val="21"/>
        </w:rPr>
        <w:t>Design handoff model (Dev Only):</w:t>
      </w:r>
      <w:r>
        <w:rPr>
          <w:rFonts w:ascii="Calibri" w:hAnsi="Calibri"/>
          <w:color w:val="1A1A1A"/>
          <w:sz w:val="21"/>
        </w:rPr>
        <w:t xml:space="preserve"> Maggie delivers Figma designs sprint-by-sprint, and our team translates them into production Webflow — with a design consultant embedded in the first two weeks to ensure every design decision is Webflow-feasible before a single pixel gets built. This keeps the creative vision in-house while our team handles the technical execution.</w:t>
      </w:r>
    </w:p>
    <w:p>
      <w:pPr>
        <w:spacing w:after="160" w:line="312" w:lineRule="auto"/>
      </w:pPr>
      <w:r>
        <w:rPr>
          <w:rFonts w:ascii="Calibri" w:hAnsi="Calibri"/>
          <w:b/>
          <w:color w:val="1A1A1A"/>
          <w:sz w:val="21"/>
        </w:rPr>
        <w:t>Full service model:</w:t>
      </w:r>
      <w:r>
        <w:rPr>
          <w:rFonts w:ascii="Calibri" w:hAnsi="Calibri"/>
          <w:color w:val="1A1A1A"/>
          <w:sz w:val="21"/>
        </w:rPr>
        <w:t xml:space="preserve"> We handle everything — discovery, information architecture, UX wireframes, UI design, motion direction, and development. Your team reviews at structured gates throughout, and Maggie stays involved as a design collaborator rather than the sole design owner.</w:t>
      </w:r>
    </w:p>
    <w:p>
      <w:pPr>
        <w:spacing w:after="160" w:line="312" w:lineRule="auto"/>
      </w:pPr>
      <w:r>
        <w:rPr>
          <w:rFonts w:ascii="Calibri" w:hAnsi="Calibri"/>
          <w:color w:val="1A1A1A"/>
          <w:sz w:val="21"/>
        </w:rPr>
      </w:r>
      <w:r>
        <w:rPr>
          <w:rFonts w:ascii="Calibri" w:hAnsi="Calibri"/>
          <w:b/>
          <w:color w:val="1A1A1A"/>
          <w:sz w:val="21"/>
        </w:rPr>
        <w:t>Regardless of path, every engagement includes:</w:t>
      </w:r>
      <w:r>
        <w:rPr>
          <w:rFonts w:ascii="Calibri" w:hAnsi="Calibri"/>
          <w:color w:val="1A1A1A"/>
          <w:sz w:val="21"/>
        </w:rPr>
      </w:r>
    </w:p>
    <w:p>
      <w:pPr>
        <w:spacing w:after="160" w:line="312" w:lineRule="auto"/>
      </w:pPr>
      <w:r>
        <w:rPr>
          <w:rFonts w:ascii="Calibri" w:hAnsi="Calibri"/>
          <w:b/>
          <w:color w:val="1A1A1A"/>
          <w:sz w:val="21"/>
        </w:rPr>
        <w:t>Phase 1 — Foundation</w:t>
      </w:r>
      <w:r>
        <w:rPr>
          <w:rFonts w:ascii="Calibri" w:hAnsi="Calibri"/>
          <w:color w:val="1A1A1A"/>
          <w:sz w:val="21"/>
        </w:rPr>
        <w:t xml:space="preserve"> — We align on the solutions-based sitemap, lock in the component architecture, and run an SEO audit so we’re building on solid ground. In the dev-only path, this is where our design consultant reviews Maggie’s approach and flags anything that won’t translate cleanly to Webflow.</w:t>
      </w:r>
    </w:p>
    <w:p>
      <w:pPr>
        <w:spacing w:after="160" w:line="312" w:lineRule="auto"/>
      </w:pPr>
      <w:r>
        <w:rPr>
          <w:rFonts w:ascii="Calibri" w:hAnsi="Calibri"/>
          <w:b/>
          <w:color w:val="1A1A1A"/>
          <w:sz w:val="21"/>
        </w:rPr>
        <w:t>Phase 2 — Build</w:t>
      </w:r>
      <w:r>
        <w:rPr>
          <w:rFonts w:ascii="Calibri" w:hAnsi="Calibri"/>
          <w:color w:val="1A1A1A"/>
          <w:sz w:val="21"/>
        </w:rPr>
        <w:t xml:space="preserve"> — Core pages come to life in a staging environment. The component library gets built alongside the pages, so your team has reusable building blocks from day one. Motion and interaction design are woven into the build — not added as an afterthought.</w:t>
      </w:r>
    </w:p>
    <w:p>
      <w:pPr>
        <w:spacing w:after="160" w:line="312" w:lineRule="auto"/>
      </w:pPr>
      <w:r>
        <w:rPr>
          <w:rFonts w:ascii="Calibri" w:hAnsi="Calibri"/>
          <w:b/>
          <w:color w:val="1A1A1A"/>
          <w:sz w:val="21"/>
        </w:rPr>
        <w:t>Phase 3 — Content &amp; Migration</w:t>
      </w:r>
      <w:r>
        <w:rPr>
          <w:rFonts w:ascii="Calibri" w:hAnsi="Calibri"/>
          <w:color w:val="1A1A1A"/>
          <w:sz w:val="21"/>
        </w:rPr>
        <w:t xml:space="preserve"> — 200+ pieces of content migrated to the new CMS structure with proper taxonomy, filtering, and templates. Blog posts, research papers, case studies, and event listings all get structured homes. Redirect mapping ensures nothing gets lost.</w:t>
      </w:r>
    </w:p>
    <w:p>
      <w:pPr>
        <w:spacing w:after="160" w:line="312" w:lineRule="auto"/>
      </w:pPr>
      <w:r>
        <w:rPr>
          <w:rFonts w:ascii="Calibri" w:hAnsi="Calibri"/>
          <w:b/>
          <w:color w:val="1A1A1A"/>
          <w:sz w:val="21"/>
        </w:rPr>
        <w:t>Phase 4 — Launch &amp; Enable</w:t>
      </w:r>
      <w:r>
        <w:rPr>
          <w:rFonts w:ascii="Calibri" w:hAnsi="Calibri"/>
          <w:color w:val="1A1A1A"/>
          <w:sz w:val="21"/>
        </w:rPr>
        <w:t xml:space="preserve"> — Full QA across browsers and devices, SEO validation, and then a comprehensive handoff — documentation, component walkthrough, and hands-on training so the team is self-sufficient from day one.</w:t>
      </w:r>
    </w:p>
    <w:p>
      <w:pPr>
        <w:spacing w:after="160" w:line="312" w:lineRule="auto"/>
      </w:pPr>
      <w:r>
        <w:rPr>
          <w:rFonts w:ascii="Calibri" w:hAnsi="Calibri"/>
          <w:color w:val="1A1A1A"/>
          <w:sz w:val="21"/>
        </w:rPr>
        <w:t>We’ll need your team engaged at key review points — typically once per sprint. Between reviews, we execute. You don’t need to manage us.</w:t>
      </w:r>
    </w:p>
    <w:p>
      <w:pPr>
        <w:spacing w:before="80" w:after="80"/>
        <w:pBdr>
          <w:bottom w:val="single" w:sz="6" w:space="1" w:color="E8422F"/>
        </w:pBdr>
      </w:pPr>
    </w:p>
    <w:p>
      <w:pPr>
        <w:spacing w:before="40" w:after="40"/>
      </w:pPr>
    </w:p>
    <w:p>
      <w:pPr>
        <w:spacing w:before="480" w:after="240"/>
      </w:pPr>
      <w:r>
        <w:rPr>
          <w:rFonts w:ascii="Calibri" w:hAnsi="Calibri"/>
          <w:b/>
          <w:color w:val="E8422F"/>
          <w:sz w:val="44"/>
        </w:rPr>
        <w:t xml:space="preserve">4. </w:t>
      </w:r>
      <w:r>
        <w:rPr>
          <w:rFonts w:ascii="Calibri" w:hAnsi="Calibri"/>
          <w:b/>
          <w:color w:val="2D2D2D"/>
          <w:sz w:val="44"/>
        </w:rPr>
        <w:t>Timeline</w:t>
      </w:r>
    </w:p>
    <w:p>
      <w:pPr>
        <w:spacing w:before="320" w:after="120"/>
      </w:pPr>
      <w:r>
        <w:rPr>
          <w:rFonts w:ascii="Calibri" w:hAnsi="Calibri"/>
          <w:b/>
          <w:color w:val="2D2D2D"/>
          <w:sz w:val="26"/>
        </w:rPr>
        <w:t>Option A — Dev Only: ~14 weeks (12 build + 2 support)</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E8E8E8"/>
          <w:insideV w:val="none" w:sz="0" w:space="0" w:color="auto"/>
        </w:tblBorders>
      </w:tblPr>
      <w:tblGrid>
        <w:gridCol w:w="3135"/>
        <w:gridCol w:w="3135"/>
        <w:gridCol w:w="3135"/>
      </w:tblGrid>
      <w:tr>
        <w:tc>
          <w:tcPr>
            <w:tcW w:type="dxa" w:w="3168"/>
            <w:shd w:fill="2D2D2D" w:val="clear"/>
            <w:tcMar>
              <w:top w:w="80" w:type="dxa"/>
              <w:left w:w="120" w:type="dxa"/>
              <w:bottom w:w="80" w:type="dxa"/>
              <w:right w:w="120" w:type="dxa"/>
            </w:tcMar>
          </w:tcPr>
          <w:p>
            <w:pPr>
              <w:jc w:val="left"/>
            </w:pPr>
            <w:r>
              <w:rPr>
                <w:rFonts w:ascii="Calibri" w:hAnsi="Calibri"/>
                <w:b/>
                <w:color w:val="FFFFFF"/>
                <w:sz w:val="19"/>
              </w:rPr>
              <w:t>Milestone</w:t>
            </w:r>
          </w:p>
        </w:tc>
        <w:tc>
          <w:tcPr>
            <w:tcW w:type="dxa" w:w="1728"/>
            <w:shd w:fill="2D2D2D" w:val="clear"/>
            <w:tcMar>
              <w:top w:w="80" w:type="dxa"/>
              <w:left w:w="120" w:type="dxa"/>
              <w:bottom w:w="80" w:type="dxa"/>
              <w:right w:w="120" w:type="dxa"/>
            </w:tcMar>
          </w:tcPr>
          <w:p>
            <w:pPr>
              <w:jc w:val="left"/>
            </w:pPr>
            <w:r>
              <w:rPr>
                <w:rFonts w:ascii="Calibri" w:hAnsi="Calibri"/>
                <w:b/>
                <w:color w:val="FFFFFF"/>
                <w:sz w:val="19"/>
              </w:rPr>
              <w:t>Timing</w:t>
            </w:r>
          </w:p>
        </w:tc>
        <w:tc>
          <w:tcPr>
            <w:tcW w:type="dxa" w:w="5184"/>
            <w:shd w:fill="2D2D2D" w:val="clear"/>
            <w:tcMar>
              <w:top w:w="80" w:type="dxa"/>
              <w:left w:w="120" w:type="dxa"/>
              <w:bottom w:w="80" w:type="dxa"/>
              <w:right w:w="120" w:type="dxa"/>
            </w:tcMar>
          </w:tcPr>
          <w:p>
            <w:pPr>
              <w:jc w:val="left"/>
            </w:pPr>
            <w:r>
              <w:rPr>
                <w:rFonts w:ascii="Calibri" w:hAnsi="Calibri"/>
                <w:b/>
                <w:color w:val="FFFFFF"/>
                <w:sz w:val="19"/>
              </w:rPr>
              <w:t>What You’ll See</w:t>
            </w:r>
          </w:p>
        </w:tc>
      </w:tr>
      <w:tr>
        <w:tc>
          <w:tcPr>
            <w:tcW w:type="dxa" w:w="3168"/>
            <w:tcMar>
              <w:top w:w="60" w:type="dxa"/>
              <w:left w:w="120" w:type="dxa"/>
              <w:bottom w:w="60" w:type="dxa"/>
              <w:right w:w="120" w:type="dxa"/>
            </w:tcMar>
          </w:tcPr>
          <w:p>
            <w:pPr>
              <w:jc w:val="left"/>
            </w:pPr>
            <w:r>
              <w:rPr>
                <w:rFonts w:ascii="Calibri" w:hAnsi="Calibri"/>
                <w:color w:val="1A1A1A"/>
                <w:sz w:val="19"/>
              </w:rPr>
              <w:t>Project Setup &amp; Design Consulting</w:t>
            </w:r>
          </w:p>
        </w:tc>
        <w:tc>
          <w:tcPr>
            <w:tcW w:type="dxa" w:w="1728"/>
            <w:tcMar>
              <w:top w:w="60" w:type="dxa"/>
              <w:left w:w="120" w:type="dxa"/>
              <w:bottom w:w="60" w:type="dxa"/>
              <w:right w:w="120" w:type="dxa"/>
            </w:tcMar>
          </w:tcPr>
          <w:p>
            <w:pPr>
              <w:jc w:val="left"/>
            </w:pPr>
            <w:r>
              <w:rPr>
                <w:rFonts w:ascii="Calibri" w:hAnsi="Calibri"/>
                <w:color w:val="1A1A1A"/>
                <w:sz w:val="19"/>
              </w:rPr>
              <w:t>Weeks 1–2</w:t>
            </w:r>
          </w:p>
        </w:tc>
        <w:tc>
          <w:tcPr>
            <w:tcW w:type="dxa" w:w="5184"/>
            <w:tcMar>
              <w:top w:w="60" w:type="dxa"/>
              <w:left w:w="120" w:type="dxa"/>
              <w:bottom w:w="60" w:type="dxa"/>
              <w:right w:w="120" w:type="dxa"/>
            </w:tcMar>
          </w:tcPr>
          <w:p>
            <w:pPr>
              <w:jc w:val="left"/>
            </w:pPr>
            <w:r>
              <w:rPr>
                <w:rFonts w:ascii="Calibri" w:hAnsi="Calibri"/>
                <w:color w:val="1A1A1A"/>
                <w:sz w:val="19"/>
              </w:rPr>
              <w:t>SEO audit complete, design feasibility review, component architecture locked</w:t>
            </w:r>
          </w:p>
        </w:tc>
      </w:tr>
      <w:tr>
        <w:tc>
          <w:tcPr>
            <w:tcW w:type="dxa" w:w="3168"/>
            <w:shd w:fill="F7F7F7" w:val="clear"/>
            <w:tcMar>
              <w:top w:w="60" w:type="dxa"/>
              <w:left w:w="120" w:type="dxa"/>
              <w:bottom w:w="60" w:type="dxa"/>
              <w:right w:w="120" w:type="dxa"/>
            </w:tcMar>
          </w:tcPr>
          <w:p>
            <w:pPr>
              <w:jc w:val="left"/>
            </w:pPr>
            <w:r>
              <w:rPr>
                <w:rFonts w:ascii="Calibri" w:hAnsi="Calibri"/>
                <w:color w:val="1A1A1A"/>
                <w:sz w:val="19"/>
              </w:rPr>
              <w:t>Core Development Begins</w:t>
            </w:r>
          </w:p>
        </w:tc>
        <w:tc>
          <w:tcPr>
            <w:tcW w:type="dxa" w:w="1728"/>
            <w:shd w:fill="F7F7F7" w:val="clear"/>
            <w:tcMar>
              <w:top w:w="60" w:type="dxa"/>
              <w:left w:w="120" w:type="dxa"/>
              <w:bottom w:w="60" w:type="dxa"/>
              <w:right w:w="120" w:type="dxa"/>
            </w:tcMar>
          </w:tcPr>
          <w:p>
            <w:pPr>
              <w:jc w:val="left"/>
            </w:pPr>
            <w:r>
              <w:rPr>
                <w:rFonts w:ascii="Calibri" w:hAnsi="Calibri"/>
                <w:color w:val="1A1A1A"/>
                <w:sz w:val="19"/>
              </w:rPr>
              <w:t>Weeks 3–4</w:t>
            </w:r>
          </w:p>
        </w:tc>
        <w:tc>
          <w:tcPr>
            <w:tcW w:type="dxa" w:w="5184"/>
            <w:shd w:fill="F7F7F7" w:val="clear"/>
            <w:tcMar>
              <w:top w:w="60" w:type="dxa"/>
              <w:left w:w="120" w:type="dxa"/>
              <w:bottom w:w="60" w:type="dxa"/>
              <w:right w:w="120" w:type="dxa"/>
            </w:tcMar>
          </w:tcPr>
          <w:p>
            <w:pPr>
              <w:jc w:val="left"/>
            </w:pPr>
            <w:r>
              <w:rPr>
                <w:rFonts w:ascii="Calibri" w:hAnsi="Calibri"/>
                <w:color w:val="1A1A1A"/>
                <w:sz w:val="19"/>
              </w:rPr>
              <w:t>Homepage and priority pages in staging, motion/interaction work starts</w:t>
            </w:r>
          </w:p>
        </w:tc>
      </w:tr>
      <w:tr>
        <w:tc>
          <w:tcPr>
            <w:tcW w:type="dxa" w:w="3168"/>
            <w:tcMar>
              <w:top w:w="60" w:type="dxa"/>
              <w:left w:w="120" w:type="dxa"/>
              <w:bottom w:w="60" w:type="dxa"/>
              <w:right w:w="120" w:type="dxa"/>
            </w:tcMar>
          </w:tcPr>
          <w:p>
            <w:pPr>
              <w:jc w:val="left"/>
            </w:pPr>
            <w:r>
              <w:rPr>
                <w:rFonts w:ascii="Calibri" w:hAnsi="Calibri"/>
                <w:color w:val="1A1A1A"/>
                <w:sz w:val="19"/>
              </w:rPr>
              <w:t>Full Build Velocity</w:t>
            </w:r>
          </w:p>
        </w:tc>
        <w:tc>
          <w:tcPr>
            <w:tcW w:type="dxa" w:w="1728"/>
            <w:tcMar>
              <w:top w:w="60" w:type="dxa"/>
              <w:left w:w="120" w:type="dxa"/>
              <w:bottom w:w="60" w:type="dxa"/>
              <w:right w:w="120" w:type="dxa"/>
            </w:tcMar>
          </w:tcPr>
          <w:p>
            <w:pPr>
              <w:jc w:val="left"/>
            </w:pPr>
            <w:r>
              <w:rPr>
                <w:rFonts w:ascii="Calibri" w:hAnsi="Calibri"/>
                <w:color w:val="1A1A1A"/>
                <w:sz w:val="19"/>
              </w:rPr>
              <w:t>Weeks 5–8</w:t>
            </w:r>
          </w:p>
        </w:tc>
        <w:tc>
          <w:tcPr>
            <w:tcW w:type="dxa" w:w="5184"/>
            <w:tcMar>
              <w:top w:w="60" w:type="dxa"/>
              <w:left w:w="120" w:type="dxa"/>
              <w:bottom w:w="60" w:type="dxa"/>
              <w:right w:w="120" w:type="dxa"/>
            </w:tcMar>
          </w:tcPr>
          <w:p>
            <w:pPr>
              <w:jc w:val="left"/>
            </w:pPr>
            <w:r>
              <w:rPr>
                <w:rFonts w:ascii="Calibri" w:hAnsi="Calibri"/>
                <w:color w:val="1A1A1A"/>
                <w:sz w:val="19"/>
              </w:rPr>
              <w:t>All solution pages built, CMS populated, content migration underway</w:t>
            </w:r>
          </w:p>
        </w:tc>
      </w:tr>
      <w:tr>
        <w:tc>
          <w:tcPr>
            <w:tcW w:type="dxa" w:w="3168"/>
            <w:shd w:fill="F7F7F7" w:val="clear"/>
            <w:tcMar>
              <w:top w:w="60" w:type="dxa"/>
              <w:left w:w="120" w:type="dxa"/>
              <w:bottom w:w="60" w:type="dxa"/>
              <w:right w:w="120" w:type="dxa"/>
            </w:tcMar>
          </w:tcPr>
          <w:p>
            <w:pPr>
              <w:jc w:val="left"/>
            </w:pPr>
            <w:r>
              <w:rPr>
                <w:rFonts w:ascii="Calibri" w:hAnsi="Calibri"/>
                <w:color w:val="1A1A1A"/>
                <w:sz w:val="19"/>
              </w:rPr>
              <w:t>Content Migration &amp; SEO</w:t>
            </w:r>
          </w:p>
        </w:tc>
        <w:tc>
          <w:tcPr>
            <w:tcW w:type="dxa" w:w="1728"/>
            <w:shd w:fill="F7F7F7" w:val="clear"/>
            <w:tcMar>
              <w:top w:w="60" w:type="dxa"/>
              <w:left w:w="120" w:type="dxa"/>
              <w:bottom w:w="60" w:type="dxa"/>
              <w:right w:w="120" w:type="dxa"/>
            </w:tcMar>
          </w:tcPr>
          <w:p>
            <w:pPr>
              <w:jc w:val="left"/>
            </w:pPr>
            <w:r>
              <w:rPr>
                <w:rFonts w:ascii="Calibri" w:hAnsi="Calibri"/>
                <w:color w:val="1A1A1A"/>
                <w:sz w:val="19"/>
              </w:rPr>
              <w:t>Weeks 9–10</w:t>
            </w:r>
          </w:p>
        </w:tc>
        <w:tc>
          <w:tcPr>
            <w:tcW w:type="dxa" w:w="5184"/>
            <w:shd w:fill="F7F7F7" w:val="clear"/>
            <w:tcMar>
              <w:top w:w="60" w:type="dxa"/>
              <w:left w:w="120" w:type="dxa"/>
              <w:bottom w:w="60" w:type="dxa"/>
              <w:right w:w="120" w:type="dxa"/>
            </w:tcMar>
          </w:tcPr>
          <w:p>
            <w:pPr>
              <w:jc w:val="left"/>
            </w:pPr>
            <w:r>
              <w:rPr>
                <w:rFonts w:ascii="Calibri" w:hAnsi="Calibri"/>
                <w:color w:val="1A1A1A"/>
                <w:sz w:val="19"/>
              </w:rPr>
              <w:t>200+ posts migrated, redirects mapped, on-page SEO implemented</w:t>
            </w:r>
          </w:p>
        </w:tc>
      </w:tr>
      <w:tr>
        <w:tc>
          <w:tcPr>
            <w:tcW w:type="dxa" w:w="3168"/>
            <w:tcMar>
              <w:top w:w="60" w:type="dxa"/>
              <w:left w:w="120" w:type="dxa"/>
              <w:bottom w:w="60" w:type="dxa"/>
              <w:right w:w="120" w:type="dxa"/>
            </w:tcMar>
          </w:tcPr>
          <w:p>
            <w:pPr>
              <w:jc w:val="left"/>
            </w:pPr>
            <w:r>
              <w:rPr>
                <w:rFonts w:ascii="Calibri" w:hAnsi="Calibri"/>
                <w:color w:val="1A1A1A"/>
                <w:sz w:val="19"/>
              </w:rPr>
              <w:t>QA, Enablement &amp; Launch</w:t>
            </w:r>
          </w:p>
        </w:tc>
        <w:tc>
          <w:tcPr>
            <w:tcW w:type="dxa" w:w="1728"/>
            <w:tcMar>
              <w:top w:w="60" w:type="dxa"/>
              <w:left w:w="120" w:type="dxa"/>
              <w:bottom w:w="60" w:type="dxa"/>
              <w:right w:w="120" w:type="dxa"/>
            </w:tcMar>
          </w:tcPr>
          <w:p>
            <w:pPr>
              <w:jc w:val="left"/>
            </w:pPr>
            <w:r>
              <w:rPr>
                <w:rFonts w:ascii="Calibri" w:hAnsi="Calibri"/>
                <w:color w:val="1A1A1A"/>
                <w:sz w:val="19"/>
              </w:rPr>
              <w:t>Weeks 11–12</w:t>
            </w:r>
          </w:p>
        </w:tc>
        <w:tc>
          <w:tcPr>
            <w:tcW w:type="dxa" w:w="5184"/>
            <w:tcMar>
              <w:top w:w="60" w:type="dxa"/>
              <w:left w:w="120" w:type="dxa"/>
              <w:bottom w:w="60" w:type="dxa"/>
              <w:right w:w="120" w:type="dxa"/>
            </w:tcMar>
          </w:tcPr>
          <w:p>
            <w:pPr>
              <w:jc w:val="left"/>
            </w:pPr>
            <w:r>
              <w:rPr>
                <w:rFonts w:ascii="Calibri" w:hAnsi="Calibri"/>
                <w:color w:val="1A1A1A"/>
                <w:sz w:val="19"/>
              </w:rPr>
              <w:t>Full browser/device testing, team training, go-live</w:t>
            </w:r>
          </w:p>
        </w:tc>
      </w:tr>
      <w:tr>
        <w:tc>
          <w:tcPr>
            <w:tcW w:type="dxa" w:w="3168"/>
            <w:shd w:fill="F7F7F7" w:val="clear"/>
            <w:tcMar>
              <w:top w:w="60" w:type="dxa"/>
              <w:left w:w="120" w:type="dxa"/>
              <w:bottom w:w="60" w:type="dxa"/>
              <w:right w:w="120" w:type="dxa"/>
            </w:tcMar>
          </w:tcPr>
          <w:p>
            <w:pPr>
              <w:jc w:val="left"/>
            </w:pPr>
            <w:r>
              <w:rPr>
                <w:rFonts w:ascii="Calibri" w:hAnsi="Calibri"/>
                <w:color w:val="1A1A1A"/>
                <w:sz w:val="19"/>
              </w:rPr>
              <w:t>Post-Launch Support</w:t>
            </w:r>
          </w:p>
        </w:tc>
        <w:tc>
          <w:tcPr>
            <w:tcW w:type="dxa" w:w="1728"/>
            <w:shd w:fill="F7F7F7" w:val="clear"/>
            <w:tcMar>
              <w:top w:w="60" w:type="dxa"/>
              <w:left w:w="120" w:type="dxa"/>
              <w:bottom w:w="60" w:type="dxa"/>
              <w:right w:w="120" w:type="dxa"/>
            </w:tcMar>
          </w:tcPr>
          <w:p>
            <w:pPr>
              <w:jc w:val="left"/>
            </w:pPr>
            <w:r>
              <w:rPr>
                <w:rFonts w:ascii="Calibri" w:hAnsi="Calibri"/>
                <w:color w:val="1A1A1A"/>
                <w:sz w:val="19"/>
              </w:rPr>
              <w:t>Weeks 13–14</w:t>
            </w:r>
          </w:p>
        </w:tc>
        <w:tc>
          <w:tcPr>
            <w:tcW w:type="dxa" w:w="5184"/>
            <w:shd w:fill="F7F7F7" w:val="clear"/>
            <w:tcMar>
              <w:top w:w="60" w:type="dxa"/>
              <w:left w:w="120" w:type="dxa"/>
              <w:bottom w:w="60" w:type="dxa"/>
              <w:right w:w="120" w:type="dxa"/>
            </w:tcMar>
          </w:tcPr>
          <w:p>
            <w:pPr>
              <w:jc w:val="left"/>
            </w:pPr>
            <w:r>
              <w:rPr>
                <w:rFonts w:ascii="Calibri" w:hAnsi="Calibri"/>
                <w:color w:val="1A1A1A"/>
                <w:sz w:val="19"/>
              </w:rPr>
              <w:t>Bug fixes, content adjustments, transition support</w:t>
            </w:r>
          </w:p>
        </w:tc>
      </w:tr>
    </w:tbl>
    <w:p>
      <w:pPr>
        <w:spacing w:before="320" w:after="120"/>
      </w:pPr>
      <w:r>
        <w:rPr>
          <w:rFonts w:ascii="Calibri" w:hAnsi="Calibri"/>
          <w:b/>
          <w:color w:val="2D2D2D"/>
          <w:sz w:val="26"/>
        </w:rPr>
        <w:t>Option B — Full Service: ~20 weeks (18 build + 2 support)</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E8E8E8"/>
          <w:insideV w:val="none" w:sz="0" w:space="0" w:color="auto"/>
        </w:tblBorders>
      </w:tblPr>
      <w:tblGrid>
        <w:gridCol w:w="3135"/>
        <w:gridCol w:w="3135"/>
        <w:gridCol w:w="3135"/>
      </w:tblGrid>
      <w:tr>
        <w:tc>
          <w:tcPr>
            <w:tcW w:type="dxa" w:w="3168"/>
            <w:shd w:fill="2D2D2D" w:val="clear"/>
            <w:tcMar>
              <w:top w:w="80" w:type="dxa"/>
              <w:left w:w="120" w:type="dxa"/>
              <w:bottom w:w="80" w:type="dxa"/>
              <w:right w:w="120" w:type="dxa"/>
            </w:tcMar>
          </w:tcPr>
          <w:p>
            <w:pPr>
              <w:jc w:val="left"/>
            </w:pPr>
            <w:r>
              <w:rPr>
                <w:rFonts w:ascii="Calibri" w:hAnsi="Calibri"/>
                <w:b/>
                <w:color w:val="FFFFFF"/>
                <w:sz w:val="19"/>
              </w:rPr>
              <w:t>Milestone</w:t>
            </w:r>
          </w:p>
        </w:tc>
        <w:tc>
          <w:tcPr>
            <w:tcW w:type="dxa" w:w="1728"/>
            <w:shd w:fill="2D2D2D" w:val="clear"/>
            <w:tcMar>
              <w:top w:w="80" w:type="dxa"/>
              <w:left w:w="120" w:type="dxa"/>
              <w:bottom w:w="80" w:type="dxa"/>
              <w:right w:w="120" w:type="dxa"/>
            </w:tcMar>
          </w:tcPr>
          <w:p>
            <w:pPr>
              <w:jc w:val="left"/>
            </w:pPr>
            <w:r>
              <w:rPr>
                <w:rFonts w:ascii="Calibri" w:hAnsi="Calibri"/>
                <w:b/>
                <w:color w:val="FFFFFF"/>
                <w:sz w:val="19"/>
              </w:rPr>
              <w:t>Timing</w:t>
            </w:r>
          </w:p>
        </w:tc>
        <w:tc>
          <w:tcPr>
            <w:tcW w:type="dxa" w:w="5184"/>
            <w:shd w:fill="2D2D2D" w:val="clear"/>
            <w:tcMar>
              <w:top w:w="80" w:type="dxa"/>
              <w:left w:w="120" w:type="dxa"/>
              <w:bottom w:w="80" w:type="dxa"/>
              <w:right w:w="120" w:type="dxa"/>
            </w:tcMar>
          </w:tcPr>
          <w:p>
            <w:pPr>
              <w:jc w:val="left"/>
            </w:pPr>
            <w:r>
              <w:rPr>
                <w:rFonts w:ascii="Calibri" w:hAnsi="Calibri"/>
                <w:b/>
                <w:color w:val="FFFFFF"/>
                <w:sz w:val="19"/>
              </w:rPr>
              <w:t>What You’ll See</w:t>
            </w:r>
          </w:p>
        </w:tc>
      </w:tr>
      <w:tr>
        <w:tc>
          <w:tcPr>
            <w:tcW w:type="dxa" w:w="3168"/>
            <w:tcMar>
              <w:top w:w="60" w:type="dxa"/>
              <w:left w:w="120" w:type="dxa"/>
              <w:bottom w:w="60" w:type="dxa"/>
              <w:right w:w="120" w:type="dxa"/>
            </w:tcMar>
          </w:tcPr>
          <w:p>
            <w:pPr>
              <w:jc w:val="left"/>
            </w:pPr>
            <w:r>
              <w:rPr>
                <w:rFonts w:ascii="Calibri" w:hAnsi="Calibri"/>
                <w:color w:val="1A1A1A"/>
                <w:sz w:val="19"/>
              </w:rPr>
              <w:t>Discovery &amp; Information Architecture</w:t>
            </w:r>
          </w:p>
        </w:tc>
        <w:tc>
          <w:tcPr>
            <w:tcW w:type="dxa" w:w="1728"/>
            <w:tcMar>
              <w:top w:w="60" w:type="dxa"/>
              <w:left w:w="120" w:type="dxa"/>
              <w:bottom w:w="60" w:type="dxa"/>
              <w:right w:w="120" w:type="dxa"/>
            </w:tcMar>
          </w:tcPr>
          <w:p>
            <w:pPr>
              <w:jc w:val="left"/>
            </w:pPr>
            <w:r>
              <w:rPr>
                <w:rFonts w:ascii="Calibri" w:hAnsi="Calibri"/>
                <w:color w:val="1A1A1A"/>
                <w:sz w:val="19"/>
              </w:rPr>
              <w:t>Weeks 1–2</w:t>
            </w:r>
          </w:p>
        </w:tc>
        <w:tc>
          <w:tcPr>
            <w:tcW w:type="dxa" w:w="5184"/>
            <w:tcMar>
              <w:top w:w="60" w:type="dxa"/>
              <w:left w:w="120" w:type="dxa"/>
              <w:bottom w:w="60" w:type="dxa"/>
              <w:right w:w="120" w:type="dxa"/>
            </w:tcMar>
          </w:tcPr>
          <w:p>
            <w:pPr>
              <w:jc w:val="left"/>
            </w:pPr>
            <w:r>
              <w:rPr>
                <w:rFonts w:ascii="Calibri" w:hAnsi="Calibri"/>
                <w:color w:val="1A1A1A"/>
                <w:sz w:val="19"/>
              </w:rPr>
              <w:t>Solutions-based sitemap finalized, audience mapping complete</w:t>
            </w:r>
          </w:p>
        </w:tc>
      </w:tr>
      <w:tr>
        <w:tc>
          <w:tcPr>
            <w:tcW w:type="dxa" w:w="3168"/>
            <w:shd w:fill="F7F7F7" w:val="clear"/>
            <w:tcMar>
              <w:top w:w="60" w:type="dxa"/>
              <w:left w:w="120" w:type="dxa"/>
              <w:bottom w:w="60" w:type="dxa"/>
              <w:right w:w="120" w:type="dxa"/>
            </w:tcMar>
          </w:tcPr>
          <w:p>
            <w:pPr>
              <w:jc w:val="left"/>
            </w:pPr>
            <w:r>
              <w:rPr>
                <w:rFonts w:ascii="Calibri" w:hAnsi="Calibri"/>
                <w:color w:val="1A1A1A"/>
                <w:sz w:val="19"/>
              </w:rPr>
              <w:t>UX Wireframes</w:t>
            </w:r>
          </w:p>
        </w:tc>
        <w:tc>
          <w:tcPr>
            <w:tcW w:type="dxa" w:w="1728"/>
            <w:shd w:fill="F7F7F7" w:val="clear"/>
            <w:tcMar>
              <w:top w:w="60" w:type="dxa"/>
              <w:left w:w="120" w:type="dxa"/>
              <w:bottom w:w="60" w:type="dxa"/>
              <w:right w:w="120" w:type="dxa"/>
            </w:tcMar>
          </w:tcPr>
          <w:p>
            <w:pPr>
              <w:jc w:val="left"/>
            </w:pPr>
            <w:r>
              <w:rPr>
                <w:rFonts w:ascii="Calibri" w:hAnsi="Calibri"/>
                <w:color w:val="1A1A1A"/>
                <w:sz w:val="19"/>
              </w:rPr>
              <w:t>Weeks 3–4</w:t>
            </w:r>
          </w:p>
        </w:tc>
        <w:tc>
          <w:tcPr>
            <w:tcW w:type="dxa" w:w="5184"/>
            <w:shd w:fill="F7F7F7" w:val="clear"/>
            <w:tcMar>
              <w:top w:w="60" w:type="dxa"/>
              <w:left w:w="120" w:type="dxa"/>
              <w:bottom w:w="60" w:type="dxa"/>
              <w:right w:w="120" w:type="dxa"/>
            </w:tcMar>
          </w:tcPr>
          <w:p>
            <w:pPr>
              <w:jc w:val="left"/>
            </w:pPr>
            <w:r>
              <w:rPr>
                <w:rFonts w:ascii="Calibri" w:hAnsi="Calibri"/>
                <w:color w:val="1A1A1A"/>
                <w:sz w:val="19"/>
              </w:rPr>
              <w:t>Key page structures approved, design review</w:t>
            </w:r>
          </w:p>
        </w:tc>
      </w:tr>
      <w:tr>
        <w:tc>
          <w:tcPr>
            <w:tcW w:type="dxa" w:w="3168"/>
            <w:tcMar>
              <w:top w:w="60" w:type="dxa"/>
              <w:left w:w="120" w:type="dxa"/>
              <w:bottom w:w="60" w:type="dxa"/>
              <w:right w:w="120" w:type="dxa"/>
            </w:tcMar>
          </w:tcPr>
          <w:p>
            <w:pPr>
              <w:jc w:val="left"/>
            </w:pPr>
            <w:r>
              <w:rPr>
                <w:rFonts w:ascii="Calibri" w:hAnsi="Calibri"/>
                <w:color w:val="1A1A1A"/>
                <w:sz w:val="19"/>
              </w:rPr>
              <w:t>Visual Design &amp; Motion Direction</w:t>
            </w:r>
          </w:p>
        </w:tc>
        <w:tc>
          <w:tcPr>
            <w:tcW w:type="dxa" w:w="1728"/>
            <w:tcMar>
              <w:top w:w="60" w:type="dxa"/>
              <w:left w:w="120" w:type="dxa"/>
              <w:bottom w:w="60" w:type="dxa"/>
              <w:right w:w="120" w:type="dxa"/>
            </w:tcMar>
          </w:tcPr>
          <w:p>
            <w:pPr>
              <w:jc w:val="left"/>
            </w:pPr>
            <w:r>
              <w:rPr>
                <w:rFonts w:ascii="Calibri" w:hAnsi="Calibri"/>
                <w:color w:val="1A1A1A"/>
                <w:sz w:val="19"/>
              </w:rPr>
              <w:t>Weeks 5–8</w:t>
            </w:r>
          </w:p>
        </w:tc>
        <w:tc>
          <w:tcPr>
            <w:tcW w:type="dxa" w:w="5184"/>
            <w:tcMar>
              <w:top w:w="60" w:type="dxa"/>
              <w:left w:w="120" w:type="dxa"/>
              <w:bottom w:w="60" w:type="dxa"/>
              <w:right w:w="120" w:type="dxa"/>
            </w:tcMar>
          </w:tcPr>
          <w:p>
            <w:pPr>
              <w:jc w:val="left"/>
            </w:pPr>
            <w:r>
              <w:rPr>
                <w:rFonts w:ascii="Calibri" w:hAnsi="Calibri"/>
                <w:color w:val="1A1A1A"/>
                <w:sz w:val="19"/>
              </w:rPr>
              <w:t>Full UI design, motion concepts, design handoff to dev</w:t>
            </w:r>
          </w:p>
        </w:tc>
      </w:tr>
      <w:tr>
        <w:tc>
          <w:tcPr>
            <w:tcW w:type="dxa" w:w="3168"/>
            <w:shd w:fill="F7F7F7" w:val="clear"/>
            <w:tcMar>
              <w:top w:w="60" w:type="dxa"/>
              <w:left w:w="120" w:type="dxa"/>
              <w:bottom w:w="60" w:type="dxa"/>
              <w:right w:w="120" w:type="dxa"/>
            </w:tcMar>
          </w:tcPr>
          <w:p>
            <w:pPr>
              <w:jc w:val="left"/>
            </w:pPr>
            <w:r>
              <w:rPr>
                <w:rFonts w:ascii="Calibri" w:hAnsi="Calibri"/>
                <w:color w:val="1A1A1A"/>
                <w:sz w:val="19"/>
              </w:rPr>
              <w:t>Project Setup &amp; Core Dev</w:t>
            </w:r>
          </w:p>
        </w:tc>
        <w:tc>
          <w:tcPr>
            <w:tcW w:type="dxa" w:w="1728"/>
            <w:shd w:fill="F7F7F7" w:val="clear"/>
            <w:tcMar>
              <w:top w:w="60" w:type="dxa"/>
              <w:left w:w="120" w:type="dxa"/>
              <w:bottom w:w="60" w:type="dxa"/>
              <w:right w:w="120" w:type="dxa"/>
            </w:tcMar>
          </w:tcPr>
          <w:p>
            <w:pPr>
              <w:jc w:val="left"/>
            </w:pPr>
            <w:r>
              <w:rPr>
                <w:rFonts w:ascii="Calibri" w:hAnsi="Calibri"/>
                <w:color w:val="1A1A1A"/>
                <w:sz w:val="19"/>
              </w:rPr>
              <w:t>Weeks 9–10</w:t>
            </w:r>
          </w:p>
        </w:tc>
        <w:tc>
          <w:tcPr>
            <w:tcW w:type="dxa" w:w="5184"/>
            <w:shd w:fill="F7F7F7" w:val="clear"/>
            <w:tcMar>
              <w:top w:w="60" w:type="dxa"/>
              <w:left w:w="120" w:type="dxa"/>
              <w:bottom w:w="60" w:type="dxa"/>
              <w:right w:w="120" w:type="dxa"/>
            </w:tcMar>
          </w:tcPr>
          <w:p>
            <w:pPr>
              <w:jc w:val="left"/>
            </w:pPr>
            <w:r>
              <w:rPr>
                <w:rFonts w:ascii="Calibri" w:hAnsi="Calibri"/>
                <w:color w:val="1A1A1A"/>
                <w:sz w:val="19"/>
              </w:rPr>
              <w:t>SEO audit, homepage and priority pages in staging</w:t>
            </w:r>
          </w:p>
        </w:tc>
      </w:tr>
      <w:tr>
        <w:tc>
          <w:tcPr>
            <w:tcW w:type="dxa" w:w="3168"/>
            <w:tcMar>
              <w:top w:w="60" w:type="dxa"/>
              <w:left w:w="120" w:type="dxa"/>
              <w:bottom w:w="60" w:type="dxa"/>
              <w:right w:w="120" w:type="dxa"/>
            </w:tcMar>
          </w:tcPr>
          <w:p>
            <w:pPr>
              <w:jc w:val="left"/>
            </w:pPr>
            <w:r>
              <w:rPr>
                <w:rFonts w:ascii="Calibri" w:hAnsi="Calibri"/>
                <w:color w:val="1A1A1A"/>
                <w:sz w:val="19"/>
              </w:rPr>
              <w:t>Full Build Velocity</w:t>
            </w:r>
          </w:p>
        </w:tc>
        <w:tc>
          <w:tcPr>
            <w:tcW w:type="dxa" w:w="1728"/>
            <w:tcMar>
              <w:top w:w="60" w:type="dxa"/>
              <w:left w:w="120" w:type="dxa"/>
              <w:bottom w:w="60" w:type="dxa"/>
              <w:right w:w="120" w:type="dxa"/>
            </w:tcMar>
          </w:tcPr>
          <w:p>
            <w:pPr>
              <w:jc w:val="left"/>
            </w:pPr>
            <w:r>
              <w:rPr>
                <w:rFonts w:ascii="Calibri" w:hAnsi="Calibri"/>
                <w:color w:val="1A1A1A"/>
                <w:sz w:val="19"/>
              </w:rPr>
              <w:t>Weeks 11–14</w:t>
            </w:r>
          </w:p>
        </w:tc>
        <w:tc>
          <w:tcPr>
            <w:tcW w:type="dxa" w:w="5184"/>
            <w:tcMar>
              <w:top w:w="60" w:type="dxa"/>
              <w:left w:w="120" w:type="dxa"/>
              <w:bottom w:w="60" w:type="dxa"/>
              <w:right w:w="120" w:type="dxa"/>
            </w:tcMar>
          </w:tcPr>
          <w:p>
            <w:pPr>
              <w:jc w:val="left"/>
            </w:pPr>
            <w:r>
              <w:rPr>
                <w:rFonts w:ascii="Calibri" w:hAnsi="Calibri"/>
                <w:color w:val="1A1A1A"/>
                <w:sz w:val="19"/>
              </w:rPr>
              <w:t>All pages built, motion/interaction implemented, content migration</w:t>
            </w:r>
          </w:p>
        </w:tc>
      </w:tr>
      <w:tr>
        <w:tc>
          <w:tcPr>
            <w:tcW w:type="dxa" w:w="3168"/>
            <w:shd w:fill="F7F7F7" w:val="clear"/>
            <w:tcMar>
              <w:top w:w="60" w:type="dxa"/>
              <w:left w:w="120" w:type="dxa"/>
              <w:bottom w:w="60" w:type="dxa"/>
              <w:right w:w="120" w:type="dxa"/>
            </w:tcMar>
          </w:tcPr>
          <w:p>
            <w:pPr>
              <w:jc w:val="left"/>
            </w:pPr>
            <w:r>
              <w:rPr>
                <w:rFonts w:ascii="Calibri" w:hAnsi="Calibri"/>
                <w:color w:val="1A1A1A"/>
                <w:sz w:val="19"/>
              </w:rPr>
              <w:t>QA, Enablement &amp; Launch</w:t>
            </w:r>
          </w:p>
        </w:tc>
        <w:tc>
          <w:tcPr>
            <w:tcW w:type="dxa" w:w="1728"/>
            <w:shd w:fill="F7F7F7" w:val="clear"/>
            <w:tcMar>
              <w:top w:w="60" w:type="dxa"/>
              <w:left w:w="120" w:type="dxa"/>
              <w:bottom w:w="60" w:type="dxa"/>
              <w:right w:w="120" w:type="dxa"/>
            </w:tcMar>
          </w:tcPr>
          <w:p>
            <w:pPr>
              <w:jc w:val="left"/>
            </w:pPr>
            <w:r>
              <w:rPr>
                <w:rFonts w:ascii="Calibri" w:hAnsi="Calibri"/>
                <w:color w:val="1A1A1A"/>
                <w:sz w:val="19"/>
              </w:rPr>
              <w:t>Weeks 15–18</w:t>
            </w:r>
          </w:p>
        </w:tc>
        <w:tc>
          <w:tcPr>
            <w:tcW w:type="dxa" w:w="5184"/>
            <w:shd w:fill="F7F7F7" w:val="clear"/>
            <w:tcMar>
              <w:top w:w="60" w:type="dxa"/>
              <w:left w:w="120" w:type="dxa"/>
              <w:bottom w:w="60" w:type="dxa"/>
              <w:right w:w="120" w:type="dxa"/>
            </w:tcMar>
          </w:tcPr>
          <w:p>
            <w:pPr>
              <w:jc w:val="left"/>
            </w:pPr>
            <w:r>
              <w:rPr>
                <w:rFonts w:ascii="Calibri" w:hAnsi="Calibri"/>
                <w:color w:val="1A1A1A"/>
                <w:sz w:val="19"/>
              </w:rPr>
              <w:t>Full QA, SEO validation, team training, go-live</w:t>
            </w:r>
          </w:p>
        </w:tc>
      </w:tr>
      <w:tr>
        <w:tc>
          <w:tcPr>
            <w:tcW w:type="dxa" w:w="3168"/>
            <w:tcMar>
              <w:top w:w="60" w:type="dxa"/>
              <w:left w:w="120" w:type="dxa"/>
              <w:bottom w:w="60" w:type="dxa"/>
              <w:right w:w="120" w:type="dxa"/>
            </w:tcMar>
          </w:tcPr>
          <w:p>
            <w:pPr>
              <w:jc w:val="left"/>
            </w:pPr>
            <w:r>
              <w:rPr>
                <w:rFonts w:ascii="Calibri" w:hAnsi="Calibri"/>
                <w:color w:val="1A1A1A"/>
                <w:sz w:val="19"/>
              </w:rPr>
              <w:t>Post-Launch Support</w:t>
            </w:r>
          </w:p>
        </w:tc>
        <w:tc>
          <w:tcPr>
            <w:tcW w:type="dxa" w:w="1728"/>
            <w:tcMar>
              <w:top w:w="60" w:type="dxa"/>
              <w:left w:w="120" w:type="dxa"/>
              <w:bottom w:w="60" w:type="dxa"/>
              <w:right w:w="120" w:type="dxa"/>
            </w:tcMar>
          </w:tcPr>
          <w:p>
            <w:pPr>
              <w:jc w:val="left"/>
            </w:pPr>
            <w:r>
              <w:rPr>
                <w:rFonts w:ascii="Calibri" w:hAnsi="Calibri"/>
                <w:color w:val="1A1A1A"/>
                <w:sz w:val="19"/>
              </w:rPr>
              <w:t>Weeks 19–20</w:t>
            </w:r>
          </w:p>
        </w:tc>
        <w:tc>
          <w:tcPr>
            <w:tcW w:type="dxa" w:w="5184"/>
            <w:tcMar>
              <w:top w:w="60" w:type="dxa"/>
              <w:left w:w="120" w:type="dxa"/>
              <w:bottom w:w="60" w:type="dxa"/>
              <w:right w:w="120" w:type="dxa"/>
            </w:tcMar>
          </w:tcPr>
          <w:p>
            <w:pPr>
              <w:jc w:val="left"/>
            </w:pPr>
            <w:r>
              <w:rPr>
                <w:rFonts w:ascii="Calibri" w:hAnsi="Calibri"/>
                <w:color w:val="1A1A1A"/>
                <w:sz w:val="19"/>
              </w:rPr>
              <w:t>Bug fixes, adjustments, transition support</w:t>
            </w:r>
          </w:p>
        </w:tc>
      </w:tr>
    </w:tbl>
    <w:p>
      <w:pPr>
        <w:spacing w:after="120"/>
      </w:pPr>
      <w:r>
        <w:rPr>
          <w:rFonts w:ascii="Calibri" w:hAnsi="Calibri"/>
          <w:i/>
          <w:color w:val="666666"/>
          <w:sz w:val="19"/>
        </w:rPr>
        <w:t>Both timelines assume designs are delivered on schedule (dev-only) or timely client feedback at each milestone (full service). Delays shift subsequent phases accordingly.</w:t>
      </w:r>
    </w:p>
    <w:p>
      <w:pPr>
        <w:spacing w:before="80" w:after="80"/>
        <w:pBdr>
          <w:bottom w:val="single" w:sz="6" w:space="1" w:color="E8422F"/>
        </w:pBdr>
      </w:pPr>
    </w:p>
    <w:p>
      <w:pPr>
        <w:spacing w:before="40" w:after="40"/>
      </w:pPr>
    </w:p>
    <w:p>
      <w:r>
        <w:br w:type="page"/>
      </w:r>
    </w:p>
    <w:p>
      <w:pPr>
        <w:spacing w:before="480" w:after="240"/>
      </w:pPr>
      <w:r>
        <w:rPr>
          <w:rFonts w:ascii="Calibri" w:hAnsi="Calibri"/>
          <w:b/>
          <w:color w:val="E8422F"/>
          <w:sz w:val="44"/>
        </w:rPr>
        <w:t xml:space="preserve">5. </w:t>
      </w:r>
      <w:r>
        <w:rPr>
          <w:rFonts w:ascii="Calibri" w:hAnsi="Calibri"/>
          <w:b/>
          <w:color w:val="2D2D2D"/>
          <w:sz w:val="44"/>
        </w:rPr>
        <w:t>Investment</w:t>
      </w:r>
    </w:p>
    <w:p>
      <w:pPr>
        <w:spacing w:after="160" w:line="312" w:lineRule="auto"/>
      </w:pPr>
      <w:r>
        <w:rPr>
          <w:rFonts w:ascii="Calibri" w:hAnsi="Calibri"/>
          <w:color w:val="1A1A1A"/>
          <w:sz w:val="21"/>
        </w:rPr>
        <w:t>Two options, depending on whether Sofar’s in-house design team leads the creative direction or Shadow Digital handles design end-to-end.</w:t>
      </w:r>
    </w:p>
    <w:p>
      <w:pPr>
        <w:spacing w:before="320" w:after="120"/>
      </w:pPr>
      <w:r>
        <w:rPr>
          <w:rFonts w:ascii="Calibri" w:hAnsi="Calibri"/>
          <w:b/>
          <w:color w:val="2D2D2D"/>
          <w:sz w:val="26"/>
        </w:rPr>
        <w:t>Option A — Dev Only: $56,100</w:t>
      </w:r>
    </w:p>
    <w:p>
      <w:pPr>
        <w:spacing w:after="160" w:line="312" w:lineRule="auto"/>
      </w:pPr>
      <w:r>
        <w:rPr>
          <w:rFonts w:ascii="Calibri" w:hAnsi="Calibri"/>
          <w:color w:val="1A1A1A"/>
          <w:sz w:val="21"/>
        </w:rPr>
        <w:t>Maggie leads design in Figma. Shadow Digital translates designs into production Webflow, handles all development, motion, migration, SEO, and enablement. Includes design consulting to ensure Webflow feasibility.</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E8E8E8"/>
          <w:insideV w:val="none" w:sz="0" w:space="0" w:color="auto"/>
        </w:tblBorders>
      </w:tblPr>
      <w:tblGrid>
        <w:gridCol w:w="3135"/>
        <w:gridCol w:w="3135"/>
        <w:gridCol w:w="3135"/>
      </w:tblGrid>
      <w:tr>
        <w:tc>
          <w:tcPr>
            <w:tcW w:type="dxa" w:w="4320"/>
            <w:shd w:fill="2D2D2D" w:val="clear"/>
            <w:tcMar>
              <w:top w:w="80" w:type="dxa"/>
              <w:left w:w="120" w:type="dxa"/>
              <w:bottom w:w="80" w:type="dxa"/>
              <w:right w:w="120" w:type="dxa"/>
            </w:tcMar>
          </w:tcPr>
          <w:p>
            <w:pPr>
              <w:jc w:val="left"/>
            </w:pPr>
            <w:r>
              <w:rPr>
                <w:rFonts w:ascii="Calibri" w:hAnsi="Calibri"/>
                <w:b/>
                <w:color w:val="FFFFFF"/>
                <w:sz w:val="19"/>
              </w:rPr>
              <w:t>Work Stream</w:t>
            </w:r>
          </w:p>
        </w:tc>
        <w:tc>
          <w:tcPr>
            <w:tcW w:type="dxa" w:w="1440"/>
            <w:shd w:fill="2D2D2D" w:val="clear"/>
            <w:tcMar>
              <w:top w:w="80" w:type="dxa"/>
              <w:left w:w="120" w:type="dxa"/>
              <w:bottom w:w="80" w:type="dxa"/>
              <w:right w:w="120" w:type="dxa"/>
            </w:tcMar>
          </w:tcPr>
          <w:p>
            <w:pPr>
              <w:jc w:val="right"/>
            </w:pPr>
            <w:r>
              <w:rPr>
                <w:rFonts w:ascii="Calibri" w:hAnsi="Calibri"/>
                <w:b/>
                <w:color w:val="FFFFFF"/>
                <w:sz w:val="19"/>
              </w:rPr>
              <w:t>Hours</w:t>
            </w:r>
          </w:p>
        </w:tc>
        <w:tc>
          <w:tcPr>
            <w:tcW w:type="dxa" w:w="2160"/>
            <w:shd w:fill="2D2D2D" w:val="clear"/>
            <w:tcMar>
              <w:top w:w="80" w:type="dxa"/>
              <w:left w:w="120" w:type="dxa"/>
              <w:bottom w:w="80" w:type="dxa"/>
              <w:right w:w="120" w:type="dxa"/>
            </w:tcMar>
          </w:tcPr>
          <w:p>
            <w:pPr>
              <w:jc w:val="right"/>
            </w:pPr>
            <w:r>
              <w:rPr>
                <w:rFonts w:ascii="Calibri" w:hAnsi="Calibri"/>
                <w:b/>
                <w:color w:val="FFFFFF"/>
                <w:sz w:val="19"/>
              </w:rPr>
              <w:t>Investment</w:t>
            </w:r>
          </w:p>
        </w:tc>
      </w:tr>
      <w:tr>
        <w:tc>
          <w:tcPr>
            <w:tcW w:type="dxa" w:w="4320"/>
            <w:tcMar>
              <w:top w:w="60" w:type="dxa"/>
              <w:left w:w="120" w:type="dxa"/>
              <w:bottom w:w="60" w:type="dxa"/>
              <w:right w:w="120" w:type="dxa"/>
            </w:tcMar>
          </w:tcPr>
          <w:p>
            <w:pPr>
              <w:jc w:val="left"/>
            </w:pPr>
            <w:r>
              <w:rPr>
                <w:rFonts w:ascii="Calibri" w:hAnsi="Calibri"/>
                <w:color w:val="1A1A1A"/>
                <w:sz w:val="19"/>
              </w:rPr>
              <w:t>Project Management</w:t>
            </w:r>
          </w:p>
        </w:tc>
        <w:tc>
          <w:tcPr>
            <w:tcW w:type="dxa" w:w="1440"/>
            <w:tcMar>
              <w:top w:w="60" w:type="dxa"/>
              <w:left w:w="120" w:type="dxa"/>
              <w:bottom w:w="60" w:type="dxa"/>
              <w:right w:w="120" w:type="dxa"/>
            </w:tcMar>
          </w:tcPr>
          <w:p>
            <w:pPr>
              <w:jc w:val="right"/>
            </w:pPr>
            <w:r>
              <w:rPr>
                <w:rFonts w:ascii="Calibri" w:hAnsi="Calibri"/>
                <w:color w:val="1A1A1A"/>
                <w:sz w:val="19"/>
              </w:rPr>
              <w:t>56</w:t>
            </w:r>
          </w:p>
        </w:tc>
        <w:tc>
          <w:tcPr>
            <w:tcW w:type="dxa" w:w="2160"/>
            <w:tcMar>
              <w:top w:w="60" w:type="dxa"/>
              <w:left w:w="120" w:type="dxa"/>
              <w:bottom w:w="60" w:type="dxa"/>
              <w:right w:w="120" w:type="dxa"/>
            </w:tcMar>
          </w:tcPr>
          <w:p>
            <w:pPr>
              <w:jc w:val="right"/>
            </w:pPr>
            <w:r>
              <w:rPr>
                <w:rFonts w:ascii="Calibri" w:hAnsi="Calibri"/>
                <w:color w:val="1A1A1A"/>
                <w:sz w:val="19"/>
              </w:rPr>
              <w:t>$8,400</w:t>
            </w:r>
          </w:p>
        </w:tc>
      </w:tr>
      <w:tr>
        <w:tc>
          <w:tcPr>
            <w:tcW w:type="dxa" w:w="4320"/>
            <w:shd w:fill="F7F7F7" w:val="clear"/>
            <w:tcMar>
              <w:top w:w="60" w:type="dxa"/>
              <w:left w:w="120" w:type="dxa"/>
              <w:bottom w:w="60" w:type="dxa"/>
              <w:right w:w="120" w:type="dxa"/>
            </w:tcMar>
          </w:tcPr>
          <w:p>
            <w:pPr>
              <w:jc w:val="left"/>
            </w:pPr>
            <w:r>
              <w:rPr>
                <w:rFonts w:ascii="Calibri" w:hAnsi="Calibri"/>
                <w:color w:val="1A1A1A"/>
                <w:sz w:val="19"/>
              </w:rPr>
              <w:t>Webflow Development</w:t>
            </w:r>
          </w:p>
        </w:tc>
        <w:tc>
          <w:tcPr>
            <w:tcW w:type="dxa" w:w="1440"/>
            <w:shd w:fill="F7F7F7" w:val="clear"/>
            <w:tcMar>
              <w:top w:w="60" w:type="dxa"/>
              <w:left w:w="120" w:type="dxa"/>
              <w:bottom w:w="60" w:type="dxa"/>
              <w:right w:w="120" w:type="dxa"/>
            </w:tcMar>
          </w:tcPr>
          <w:p>
            <w:pPr>
              <w:jc w:val="right"/>
            </w:pPr>
            <w:r>
              <w:rPr>
                <w:rFonts w:ascii="Calibri" w:hAnsi="Calibri"/>
                <w:color w:val="1A1A1A"/>
                <w:sz w:val="19"/>
              </w:rPr>
              <w:t>158</w:t>
            </w:r>
          </w:p>
        </w:tc>
        <w:tc>
          <w:tcPr>
            <w:tcW w:type="dxa" w:w="2160"/>
            <w:shd w:fill="F7F7F7" w:val="clear"/>
            <w:tcMar>
              <w:top w:w="60" w:type="dxa"/>
              <w:left w:w="120" w:type="dxa"/>
              <w:bottom w:w="60" w:type="dxa"/>
              <w:right w:w="120" w:type="dxa"/>
            </w:tcMar>
          </w:tcPr>
          <w:p>
            <w:pPr>
              <w:jc w:val="right"/>
            </w:pPr>
            <w:r>
              <w:rPr>
                <w:rFonts w:ascii="Calibri" w:hAnsi="Calibri"/>
                <w:color w:val="1A1A1A"/>
                <w:sz w:val="19"/>
              </w:rPr>
              <w:t>$23,700</w:t>
            </w:r>
          </w:p>
        </w:tc>
      </w:tr>
      <w:tr>
        <w:tc>
          <w:tcPr>
            <w:tcW w:type="dxa" w:w="4320"/>
            <w:tcMar>
              <w:top w:w="60" w:type="dxa"/>
              <w:left w:w="120" w:type="dxa"/>
              <w:bottom w:w="60" w:type="dxa"/>
              <w:right w:w="120" w:type="dxa"/>
            </w:tcMar>
          </w:tcPr>
          <w:p>
            <w:pPr>
              <w:jc w:val="left"/>
            </w:pPr>
            <w:r>
              <w:rPr>
                <w:rFonts w:ascii="Calibri" w:hAnsi="Calibri"/>
                <w:color w:val="1A1A1A"/>
                <w:sz w:val="19"/>
              </w:rPr>
              <w:t>Motion &amp; Interaction Development</w:t>
            </w:r>
          </w:p>
        </w:tc>
        <w:tc>
          <w:tcPr>
            <w:tcW w:type="dxa" w:w="1440"/>
            <w:tcMar>
              <w:top w:w="60" w:type="dxa"/>
              <w:left w:w="120" w:type="dxa"/>
              <w:bottom w:w="60" w:type="dxa"/>
              <w:right w:w="120" w:type="dxa"/>
            </w:tcMar>
          </w:tcPr>
          <w:p>
            <w:pPr>
              <w:jc w:val="right"/>
            </w:pPr>
            <w:r>
              <w:rPr>
                <w:rFonts w:ascii="Calibri" w:hAnsi="Calibri"/>
                <w:color w:val="1A1A1A"/>
                <w:sz w:val="19"/>
              </w:rPr>
              <w:t>48</w:t>
            </w:r>
          </w:p>
        </w:tc>
        <w:tc>
          <w:tcPr>
            <w:tcW w:type="dxa" w:w="2160"/>
            <w:tcMar>
              <w:top w:w="60" w:type="dxa"/>
              <w:left w:w="120" w:type="dxa"/>
              <w:bottom w:w="60" w:type="dxa"/>
              <w:right w:w="120" w:type="dxa"/>
            </w:tcMar>
          </w:tcPr>
          <w:p>
            <w:pPr>
              <w:jc w:val="right"/>
            </w:pPr>
            <w:r>
              <w:rPr>
                <w:rFonts w:ascii="Calibri" w:hAnsi="Calibri"/>
                <w:color w:val="1A1A1A"/>
                <w:sz w:val="19"/>
              </w:rPr>
              <w:t>$7,200</w:t>
            </w:r>
          </w:p>
        </w:tc>
      </w:tr>
      <w:tr>
        <w:tc>
          <w:tcPr>
            <w:tcW w:type="dxa" w:w="4320"/>
            <w:shd w:fill="F7F7F7" w:val="clear"/>
            <w:tcMar>
              <w:top w:w="60" w:type="dxa"/>
              <w:left w:w="120" w:type="dxa"/>
              <w:bottom w:w="60" w:type="dxa"/>
              <w:right w:w="120" w:type="dxa"/>
            </w:tcMar>
          </w:tcPr>
          <w:p>
            <w:pPr>
              <w:jc w:val="left"/>
            </w:pPr>
            <w:r>
              <w:rPr>
                <w:rFonts w:ascii="Calibri" w:hAnsi="Calibri"/>
                <w:color w:val="1A1A1A"/>
                <w:sz w:val="19"/>
              </w:rPr>
              <w:t>Content Migration</w:t>
            </w:r>
          </w:p>
        </w:tc>
        <w:tc>
          <w:tcPr>
            <w:tcW w:type="dxa" w:w="1440"/>
            <w:shd w:fill="F7F7F7" w:val="clear"/>
            <w:tcMar>
              <w:top w:w="60" w:type="dxa"/>
              <w:left w:w="120" w:type="dxa"/>
              <w:bottom w:w="60" w:type="dxa"/>
              <w:right w:w="120" w:type="dxa"/>
            </w:tcMar>
          </w:tcPr>
          <w:p>
            <w:pPr>
              <w:jc w:val="right"/>
            </w:pPr>
            <w:r>
              <w:rPr>
                <w:rFonts w:ascii="Calibri" w:hAnsi="Calibri"/>
                <w:color w:val="1A1A1A"/>
                <w:sz w:val="19"/>
              </w:rPr>
              <w:t>40</w:t>
            </w:r>
          </w:p>
        </w:tc>
        <w:tc>
          <w:tcPr>
            <w:tcW w:type="dxa" w:w="2160"/>
            <w:shd w:fill="F7F7F7" w:val="clear"/>
            <w:tcMar>
              <w:top w:w="60" w:type="dxa"/>
              <w:left w:w="120" w:type="dxa"/>
              <w:bottom w:w="60" w:type="dxa"/>
              <w:right w:w="120" w:type="dxa"/>
            </w:tcMar>
          </w:tcPr>
          <w:p>
            <w:pPr>
              <w:jc w:val="right"/>
            </w:pPr>
            <w:r>
              <w:rPr>
                <w:rFonts w:ascii="Calibri" w:hAnsi="Calibri"/>
                <w:color w:val="1A1A1A"/>
                <w:sz w:val="19"/>
              </w:rPr>
              <w:t>$6,000</w:t>
            </w:r>
          </w:p>
        </w:tc>
      </w:tr>
      <w:tr>
        <w:tc>
          <w:tcPr>
            <w:tcW w:type="dxa" w:w="4320"/>
            <w:tcMar>
              <w:top w:w="60" w:type="dxa"/>
              <w:left w:w="120" w:type="dxa"/>
              <w:bottom w:w="60" w:type="dxa"/>
              <w:right w:w="120" w:type="dxa"/>
            </w:tcMar>
          </w:tcPr>
          <w:p>
            <w:pPr>
              <w:jc w:val="left"/>
            </w:pPr>
            <w:r>
              <w:rPr>
                <w:rFonts w:ascii="Calibri" w:hAnsi="Calibri"/>
                <w:color w:val="1A1A1A"/>
                <w:sz w:val="19"/>
              </w:rPr>
              <w:t>SEO Setup &amp; Optimization</w:t>
            </w:r>
          </w:p>
        </w:tc>
        <w:tc>
          <w:tcPr>
            <w:tcW w:type="dxa" w:w="1440"/>
            <w:tcMar>
              <w:top w:w="60" w:type="dxa"/>
              <w:left w:w="120" w:type="dxa"/>
              <w:bottom w:w="60" w:type="dxa"/>
              <w:right w:w="120" w:type="dxa"/>
            </w:tcMar>
          </w:tcPr>
          <w:p>
            <w:pPr>
              <w:jc w:val="right"/>
            </w:pPr>
            <w:r>
              <w:rPr>
                <w:rFonts w:ascii="Calibri" w:hAnsi="Calibri"/>
                <w:color w:val="1A1A1A"/>
                <w:sz w:val="19"/>
              </w:rPr>
              <w:t>32</w:t>
            </w:r>
          </w:p>
        </w:tc>
        <w:tc>
          <w:tcPr>
            <w:tcW w:type="dxa" w:w="2160"/>
            <w:tcMar>
              <w:top w:w="60" w:type="dxa"/>
              <w:left w:w="120" w:type="dxa"/>
              <w:bottom w:w="60" w:type="dxa"/>
              <w:right w:w="120" w:type="dxa"/>
            </w:tcMar>
          </w:tcPr>
          <w:p>
            <w:pPr>
              <w:jc w:val="right"/>
            </w:pPr>
            <w:r>
              <w:rPr>
                <w:rFonts w:ascii="Calibri" w:hAnsi="Calibri"/>
                <w:color w:val="1A1A1A"/>
                <w:sz w:val="19"/>
              </w:rPr>
              <w:t>$4,800</w:t>
            </w:r>
          </w:p>
        </w:tc>
      </w:tr>
      <w:tr>
        <w:tc>
          <w:tcPr>
            <w:tcW w:type="dxa" w:w="4320"/>
            <w:shd w:fill="F7F7F7" w:val="clear"/>
            <w:tcMar>
              <w:top w:w="60" w:type="dxa"/>
              <w:left w:w="120" w:type="dxa"/>
              <w:bottom w:w="60" w:type="dxa"/>
              <w:right w:w="120" w:type="dxa"/>
            </w:tcMar>
          </w:tcPr>
          <w:p>
            <w:pPr>
              <w:jc w:val="left"/>
            </w:pPr>
            <w:r>
              <w:rPr>
                <w:rFonts w:ascii="Calibri" w:hAnsi="Calibri"/>
                <w:color w:val="1A1A1A"/>
                <w:sz w:val="19"/>
              </w:rPr>
              <w:t>Quality Assurance</w:t>
            </w:r>
          </w:p>
        </w:tc>
        <w:tc>
          <w:tcPr>
            <w:tcW w:type="dxa" w:w="1440"/>
            <w:shd w:fill="F7F7F7" w:val="clear"/>
            <w:tcMar>
              <w:top w:w="60" w:type="dxa"/>
              <w:left w:w="120" w:type="dxa"/>
              <w:bottom w:w="60" w:type="dxa"/>
              <w:right w:w="120" w:type="dxa"/>
            </w:tcMar>
          </w:tcPr>
          <w:p>
            <w:pPr>
              <w:jc w:val="right"/>
            </w:pPr>
            <w:r>
              <w:rPr>
                <w:rFonts w:ascii="Calibri" w:hAnsi="Calibri"/>
                <w:color w:val="1A1A1A"/>
                <w:sz w:val="19"/>
              </w:rPr>
              <w:t>24</w:t>
            </w:r>
          </w:p>
        </w:tc>
        <w:tc>
          <w:tcPr>
            <w:tcW w:type="dxa" w:w="2160"/>
            <w:shd w:fill="F7F7F7" w:val="clear"/>
            <w:tcMar>
              <w:top w:w="60" w:type="dxa"/>
              <w:left w:w="120" w:type="dxa"/>
              <w:bottom w:w="60" w:type="dxa"/>
              <w:right w:w="120" w:type="dxa"/>
            </w:tcMar>
          </w:tcPr>
          <w:p>
            <w:pPr>
              <w:jc w:val="right"/>
            </w:pPr>
            <w:r>
              <w:rPr>
                <w:rFonts w:ascii="Calibri" w:hAnsi="Calibri"/>
                <w:color w:val="1A1A1A"/>
                <w:sz w:val="19"/>
              </w:rPr>
              <w:t>$3,600</w:t>
            </w:r>
          </w:p>
        </w:tc>
      </w:tr>
      <w:tr>
        <w:tc>
          <w:tcPr>
            <w:tcW w:type="dxa" w:w="4320"/>
            <w:tcMar>
              <w:top w:w="60" w:type="dxa"/>
              <w:left w:w="120" w:type="dxa"/>
              <w:bottom w:w="60" w:type="dxa"/>
              <w:right w:w="120" w:type="dxa"/>
            </w:tcMar>
          </w:tcPr>
          <w:p>
            <w:pPr>
              <w:jc w:val="left"/>
            </w:pPr>
            <w:r>
              <w:rPr>
                <w:rFonts w:ascii="Calibri" w:hAnsi="Calibri"/>
                <w:color w:val="1A1A1A"/>
                <w:sz w:val="19"/>
              </w:rPr>
              <w:t>Design Consulting</w:t>
            </w:r>
          </w:p>
        </w:tc>
        <w:tc>
          <w:tcPr>
            <w:tcW w:type="dxa" w:w="1440"/>
            <w:tcMar>
              <w:top w:w="60" w:type="dxa"/>
              <w:left w:w="120" w:type="dxa"/>
              <w:bottom w:w="60" w:type="dxa"/>
              <w:right w:w="120" w:type="dxa"/>
            </w:tcMar>
          </w:tcPr>
          <w:p>
            <w:pPr>
              <w:jc w:val="right"/>
            </w:pPr>
            <w:r>
              <w:rPr>
                <w:rFonts w:ascii="Calibri" w:hAnsi="Calibri"/>
                <w:color w:val="1A1A1A"/>
                <w:sz w:val="19"/>
              </w:rPr>
              <w:t>16</w:t>
            </w:r>
          </w:p>
        </w:tc>
        <w:tc>
          <w:tcPr>
            <w:tcW w:type="dxa" w:w="2160"/>
            <w:tcMar>
              <w:top w:w="60" w:type="dxa"/>
              <w:left w:w="120" w:type="dxa"/>
              <w:bottom w:w="60" w:type="dxa"/>
              <w:right w:w="120" w:type="dxa"/>
            </w:tcMar>
          </w:tcPr>
          <w:p>
            <w:pPr>
              <w:jc w:val="right"/>
            </w:pPr>
            <w:r>
              <w:rPr>
                <w:rFonts w:ascii="Calibri" w:hAnsi="Calibri"/>
                <w:color w:val="1A1A1A"/>
                <w:sz w:val="19"/>
              </w:rPr>
              <w:t>$2,400</w:t>
            </w:r>
          </w:p>
        </w:tc>
      </w:tr>
      <w:tr>
        <w:tc>
          <w:tcPr>
            <w:tcW w:type="dxa" w:w="4320"/>
            <w:shd w:fill="F7F7F7" w:val="clear"/>
            <w:tcMar>
              <w:top w:w="60" w:type="dxa"/>
              <w:left w:w="120" w:type="dxa"/>
              <w:bottom w:w="60" w:type="dxa"/>
              <w:right w:w="120" w:type="dxa"/>
            </w:tcMar>
          </w:tcPr>
          <w:p>
            <w:pPr>
              <w:jc w:val="left"/>
            </w:pPr>
            <w:r>
              <w:rPr>
                <w:rFonts w:ascii="Calibri" w:hAnsi="Calibri"/>
                <w:b/>
                <w:color w:val="1A1A1A"/>
                <w:sz w:val="19"/>
              </w:rPr>
              <w:t>Total</w:t>
            </w:r>
          </w:p>
        </w:tc>
        <w:tc>
          <w:tcPr>
            <w:tcW w:type="dxa" w:w="1440"/>
            <w:shd w:fill="F7F7F7" w:val="clear"/>
            <w:tcMar>
              <w:top w:w="60" w:type="dxa"/>
              <w:left w:w="120" w:type="dxa"/>
              <w:bottom w:w="60" w:type="dxa"/>
              <w:right w:w="120" w:type="dxa"/>
            </w:tcMar>
          </w:tcPr>
          <w:p>
            <w:pPr>
              <w:jc w:val="right"/>
            </w:pPr>
            <w:r>
              <w:rPr>
                <w:rFonts w:ascii="Calibri" w:hAnsi="Calibri"/>
                <w:b/>
                <w:color w:val="1A1A1A"/>
                <w:sz w:val="19"/>
              </w:rPr>
              <w:t>374</w:t>
            </w:r>
          </w:p>
        </w:tc>
        <w:tc>
          <w:tcPr>
            <w:tcW w:type="dxa" w:w="2160"/>
            <w:shd w:fill="F7F7F7" w:val="clear"/>
            <w:tcMar>
              <w:top w:w="60" w:type="dxa"/>
              <w:left w:w="120" w:type="dxa"/>
              <w:bottom w:w="60" w:type="dxa"/>
              <w:right w:w="120" w:type="dxa"/>
            </w:tcMar>
          </w:tcPr>
          <w:p>
            <w:pPr>
              <w:jc w:val="right"/>
            </w:pPr>
            <w:r>
              <w:rPr>
                <w:rFonts w:ascii="Calibri" w:hAnsi="Calibri"/>
                <w:b/>
                <w:color w:val="1A1A1A"/>
                <w:sz w:val="19"/>
              </w:rPr>
              <w:t>$56,100</w:t>
            </w:r>
          </w:p>
        </w:tc>
      </w:tr>
    </w:tbl>
    <w:p>
      <w:pPr>
        <w:spacing w:before="320" w:after="120"/>
      </w:pPr>
      <w:r>
        <w:rPr>
          <w:rFonts w:ascii="Calibri" w:hAnsi="Calibri"/>
          <w:b/>
          <w:color w:val="2D2D2D"/>
          <w:sz w:val="26"/>
        </w:rPr>
        <w:t>Option B — Full Service: $78,000</w:t>
      </w:r>
    </w:p>
    <w:p>
      <w:pPr>
        <w:spacing w:after="160" w:line="312" w:lineRule="auto"/>
      </w:pPr>
      <w:r>
        <w:rPr>
          <w:rFonts w:ascii="Calibri" w:hAnsi="Calibri"/>
          <w:color w:val="1A1A1A"/>
          <w:sz w:val="21"/>
        </w:rPr>
        <w:t>Shadow Digital handles everything — discovery, IA, UX, UI, motion direction, development, migration, SEO, QA, and enablement.</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E8E8E8"/>
          <w:insideV w:val="none" w:sz="0" w:space="0" w:color="auto"/>
        </w:tblBorders>
      </w:tblPr>
      <w:tblGrid>
        <w:gridCol w:w="3135"/>
        <w:gridCol w:w="3135"/>
        <w:gridCol w:w="3135"/>
      </w:tblGrid>
      <w:tr>
        <w:tc>
          <w:tcPr>
            <w:tcW w:type="dxa" w:w="4320"/>
            <w:shd w:fill="2D2D2D" w:val="clear"/>
            <w:tcMar>
              <w:top w:w="80" w:type="dxa"/>
              <w:left w:w="120" w:type="dxa"/>
              <w:bottom w:w="80" w:type="dxa"/>
              <w:right w:w="120" w:type="dxa"/>
            </w:tcMar>
          </w:tcPr>
          <w:p>
            <w:pPr>
              <w:jc w:val="left"/>
            </w:pPr>
            <w:r>
              <w:rPr>
                <w:rFonts w:ascii="Calibri" w:hAnsi="Calibri"/>
                <w:b/>
                <w:color w:val="FFFFFF"/>
                <w:sz w:val="19"/>
              </w:rPr>
              <w:t>Work Stream</w:t>
            </w:r>
          </w:p>
        </w:tc>
        <w:tc>
          <w:tcPr>
            <w:tcW w:type="dxa" w:w="1440"/>
            <w:shd w:fill="2D2D2D" w:val="clear"/>
            <w:tcMar>
              <w:top w:w="80" w:type="dxa"/>
              <w:left w:w="120" w:type="dxa"/>
              <w:bottom w:w="80" w:type="dxa"/>
              <w:right w:w="120" w:type="dxa"/>
            </w:tcMar>
          </w:tcPr>
          <w:p>
            <w:pPr>
              <w:jc w:val="right"/>
            </w:pPr>
            <w:r>
              <w:rPr>
                <w:rFonts w:ascii="Calibri" w:hAnsi="Calibri"/>
                <w:b/>
                <w:color w:val="FFFFFF"/>
                <w:sz w:val="19"/>
              </w:rPr>
              <w:t>Hours</w:t>
            </w:r>
          </w:p>
        </w:tc>
        <w:tc>
          <w:tcPr>
            <w:tcW w:type="dxa" w:w="2160"/>
            <w:shd w:fill="2D2D2D" w:val="clear"/>
            <w:tcMar>
              <w:top w:w="80" w:type="dxa"/>
              <w:left w:w="120" w:type="dxa"/>
              <w:bottom w:w="80" w:type="dxa"/>
              <w:right w:w="120" w:type="dxa"/>
            </w:tcMar>
          </w:tcPr>
          <w:p>
            <w:pPr>
              <w:jc w:val="right"/>
            </w:pPr>
            <w:r>
              <w:rPr>
                <w:rFonts w:ascii="Calibri" w:hAnsi="Calibri"/>
                <w:b/>
                <w:color w:val="FFFFFF"/>
                <w:sz w:val="19"/>
              </w:rPr>
              <w:t>Investment</w:t>
            </w:r>
          </w:p>
        </w:tc>
      </w:tr>
      <w:tr>
        <w:tc>
          <w:tcPr>
            <w:tcW w:type="dxa" w:w="4320"/>
            <w:tcMar>
              <w:top w:w="60" w:type="dxa"/>
              <w:left w:w="120" w:type="dxa"/>
              <w:bottom w:w="60" w:type="dxa"/>
              <w:right w:w="120" w:type="dxa"/>
            </w:tcMar>
          </w:tcPr>
          <w:p>
            <w:pPr>
              <w:jc w:val="left"/>
            </w:pPr>
            <w:r>
              <w:rPr>
                <w:rFonts w:ascii="Calibri" w:hAnsi="Calibri"/>
                <w:color w:val="1A1A1A"/>
                <w:sz w:val="19"/>
              </w:rPr>
              <w:t>Project Management</w:t>
            </w:r>
          </w:p>
        </w:tc>
        <w:tc>
          <w:tcPr>
            <w:tcW w:type="dxa" w:w="1440"/>
            <w:tcMar>
              <w:top w:w="60" w:type="dxa"/>
              <w:left w:w="120" w:type="dxa"/>
              <w:bottom w:w="60" w:type="dxa"/>
              <w:right w:w="120" w:type="dxa"/>
            </w:tcMar>
          </w:tcPr>
          <w:p>
            <w:pPr>
              <w:jc w:val="right"/>
            </w:pPr>
            <w:r>
              <w:rPr>
                <w:rFonts w:ascii="Calibri" w:hAnsi="Calibri"/>
                <w:color w:val="1A1A1A"/>
                <w:sz w:val="19"/>
              </w:rPr>
              <w:t>72</w:t>
            </w:r>
          </w:p>
        </w:tc>
        <w:tc>
          <w:tcPr>
            <w:tcW w:type="dxa" w:w="2160"/>
            <w:tcMar>
              <w:top w:w="60" w:type="dxa"/>
              <w:left w:w="120" w:type="dxa"/>
              <w:bottom w:w="60" w:type="dxa"/>
              <w:right w:w="120" w:type="dxa"/>
            </w:tcMar>
          </w:tcPr>
          <w:p>
            <w:pPr>
              <w:jc w:val="right"/>
            </w:pPr>
            <w:r>
              <w:rPr>
                <w:rFonts w:ascii="Calibri" w:hAnsi="Calibri"/>
                <w:color w:val="1A1A1A"/>
                <w:sz w:val="19"/>
              </w:rPr>
              <w:t>$10,800</w:t>
            </w:r>
          </w:p>
        </w:tc>
      </w:tr>
      <w:tr>
        <w:tc>
          <w:tcPr>
            <w:tcW w:type="dxa" w:w="4320"/>
            <w:shd w:fill="F7F7F7" w:val="clear"/>
            <w:tcMar>
              <w:top w:w="60" w:type="dxa"/>
              <w:left w:w="120" w:type="dxa"/>
              <w:bottom w:w="60" w:type="dxa"/>
              <w:right w:w="120" w:type="dxa"/>
            </w:tcMar>
          </w:tcPr>
          <w:p>
            <w:pPr>
              <w:jc w:val="left"/>
            </w:pPr>
            <w:r>
              <w:rPr>
                <w:rFonts w:ascii="Calibri" w:hAnsi="Calibri"/>
                <w:color w:val="1A1A1A"/>
                <w:sz w:val="19"/>
              </w:rPr>
              <w:t>UX Design</w:t>
            </w:r>
          </w:p>
        </w:tc>
        <w:tc>
          <w:tcPr>
            <w:tcW w:type="dxa" w:w="1440"/>
            <w:shd w:fill="F7F7F7" w:val="clear"/>
            <w:tcMar>
              <w:top w:w="60" w:type="dxa"/>
              <w:left w:w="120" w:type="dxa"/>
              <w:bottom w:w="60" w:type="dxa"/>
              <w:right w:w="120" w:type="dxa"/>
            </w:tcMar>
          </w:tcPr>
          <w:p>
            <w:pPr>
              <w:jc w:val="right"/>
            </w:pPr>
            <w:r>
              <w:rPr>
                <w:rFonts w:ascii="Calibri" w:hAnsi="Calibri"/>
                <w:color w:val="1A1A1A"/>
                <w:sz w:val="19"/>
              </w:rPr>
              <w:t>80</w:t>
            </w:r>
          </w:p>
        </w:tc>
        <w:tc>
          <w:tcPr>
            <w:tcW w:type="dxa" w:w="2160"/>
            <w:shd w:fill="F7F7F7" w:val="clear"/>
            <w:tcMar>
              <w:top w:w="60" w:type="dxa"/>
              <w:left w:w="120" w:type="dxa"/>
              <w:bottom w:w="60" w:type="dxa"/>
              <w:right w:w="120" w:type="dxa"/>
            </w:tcMar>
          </w:tcPr>
          <w:p>
            <w:pPr>
              <w:jc w:val="right"/>
            </w:pPr>
            <w:r>
              <w:rPr>
                <w:rFonts w:ascii="Calibri" w:hAnsi="Calibri"/>
                <w:color w:val="1A1A1A"/>
                <w:sz w:val="19"/>
              </w:rPr>
              <w:t>$12,000</w:t>
            </w:r>
          </w:p>
        </w:tc>
      </w:tr>
      <w:tr>
        <w:tc>
          <w:tcPr>
            <w:tcW w:type="dxa" w:w="4320"/>
            <w:tcMar>
              <w:top w:w="60" w:type="dxa"/>
              <w:left w:w="120" w:type="dxa"/>
              <w:bottom w:w="60" w:type="dxa"/>
              <w:right w:w="120" w:type="dxa"/>
            </w:tcMar>
          </w:tcPr>
          <w:p>
            <w:pPr>
              <w:jc w:val="left"/>
            </w:pPr>
            <w:r>
              <w:rPr>
                <w:rFonts w:ascii="Calibri" w:hAnsi="Calibri"/>
                <w:color w:val="1A1A1A"/>
                <w:sz w:val="19"/>
              </w:rPr>
              <w:t>UI Design</w:t>
            </w:r>
          </w:p>
        </w:tc>
        <w:tc>
          <w:tcPr>
            <w:tcW w:type="dxa" w:w="1440"/>
            <w:tcMar>
              <w:top w:w="60" w:type="dxa"/>
              <w:left w:w="120" w:type="dxa"/>
              <w:bottom w:w="60" w:type="dxa"/>
              <w:right w:w="120" w:type="dxa"/>
            </w:tcMar>
          </w:tcPr>
          <w:p>
            <w:pPr>
              <w:jc w:val="right"/>
            </w:pPr>
            <w:r>
              <w:rPr>
                <w:rFonts w:ascii="Calibri" w:hAnsi="Calibri"/>
                <w:color w:val="1A1A1A"/>
                <w:sz w:val="19"/>
              </w:rPr>
              <w:t>76</w:t>
            </w:r>
          </w:p>
        </w:tc>
        <w:tc>
          <w:tcPr>
            <w:tcW w:type="dxa" w:w="2160"/>
            <w:tcMar>
              <w:top w:w="60" w:type="dxa"/>
              <w:left w:w="120" w:type="dxa"/>
              <w:bottom w:w="60" w:type="dxa"/>
              <w:right w:w="120" w:type="dxa"/>
            </w:tcMar>
          </w:tcPr>
          <w:p>
            <w:pPr>
              <w:jc w:val="right"/>
            </w:pPr>
            <w:r>
              <w:rPr>
                <w:rFonts w:ascii="Calibri" w:hAnsi="Calibri"/>
                <w:color w:val="1A1A1A"/>
                <w:sz w:val="19"/>
              </w:rPr>
              <w:t>$11,400</w:t>
            </w:r>
          </w:p>
        </w:tc>
      </w:tr>
      <w:tr>
        <w:tc>
          <w:tcPr>
            <w:tcW w:type="dxa" w:w="4320"/>
            <w:shd w:fill="F7F7F7" w:val="clear"/>
            <w:tcMar>
              <w:top w:w="60" w:type="dxa"/>
              <w:left w:w="120" w:type="dxa"/>
              <w:bottom w:w="60" w:type="dxa"/>
              <w:right w:w="120" w:type="dxa"/>
            </w:tcMar>
          </w:tcPr>
          <w:p>
            <w:pPr>
              <w:jc w:val="left"/>
            </w:pPr>
            <w:r>
              <w:rPr>
                <w:rFonts w:ascii="Calibri" w:hAnsi="Calibri"/>
                <w:color w:val="1A1A1A"/>
                <w:sz w:val="19"/>
              </w:rPr>
              <w:t>Creative Direction</w:t>
            </w:r>
          </w:p>
        </w:tc>
        <w:tc>
          <w:tcPr>
            <w:tcW w:type="dxa" w:w="1440"/>
            <w:shd w:fill="F7F7F7" w:val="clear"/>
            <w:tcMar>
              <w:top w:w="60" w:type="dxa"/>
              <w:left w:w="120" w:type="dxa"/>
              <w:bottom w:w="60" w:type="dxa"/>
              <w:right w:w="120" w:type="dxa"/>
            </w:tcMar>
          </w:tcPr>
          <w:p>
            <w:pPr>
              <w:jc w:val="right"/>
            </w:pPr>
            <w:r>
              <w:rPr>
                <w:rFonts w:ascii="Calibri" w:hAnsi="Calibri"/>
                <w:color w:val="1A1A1A"/>
                <w:sz w:val="19"/>
              </w:rPr>
              <w:t>24</w:t>
            </w:r>
          </w:p>
        </w:tc>
        <w:tc>
          <w:tcPr>
            <w:tcW w:type="dxa" w:w="2160"/>
            <w:shd w:fill="F7F7F7" w:val="clear"/>
            <w:tcMar>
              <w:top w:w="60" w:type="dxa"/>
              <w:left w:w="120" w:type="dxa"/>
              <w:bottom w:w="60" w:type="dxa"/>
              <w:right w:w="120" w:type="dxa"/>
            </w:tcMar>
          </w:tcPr>
          <w:p>
            <w:pPr>
              <w:jc w:val="right"/>
            </w:pPr>
            <w:r>
              <w:rPr>
                <w:rFonts w:ascii="Calibri" w:hAnsi="Calibri"/>
                <w:color w:val="1A1A1A"/>
                <w:sz w:val="19"/>
              </w:rPr>
              <w:t>$3,600</w:t>
            </w:r>
          </w:p>
        </w:tc>
      </w:tr>
      <w:tr>
        <w:tc>
          <w:tcPr>
            <w:tcW w:type="dxa" w:w="4320"/>
            <w:tcMar>
              <w:top w:w="60" w:type="dxa"/>
              <w:left w:w="120" w:type="dxa"/>
              <w:bottom w:w="60" w:type="dxa"/>
              <w:right w:w="120" w:type="dxa"/>
            </w:tcMar>
          </w:tcPr>
          <w:p>
            <w:pPr>
              <w:jc w:val="left"/>
            </w:pPr>
            <w:r>
              <w:rPr>
                <w:rFonts w:ascii="Calibri" w:hAnsi="Calibri"/>
                <w:color w:val="1A1A1A"/>
                <w:sz w:val="19"/>
              </w:rPr>
              <w:t>Webflow Development</w:t>
            </w:r>
          </w:p>
        </w:tc>
        <w:tc>
          <w:tcPr>
            <w:tcW w:type="dxa" w:w="1440"/>
            <w:tcMar>
              <w:top w:w="60" w:type="dxa"/>
              <w:left w:w="120" w:type="dxa"/>
              <w:bottom w:w="60" w:type="dxa"/>
              <w:right w:w="120" w:type="dxa"/>
            </w:tcMar>
          </w:tcPr>
          <w:p>
            <w:pPr>
              <w:jc w:val="right"/>
            </w:pPr>
            <w:r>
              <w:rPr>
                <w:rFonts w:ascii="Calibri" w:hAnsi="Calibri"/>
                <w:color w:val="1A1A1A"/>
                <w:sz w:val="19"/>
              </w:rPr>
              <w:t>136</w:t>
            </w:r>
          </w:p>
        </w:tc>
        <w:tc>
          <w:tcPr>
            <w:tcW w:type="dxa" w:w="2160"/>
            <w:tcMar>
              <w:top w:w="60" w:type="dxa"/>
              <w:left w:w="120" w:type="dxa"/>
              <w:bottom w:w="60" w:type="dxa"/>
              <w:right w:w="120" w:type="dxa"/>
            </w:tcMar>
          </w:tcPr>
          <w:p>
            <w:pPr>
              <w:jc w:val="right"/>
            </w:pPr>
            <w:r>
              <w:rPr>
                <w:rFonts w:ascii="Calibri" w:hAnsi="Calibri"/>
                <w:color w:val="1A1A1A"/>
                <w:sz w:val="19"/>
              </w:rPr>
              <w:t>$20,400</w:t>
            </w:r>
          </w:p>
        </w:tc>
      </w:tr>
      <w:tr>
        <w:tc>
          <w:tcPr>
            <w:tcW w:type="dxa" w:w="4320"/>
            <w:shd w:fill="F7F7F7" w:val="clear"/>
            <w:tcMar>
              <w:top w:w="60" w:type="dxa"/>
              <w:left w:w="120" w:type="dxa"/>
              <w:bottom w:w="60" w:type="dxa"/>
              <w:right w:w="120" w:type="dxa"/>
            </w:tcMar>
          </w:tcPr>
          <w:p>
            <w:pPr>
              <w:jc w:val="left"/>
            </w:pPr>
            <w:r>
              <w:rPr>
                <w:rFonts w:ascii="Calibri" w:hAnsi="Calibri"/>
                <w:color w:val="1A1A1A"/>
                <w:sz w:val="19"/>
              </w:rPr>
              <w:t>Motion &amp; Interaction Development</w:t>
            </w:r>
          </w:p>
        </w:tc>
        <w:tc>
          <w:tcPr>
            <w:tcW w:type="dxa" w:w="1440"/>
            <w:shd w:fill="F7F7F7" w:val="clear"/>
            <w:tcMar>
              <w:top w:w="60" w:type="dxa"/>
              <w:left w:w="120" w:type="dxa"/>
              <w:bottom w:w="60" w:type="dxa"/>
              <w:right w:w="120" w:type="dxa"/>
            </w:tcMar>
          </w:tcPr>
          <w:p>
            <w:pPr>
              <w:jc w:val="right"/>
            </w:pPr>
            <w:r>
              <w:rPr>
                <w:rFonts w:ascii="Calibri" w:hAnsi="Calibri"/>
                <w:color w:val="1A1A1A"/>
                <w:sz w:val="19"/>
              </w:rPr>
              <w:t>48</w:t>
            </w:r>
          </w:p>
        </w:tc>
        <w:tc>
          <w:tcPr>
            <w:tcW w:type="dxa" w:w="2160"/>
            <w:shd w:fill="F7F7F7" w:val="clear"/>
            <w:tcMar>
              <w:top w:w="60" w:type="dxa"/>
              <w:left w:w="120" w:type="dxa"/>
              <w:bottom w:w="60" w:type="dxa"/>
              <w:right w:w="120" w:type="dxa"/>
            </w:tcMar>
          </w:tcPr>
          <w:p>
            <w:pPr>
              <w:jc w:val="right"/>
            </w:pPr>
            <w:r>
              <w:rPr>
                <w:rFonts w:ascii="Calibri" w:hAnsi="Calibri"/>
                <w:color w:val="1A1A1A"/>
                <w:sz w:val="19"/>
              </w:rPr>
              <w:t>$7,200</w:t>
            </w:r>
          </w:p>
        </w:tc>
      </w:tr>
      <w:tr>
        <w:tc>
          <w:tcPr>
            <w:tcW w:type="dxa" w:w="4320"/>
            <w:tcMar>
              <w:top w:w="60" w:type="dxa"/>
              <w:left w:w="120" w:type="dxa"/>
              <w:bottom w:w="60" w:type="dxa"/>
              <w:right w:w="120" w:type="dxa"/>
            </w:tcMar>
          </w:tcPr>
          <w:p>
            <w:pPr>
              <w:jc w:val="left"/>
            </w:pPr>
            <w:r>
              <w:rPr>
                <w:rFonts w:ascii="Calibri" w:hAnsi="Calibri"/>
                <w:color w:val="1A1A1A"/>
                <w:sz w:val="19"/>
              </w:rPr>
              <w:t>Content Migration</w:t>
            </w:r>
          </w:p>
        </w:tc>
        <w:tc>
          <w:tcPr>
            <w:tcW w:type="dxa" w:w="1440"/>
            <w:tcMar>
              <w:top w:w="60" w:type="dxa"/>
              <w:left w:w="120" w:type="dxa"/>
              <w:bottom w:w="60" w:type="dxa"/>
              <w:right w:w="120" w:type="dxa"/>
            </w:tcMar>
          </w:tcPr>
          <w:p>
            <w:pPr>
              <w:jc w:val="right"/>
            </w:pPr>
            <w:r>
              <w:rPr>
                <w:rFonts w:ascii="Calibri" w:hAnsi="Calibri"/>
                <w:color w:val="1A1A1A"/>
                <w:sz w:val="19"/>
              </w:rPr>
              <w:t>40</w:t>
            </w:r>
          </w:p>
        </w:tc>
        <w:tc>
          <w:tcPr>
            <w:tcW w:type="dxa" w:w="2160"/>
            <w:tcMar>
              <w:top w:w="60" w:type="dxa"/>
              <w:left w:w="120" w:type="dxa"/>
              <w:bottom w:w="60" w:type="dxa"/>
              <w:right w:w="120" w:type="dxa"/>
            </w:tcMar>
          </w:tcPr>
          <w:p>
            <w:pPr>
              <w:jc w:val="right"/>
            </w:pPr>
            <w:r>
              <w:rPr>
                <w:rFonts w:ascii="Calibri" w:hAnsi="Calibri"/>
                <w:color w:val="1A1A1A"/>
                <w:sz w:val="19"/>
              </w:rPr>
              <w:t>$6,000</w:t>
            </w:r>
          </w:p>
        </w:tc>
      </w:tr>
      <w:tr>
        <w:tc>
          <w:tcPr>
            <w:tcW w:type="dxa" w:w="4320"/>
            <w:shd w:fill="F7F7F7" w:val="clear"/>
            <w:tcMar>
              <w:top w:w="60" w:type="dxa"/>
              <w:left w:w="120" w:type="dxa"/>
              <w:bottom w:w="60" w:type="dxa"/>
              <w:right w:w="120" w:type="dxa"/>
            </w:tcMar>
          </w:tcPr>
          <w:p>
            <w:pPr>
              <w:jc w:val="left"/>
            </w:pPr>
            <w:r>
              <w:rPr>
                <w:rFonts w:ascii="Calibri" w:hAnsi="Calibri"/>
                <w:color w:val="1A1A1A"/>
                <w:sz w:val="19"/>
              </w:rPr>
              <w:t>SEO Setup &amp; Optimization</w:t>
            </w:r>
          </w:p>
        </w:tc>
        <w:tc>
          <w:tcPr>
            <w:tcW w:type="dxa" w:w="1440"/>
            <w:shd w:fill="F7F7F7" w:val="clear"/>
            <w:tcMar>
              <w:top w:w="60" w:type="dxa"/>
              <w:left w:w="120" w:type="dxa"/>
              <w:bottom w:w="60" w:type="dxa"/>
              <w:right w:w="120" w:type="dxa"/>
            </w:tcMar>
          </w:tcPr>
          <w:p>
            <w:pPr>
              <w:jc w:val="right"/>
            </w:pPr>
            <w:r>
              <w:rPr>
                <w:rFonts w:ascii="Calibri" w:hAnsi="Calibri"/>
                <w:color w:val="1A1A1A"/>
                <w:sz w:val="19"/>
              </w:rPr>
              <w:t>24</w:t>
            </w:r>
          </w:p>
        </w:tc>
        <w:tc>
          <w:tcPr>
            <w:tcW w:type="dxa" w:w="2160"/>
            <w:shd w:fill="F7F7F7" w:val="clear"/>
            <w:tcMar>
              <w:top w:w="60" w:type="dxa"/>
              <w:left w:w="120" w:type="dxa"/>
              <w:bottom w:w="60" w:type="dxa"/>
              <w:right w:w="120" w:type="dxa"/>
            </w:tcMar>
          </w:tcPr>
          <w:p>
            <w:pPr>
              <w:jc w:val="right"/>
            </w:pPr>
            <w:r>
              <w:rPr>
                <w:rFonts w:ascii="Calibri" w:hAnsi="Calibri"/>
                <w:color w:val="1A1A1A"/>
                <w:sz w:val="19"/>
              </w:rPr>
              <w:t>$3,600</w:t>
            </w:r>
          </w:p>
        </w:tc>
      </w:tr>
      <w:tr>
        <w:tc>
          <w:tcPr>
            <w:tcW w:type="dxa" w:w="4320"/>
            <w:tcMar>
              <w:top w:w="60" w:type="dxa"/>
              <w:left w:w="120" w:type="dxa"/>
              <w:bottom w:w="60" w:type="dxa"/>
              <w:right w:w="120" w:type="dxa"/>
            </w:tcMar>
          </w:tcPr>
          <w:p>
            <w:pPr>
              <w:jc w:val="left"/>
            </w:pPr>
            <w:r>
              <w:rPr>
                <w:rFonts w:ascii="Calibri" w:hAnsi="Calibri"/>
                <w:color w:val="1A1A1A"/>
                <w:sz w:val="19"/>
              </w:rPr>
              <w:t>Quality Assurance</w:t>
            </w:r>
          </w:p>
        </w:tc>
        <w:tc>
          <w:tcPr>
            <w:tcW w:type="dxa" w:w="1440"/>
            <w:tcMar>
              <w:top w:w="60" w:type="dxa"/>
              <w:left w:w="120" w:type="dxa"/>
              <w:bottom w:w="60" w:type="dxa"/>
              <w:right w:w="120" w:type="dxa"/>
            </w:tcMar>
          </w:tcPr>
          <w:p>
            <w:pPr>
              <w:jc w:val="right"/>
            </w:pPr>
            <w:r>
              <w:rPr>
                <w:rFonts w:ascii="Calibri" w:hAnsi="Calibri"/>
                <w:color w:val="1A1A1A"/>
                <w:sz w:val="19"/>
              </w:rPr>
              <w:t>20</w:t>
            </w:r>
          </w:p>
        </w:tc>
        <w:tc>
          <w:tcPr>
            <w:tcW w:type="dxa" w:w="2160"/>
            <w:tcMar>
              <w:top w:w="60" w:type="dxa"/>
              <w:left w:w="120" w:type="dxa"/>
              <w:bottom w:w="60" w:type="dxa"/>
              <w:right w:w="120" w:type="dxa"/>
            </w:tcMar>
          </w:tcPr>
          <w:p>
            <w:pPr>
              <w:jc w:val="right"/>
            </w:pPr>
            <w:r>
              <w:rPr>
                <w:rFonts w:ascii="Calibri" w:hAnsi="Calibri"/>
                <w:color w:val="1A1A1A"/>
                <w:sz w:val="19"/>
              </w:rPr>
              <w:t>$3,000</w:t>
            </w:r>
          </w:p>
        </w:tc>
      </w:tr>
      <w:tr>
        <w:tc>
          <w:tcPr>
            <w:tcW w:type="dxa" w:w="4320"/>
            <w:shd w:fill="F7F7F7" w:val="clear"/>
            <w:tcMar>
              <w:top w:w="60" w:type="dxa"/>
              <w:left w:w="120" w:type="dxa"/>
              <w:bottom w:w="60" w:type="dxa"/>
              <w:right w:w="120" w:type="dxa"/>
            </w:tcMar>
          </w:tcPr>
          <w:p>
            <w:pPr>
              <w:jc w:val="left"/>
            </w:pPr>
            <w:r>
              <w:rPr>
                <w:rFonts w:ascii="Calibri" w:hAnsi="Calibri"/>
                <w:b/>
                <w:color w:val="1A1A1A"/>
                <w:sz w:val="19"/>
              </w:rPr>
              <w:t>Total</w:t>
            </w:r>
          </w:p>
        </w:tc>
        <w:tc>
          <w:tcPr>
            <w:tcW w:type="dxa" w:w="1440"/>
            <w:shd w:fill="F7F7F7" w:val="clear"/>
            <w:tcMar>
              <w:top w:w="60" w:type="dxa"/>
              <w:left w:w="120" w:type="dxa"/>
              <w:bottom w:w="60" w:type="dxa"/>
              <w:right w:w="120" w:type="dxa"/>
            </w:tcMar>
          </w:tcPr>
          <w:p>
            <w:pPr>
              <w:jc w:val="right"/>
            </w:pPr>
            <w:r>
              <w:rPr>
                <w:rFonts w:ascii="Calibri" w:hAnsi="Calibri"/>
                <w:b/>
                <w:color w:val="1A1A1A"/>
                <w:sz w:val="19"/>
              </w:rPr>
              <w:t>520</w:t>
            </w:r>
          </w:p>
        </w:tc>
        <w:tc>
          <w:tcPr>
            <w:tcW w:type="dxa" w:w="2160"/>
            <w:shd w:fill="F7F7F7" w:val="clear"/>
            <w:tcMar>
              <w:top w:w="60" w:type="dxa"/>
              <w:left w:w="120" w:type="dxa"/>
              <w:bottom w:w="60" w:type="dxa"/>
              <w:right w:w="120" w:type="dxa"/>
            </w:tcMar>
          </w:tcPr>
          <w:p>
            <w:pPr>
              <w:jc w:val="right"/>
            </w:pPr>
            <w:r>
              <w:rPr>
                <w:rFonts w:ascii="Calibri" w:hAnsi="Calibri"/>
                <w:b/>
                <w:color w:val="1A1A1A"/>
                <w:sz w:val="19"/>
              </w:rPr>
              <w:t>$78,000</w:t>
            </w:r>
          </w:p>
        </w:tc>
      </w:tr>
    </w:tbl>
    <w:p>
      <w:pPr>
        <w:spacing w:before="320" w:after="120"/>
      </w:pPr>
      <w:r>
        <w:rPr>
          <w:rFonts w:ascii="Calibri" w:hAnsi="Calibri"/>
          <w:b/>
          <w:color w:val="2D2D2D"/>
          <w:sz w:val="26"/>
        </w:rPr>
        <w:t>What’s the Difference?</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E8E8E8"/>
          <w:insideV w:val="none" w:sz="0" w:space="0" w:color="auto"/>
        </w:tblBorders>
      </w:tblPr>
      <w:tblGrid>
        <w:gridCol w:w="3135"/>
        <w:gridCol w:w="3135"/>
        <w:gridCol w:w="3135"/>
      </w:tblGrid>
      <w:tr>
        <w:tc>
          <w:tcPr>
            <w:tcW w:type="dxa" w:w="1872"/>
            <w:shd w:fill="2D2D2D" w:val="clear"/>
            <w:tcMar>
              <w:top w:w="80" w:type="dxa"/>
              <w:left w:w="120" w:type="dxa"/>
              <w:bottom w:w="80" w:type="dxa"/>
              <w:right w:w="120" w:type="dxa"/>
            </w:tcMar>
          </w:tcPr>
          <w:p>
            <w:pPr>
              <w:jc w:val="left"/>
            </w:pPr>
            <w:r>
              <w:rPr>
                <w:rFonts w:ascii="Calibri" w:hAnsi="Calibri"/>
                <w:b/>
                <w:color w:val="FFFFFF"/>
                <w:sz w:val="19"/>
              </w:rPr>
            </w:r>
          </w:p>
        </w:tc>
        <w:tc>
          <w:tcPr>
            <w:tcW w:type="dxa" w:w="3744"/>
            <w:shd w:fill="2D2D2D" w:val="clear"/>
            <w:tcMar>
              <w:top w:w="80" w:type="dxa"/>
              <w:left w:w="120" w:type="dxa"/>
              <w:bottom w:w="80" w:type="dxa"/>
              <w:right w:w="120" w:type="dxa"/>
            </w:tcMar>
          </w:tcPr>
          <w:p>
            <w:pPr>
              <w:jc w:val="left"/>
            </w:pPr>
            <w:r>
              <w:rPr>
                <w:rFonts w:ascii="Calibri" w:hAnsi="Calibri"/>
                <w:b/>
                <w:color w:val="FFFFFF"/>
                <w:sz w:val="19"/>
              </w:rPr>
              <w:t>Dev Only ($56,100)</w:t>
            </w:r>
          </w:p>
        </w:tc>
        <w:tc>
          <w:tcPr>
            <w:tcW w:type="dxa" w:w="3744"/>
            <w:shd w:fill="2D2D2D" w:val="clear"/>
            <w:tcMar>
              <w:top w:w="80" w:type="dxa"/>
              <w:left w:w="120" w:type="dxa"/>
              <w:bottom w:w="80" w:type="dxa"/>
              <w:right w:w="120" w:type="dxa"/>
            </w:tcMar>
          </w:tcPr>
          <w:p>
            <w:pPr>
              <w:jc w:val="left"/>
            </w:pPr>
            <w:r>
              <w:rPr>
                <w:rFonts w:ascii="Calibri" w:hAnsi="Calibri"/>
                <w:b/>
                <w:color w:val="FFFFFF"/>
                <w:sz w:val="19"/>
              </w:rPr>
              <w:t>Full Service ($78,000)</w:t>
            </w:r>
          </w:p>
        </w:tc>
      </w:tr>
      <w:tr>
        <w:tc>
          <w:tcPr>
            <w:tcW w:type="dxa" w:w="1872"/>
            <w:tcMar>
              <w:top w:w="60" w:type="dxa"/>
              <w:left w:w="120" w:type="dxa"/>
              <w:bottom w:w="60" w:type="dxa"/>
              <w:right w:w="120" w:type="dxa"/>
            </w:tcMar>
          </w:tcPr>
          <w:p>
            <w:pPr>
              <w:jc w:val="left"/>
            </w:pPr>
            <w:r>
              <w:rPr>
                <w:rFonts w:ascii="Calibri" w:hAnsi="Calibri"/>
                <w:color w:val="1A1A1A"/>
                <w:sz w:val="19"/>
              </w:rPr>
              <w:t>Who designs</w:t>
            </w:r>
          </w:p>
        </w:tc>
        <w:tc>
          <w:tcPr>
            <w:tcW w:type="dxa" w:w="3744"/>
            <w:tcMar>
              <w:top w:w="60" w:type="dxa"/>
              <w:left w:w="120" w:type="dxa"/>
              <w:bottom w:w="60" w:type="dxa"/>
              <w:right w:w="120" w:type="dxa"/>
            </w:tcMar>
          </w:tcPr>
          <w:p>
            <w:pPr>
              <w:jc w:val="left"/>
            </w:pPr>
            <w:r>
              <w:rPr>
                <w:rFonts w:ascii="Calibri" w:hAnsi="Calibri"/>
                <w:color w:val="1A1A1A"/>
                <w:sz w:val="19"/>
              </w:rPr>
              <w:t>Maggie (in-house) + SD consulting</w:t>
            </w:r>
          </w:p>
        </w:tc>
        <w:tc>
          <w:tcPr>
            <w:tcW w:type="dxa" w:w="3744"/>
            <w:tcMar>
              <w:top w:w="60" w:type="dxa"/>
              <w:left w:w="120" w:type="dxa"/>
              <w:bottom w:w="60" w:type="dxa"/>
              <w:right w:w="120" w:type="dxa"/>
            </w:tcMar>
          </w:tcPr>
          <w:p>
            <w:pPr>
              <w:jc w:val="left"/>
            </w:pPr>
            <w:r>
              <w:rPr>
                <w:rFonts w:ascii="Calibri" w:hAnsi="Calibri"/>
                <w:color w:val="1A1A1A"/>
                <w:sz w:val="19"/>
              </w:rPr>
              <w:t>Shadow Digital end-to-end</w:t>
            </w:r>
          </w:p>
        </w:tc>
      </w:tr>
      <w:tr>
        <w:tc>
          <w:tcPr>
            <w:tcW w:type="dxa" w:w="1872"/>
            <w:shd w:fill="F7F7F7" w:val="clear"/>
            <w:tcMar>
              <w:top w:w="60" w:type="dxa"/>
              <w:left w:w="120" w:type="dxa"/>
              <w:bottom w:w="60" w:type="dxa"/>
              <w:right w:w="120" w:type="dxa"/>
            </w:tcMar>
          </w:tcPr>
          <w:p>
            <w:pPr>
              <w:jc w:val="left"/>
            </w:pPr>
            <w:r>
              <w:rPr>
                <w:rFonts w:ascii="Calibri" w:hAnsi="Calibri"/>
                <w:color w:val="1A1A1A"/>
                <w:sz w:val="19"/>
              </w:rPr>
              <w:t>Timeline</w:t>
            </w:r>
          </w:p>
        </w:tc>
        <w:tc>
          <w:tcPr>
            <w:tcW w:type="dxa" w:w="3744"/>
            <w:shd w:fill="F7F7F7" w:val="clear"/>
            <w:tcMar>
              <w:top w:w="60" w:type="dxa"/>
              <w:left w:w="120" w:type="dxa"/>
              <w:bottom w:w="60" w:type="dxa"/>
              <w:right w:w="120" w:type="dxa"/>
            </w:tcMar>
          </w:tcPr>
          <w:p>
            <w:pPr>
              <w:jc w:val="left"/>
            </w:pPr>
            <w:r>
              <w:rPr>
                <w:rFonts w:ascii="Calibri" w:hAnsi="Calibri"/>
                <w:color w:val="1A1A1A"/>
                <w:sz w:val="19"/>
              </w:rPr>
              <w:t>12 weeks + support</w:t>
            </w:r>
          </w:p>
        </w:tc>
        <w:tc>
          <w:tcPr>
            <w:tcW w:type="dxa" w:w="3744"/>
            <w:shd w:fill="F7F7F7" w:val="clear"/>
            <w:tcMar>
              <w:top w:w="60" w:type="dxa"/>
              <w:left w:w="120" w:type="dxa"/>
              <w:bottom w:w="60" w:type="dxa"/>
              <w:right w:w="120" w:type="dxa"/>
            </w:tcMar>
          </w:tcPr>
          <w:p>
            <w:pPr>
              <w:jc w:val="left"/>
            </w:pPr>
            <w:r>
              <w:rPr>
                <w:rFonts w:ascii="Calibri" w:hAnsi="Calibri"/>
                <w:color w:val="1A1A1A"/>
                <w:sz w:val="19"/>
              </w:rPr>
              <w:t>18 weeks + support</w:t>
            </w:r>
          </w:p>
        </w:tc>
      </w:tr>
      <w:tr>
        <w:tc>
          <w:tcPr>
            <w:tcW w:type="dxa" w:w="1872"/>
            <w:tcMar>
              <w:top w:w="60" w:type="dxa"/>
              <w:left w:w="120" w:type="dxa"/>
              <w:bottom w:w="60" w:type="dxa"/>
              <w:right w:w="120" w:type="dxa"/>
            </w:tcMar>
          </w:tcPr>
          <w:p>
            <w:pPr>
              <w:jc w:val="left"/>
            </w:pPr>
            <w:r>
              <w:rPr>
                <w:rFonts w:ascii="Calibri" w:hAnsi="Calibri"/>
                <w:color w:val="1A1A1A"/>
                <w:sz w:val="19"/>
              </w:rPr>
              <w:t>Design risk</w:t>
            </w:r>
          </w:p>
        </w:tc>
        <w:tc>
          <w:tcPr>
            <w:tcW w:type="dxa" w:w="3744"/>
            <w:tcMar>
              <w:top w:w="60" w:type="dxa"/>
              <w:left w:w="120" w:type="dxa"/>
              <w:bottom w:w="60" w:type="dxa"/>
              <w:right w:w="120" w:type="dxa"/>
            </w:tcMar>
          </w:tcPr>
          <w:p>
            <w:pPr>
              <w:jc w:val="left"/>
            </w:pPr>
            <w:r>
              <w:rPr>
                <w:rFonts w:ascii="Calibri" w:hAnsi="Calibri"/>
                <w:color w:val="1A1A1A"/>
                <w:sz w:val="19"/>
              </w:rPr>
              <w:t>Maggie is new, desktop-only Figma — SD consults on feasibility</w:t>
            </w:r>
          </w:p>
        </w:tc>
        <w:tc>
          <w:tcPr>
            <w:tcW w:type="dxa" w:w="3744"/>
            <w:tcMar>
              <w:top w:w="60" w:type="dxa"/>
              <w:left w:w="120" w:type="dxa"/>
              <w:bottom w:w="60" w:type="dxa"/>
              <w:right w:w="120" w:type="dxa"/>
            </w:tcMar>
          </w:tcPr>
          <w:p>
            <w:pPr>
              <w:jc w:val="left"/>
            </w:pPr>
            <w:r>
              <w:rPr>
                <w:rFonts w:ascii="Calibri" w:hAnsi="Calibri"/>
                <w:color w:val="1A1A1A"/>
                <w:sz w:val="19"/>
              </w:rPr>
              <w:t>Full design team with Webflow-native expertise</w:t>
            </w:r>
          </w:p>
        </w:tc>
      </w:tr>
      <w:tr>
        <w:tc>
          <w:tcPr>
            <w:tcW w:type="dxa" w:w="1872"/>
            <w:shd w:fill="F7F7F7" w:val="clear"/>
            <w:tcMar>
              <w:top w:w="60" w:type="dxa"/>
              <w:left w:w="120" w:type="dxa"/>
              <w:bottom w:w="60" w:type="dxa"/>
              <w:right w:w="120" w:type="dxa"/>
            </w:tcMar>
          </w:tcPr>
          <w:p>
            <w:pPr>
              <w:jc w:val="left"/>
            </w:pPr>
            <w:r>
              <w:rPr>
                <w:rFonts w:ascii="Calibri" w:hAnsi="Calibri"/>
                <w:color w:val="1A1A1A"/>
                <w:sz w:val="19"/>
              </w:rPr>
              <w:t>Motion</w:t>
            </w:r>
          </w:p>
        </w:tc>
        <w:tc>
          <w:tcPr>
            <w:tcW w:type="dxa" w:w="3744"/>
            <w:shd w:fill="F7F7F7" w:val="clear"/>
            <w:tcMar>
              <w:top w:w="60" w:type="dxa"/>
              <w:left w:w="120" w:type="dxa"/>
              <w:bottom w:w="60" w:type="dxa"/>
              <w:right w:w="120" w:type="dxa"/>
            </w:tcMar>
          </w:tcPr>
          <w:p>
            <w:pPr>
              <w:jc w:val="left"/>
            </w:pPr>
            <w:r>
              <w:rPr>
                <w:rFonts w:ascii="Calibri" w:hAnsi="Calibri"/>
                <w:color w:val="1A1A1A"/>
                <w:sz w:val="19"/>
              </w:rPr>
              <w:t>SD builds from Maggie’s direction</w:t>
            </w:r>
          </w:p>
        </w:tc>
        <w:tc>
          <w:tcPr>
            <w:tcW w:type="dxa" w:w="3744"/>
            <w:shd w:fill="F7F7F7" w:val="clear"/>
            <w:tcMar>
              <w:top w:w="60" w:type="dxa"/>
              <w:left w:w="120" w:type="dxa"/>
              <w:bottom w:w="60" w:type="dxa"/>
              <w:right w:w="120" w:type="dxa"/>
            </w:tcMar>
          </w:tcPr>
          <w:p>
            <w:pPr>
              <w:jc w:val="left"/>
            </w:pPr>
            <w:r>
              <w:rPr>
                <w:rFonts w:ascii="Calibri" w:hAnsi="Calibri"/>
                <w:color w:val="1A1A1A"/>
                <w:sz w:val="19"/>
              </w:rPr>
              <w:t>SD handles motion direction + execution</w:t>
            </w:r>
          </w:p>
        </w:tc>
      </w:tr>
      <w:tr>
        <w:tc>
          <w:tcPr>
            <w:tcW w:type="dxa" w:w="1872"/>
            <w:tcMar>
              <w:top w:w="60" w:type="dxa"/>
              <w:left w:w="120" w:type="dxa"/>
              <w:bottom w:w="60" w:type="dxa"/>
              <w:right w:w="120" w:type="dxa"/>
            </w:tcMar>
          </w:tcPr>
          <w:p>
            <w:pPr>
              <w:jc w:val="left"/>
            </w:pPr>
            <w:r>
              <w:rPr>
                <w:rFonts w:ascii="Calibri" w:hAnsi="Calibri"/>
                <w:color w:val="1A1A1A"/>
                <w:sz w:val="19"/>
              </w:rPr>
              <w:t>Best for</w:t>
            </w:r>
          </w:p>
        </w:tc>
        <w:tc>
          <w:tcPr>
            <w:tcW w:type="dxa" w:w="3744"/>
            <w:tcMar>
              <w:top w:w="60" w:type="dxa"/>
              <w:left w:w="120" w:type="dxa"/>
              <w:bottom w:w="60" w:type="dxa"/>
              <w:right w:w="120" w:type="dxa"/>
            </w:tcMar>
          </w:tcPr>
          <w:p>
            <w:pPr>
              <w:jc w:val="left"/>
            </w:pPr>
            <w:r>
              <w:rPr>
                <w:rFonts w:ascii="Calibri" w:hAnsi="Calibri"/>
                <w:color w:val="1A1A1A"/>
                <w:sz w:val="19"/>
              </w:rPr>
              <w:t>Strong internal design vision, budget priority</w:t>
            </w:r>
          </w:p>
        </w:tc>
        <w:tc>
          <w:tcPr>
            <w:tcW w:type="dxa" w:w="3744"/>
            <w:tcMar>
              <w:top w:w="60" w:type="dxa"/>
              <w:left w:w="120" w:type="dxa"/>
              <w:bottom w:w="60" w:type="dxa"/>
              <w:right w:w="120" w:type="dxa"/>
            </w:tcMar>
          </w:tcPr>
          <w:p>
            <w:pPr>
              <w:jc w:val="left"/>
            </w:pPr>
            <w:r>
              <w:rPr>
                <w:rFonts w:ascii="Calibri" w:hAnsi="Calibri"/>
                <w:color w:val="1A1A1A"/>
                <w:sz w:val="19"/>
              </w:rPr>
              <w:t>Need a partner to own the full creative process</w:t>
            </w:r>
          </w:p>
        </w:tc>
      </w:tr>
    </w:tbl>
    <w:p>
      <w:pPr>
        <w:spacing w:before="160" w:after="160"/>
        <w:ind w:left="283"/>
        <w:pBdr>
          <w:left w:val="single" w:sz="18" w:space="8" w:color="E8422F"/>
        </w:pBdr>
      </w:pPr>
      <w:r>
        <w:rPr>
          <w:rFonts w:ascii="Calibri" w:hAnsi="Calibri"/>
          <w:i/>
          <w:color w:val="666666"/>
          <w:sz w:val="20"/>
        </w:rPr>
        <w:t>Both options include the same scope of development, content migration, SEO, and enablement. The difference is who owns the design process.</w:t>
      </w:r>
    </w:p>
    <w:p>
      <w:pPr>
        <w:spacing w:before="320" w:after="120"/>
      </w:pPr>
      <w:r>
        <w:rPr>
          <w:rFonts w:ascii="Calibri" w:hAnsi="Calibri"/>
          <w:b/>
          <w:color w:val="2D2D2D"/>
          <w:sz w:val="26"/>
        </w:rPr>
        <w:t>Included at No Additional Cost</w:t>
      </w:r>
    </w:p>
    <w:p>
      <w:pPr>
        <w:pStyle w:val="ListBullet"/>
        <w:spacing w:after="80" w:line="312" w:lineRule="auto"/>
      </w:pPr>
      <w:r>
        <w:rPr>
          <w:rFonts w:ascii="Calibri" w:hAnsi="Calibri"/>
          <w:b/>
          <w:color w:val="1A1A1A"/>
          <w:sz w:val="21"/>
        </w:rPr>
        <w:t>Post-Launch Support — 2 Weeks</w:t>
      </w:r>
      <w:r>
        <w:rPr>
          <w:rFonts w:ascii="Calibri" w:hAnsi="Calibri"/>
          <w:color w:val="1A1A1A"/>
          <w:sz w:val="21"/>
        </w:rPr>
        <w:t xml:space="preserve"> (Valued at $4,200) — Full team availability for bug fixes, content adjustments, and transition support during the critical post-launch window.</w:t>
      </w:r>
    </w:p>
    <w:p>
      <w:pPr>
        <w:pStyle w:val="ListBullet"/>
        <w:spacing w:after="80" w:line="312" w:lineRule="auto"/>
      </w:pPr>
      <w:r>
        <w:rPr>
          <w:rFonts w:ascii="Calibri" w:hAnsi="Calibri"/>
          <w:b/>
          <w:color w:val="1A1A1A"/>
          <w:sz w:val="21"/>
        </w:rPr>
        <w:t>Redirect Mapping &amp; SEO Preservation</w:t>
      </w:r>
      <w:r>
        <w:rPr>
          <w:rFonts w:ascii="Calibri" w:hAnsi="Calibri"/>
          <w:color w:val="1A1A1A"/>
          <w:sz w:val="21"/>
        </w:rPr>
        <w:t xml:space="preserve"> (Valued at $2,100) — Full URL-by-URL redirect mapping so you don’t lose organic equity during the rebuild.</w:t>
      </w:r>
    </w:p>
    <w:p>
      <w:pPr>
        <w:pStyle w:val="ListBullet"/>
        <w:spacing w:after="80" w:line="312" w:lineRule="auto"/>
      </w:pPr>
      <w:r>
        <w:rPr>
          <w:rFonts w:ascii="Calibri" w:hAnsi="Calibri"/>
          <w:b/>
          <w:color w:val="1A1A1A"/>
          <w:sz w:val="21"/>
        </w:rPr>
        <w:t>Component Library Documentation</w:t>
      </w:r>
      <w:r>
        <w:rPr>
          <w:rFonts w:ascii="Calibri" w:hAnsi="Calibri"/>
          <w:color w:val="1A1A1A"/>
          <w:sz w:val="21"/>
        </w:rPr>
        <w:t xml:space="preserve"> (Valued at $1,500) — Every component named, documented, and annotated so the team can build independently post-launch.</w:t>
      </w:r>
    </w:p>
    <w:p>
      <w:pPr>
        <w:spacing w:after="160" w:line="312" w:lineRule="auto"/>
      </w:pPr>
      <w:r>
        <w:rPr>
          <w:rFonts w:ascii="Calibri" w:hAnsi="Calibri"/>
          <w:color w:val="1A1A1A"/>
          <w:sz w:val="21"/>
        </w:rPr>
        <w:t xml:space="preserve">That’s </w:t>
      </w:r>
      <w:r>
        <w:rPr>
          <w:rFonts w:ascii="Calibri" w:hAnsi="Calibri"/>
          <w:b/>
          <w:color w:val="1A1A1A"/>
          <w:sz w:val="21"/>
        </w:rPr>
        <w:t>$7,800 in additional value</w:t>
      </w:r>
      <w:r>
        <w:rPr>
          <w:rFonts w:ascii="Calibri" w:hAnsi="Calibri"/>
          <w:color w:val="1A1A1A"/>
          <w:sz w:val="21"/>
        </w:rPr>
        <w:t xml:space="preserve"> included with either option.</w:t>
      </w:r>
    </w:p>
    <w:p>
      <w:pPr>
        <w:spacing w:before="320" w:after="120"/>
      </w:pPr>
      <w:r>
        <w:rPr>
          <w:rFonts w:ascii="Calibri" w:hAnsi="Calibri"/>
          <w:b/>
          <w:color w:val="2D2D2D"/>
          <w:sz w:val="26"/>
        </w:rPr>
        <w:t>Payment Structure</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E8E8E8"/>
          <w:insideV w:val="none" w:sz="0" w:space="0" w:color="auto"/>
        </w:tblBorders>
      </w:tblPr>
      <w:tblGrid>
        <w:gridCol w:w="2351"/>
        <w:gridCol w:w="2351"/>
        <w:gridCol w:w="2351"/>
        <w:gridCol w:w="2351"/>
      </w:tblGrid>
      <w:tr>
        <w:tc>
          <w:tcPr>
            <w:tcW w:type="dxa" w:w="2880"/>
            <w:shd w:fill="2D2D2D" w:val="clear"/>
            <w:tcMar>
              <w:top w:w="80" w:type="dxa"/>
              <w:left w:w="120" w:type="dxa"/>
              <w:bottom w:w="80" w:type="dxa"/>
              <w:right w:w="120" w:type="dxa"/>
            </w:tcMar>
          </w:tcPr>
          <w:p>
            <w:pPr>
              <w:jc w:val="left"/>
            </w:pPr>
            <w:r>
              <w:rPr>
                <w:rFonts w:ascii="Calibri" w:hAnsi="Calibri"/>
                <w:b/>
                <w:color w:val="FFFFFF"/>
                <w:sz w:val="19"/>
              </w:rPr>
              <w:t>Milestone</w:t>
            </w:r>
          </w:p>
        </w:tc>
        <w:tc>
          <w:tcPr>
            <w:tcW w:type="dxa" w:w="1440"/>
            <w:shd w:fill="2D2D2D" w:val="clear"/>
            <w:tcMar>
              <w:top w:w="80" w:type="dxa"/>
              <w:left w:w="120" w:type="dxa"/>
              <w:bottom w:w="80" w:type="dxa"/>
              <w:right w:w="120" w:type="dxa"/>
            </w:tcMar>
          </w:tcPr>
          <w:p>
            <w:pPr>
              <w:jc w:val="left"/>
            </w:pPr>
            <w:r>
              <w:rPr>
                <w:rFonts w:ascii="Calibri" w:hAnsi="Calibri"/>
                <w:b/>
                <w:color w:val="FFFFFF"/>
                <w:sz w:val="19"/>
              </w:rPr>
              <w:t>Percentage</w:t>
            </w:r>
          </w:p>
        </w:tc>
        <w:tc>
          <w:tcPr>
            <w:tcW w:type="dxa" w:w="2160"/>
            <w:shd w:fill="2D2D2D" w:val="clear"/>
            <w:tcMar>
              <w:top w:w="80" w:type="dxa"/>
              <w:left w:w="120" w:type="dxa"/>
              <w:bottom w:w="80" w:type="dxa"/>
              <w:right w:w="120" w:type="dxa"/>
            </w:tcMar>
          </w:tcPr>
          <w:p>
            <w:pPr>
              <w:jc w:val="right"/>
            </w:pPr>
            <w:r>
              <w:rPr>
                <w:rFonts w:ascii="Calibri" w:hAnsi="Calibri"/>
                <w:b/>
                <w:color w:val="FFFFFF"/>
                <w:sz w:val="19"/>
              </w:rPr>
              <w:t>Option A</w:t>
            </w:r>
          </w:p>
        </w:tc>
        <w:tc>
          <w:tcPr>
            <w:tcW w:type="dxa" w:w="2160"/>
            <w:shd w:fill="2D2D2D" w:val="clear"/>
            <w:tcMar>
              <w:top w:w="80" w:type="dxa"/>
              <w:left w:w="120" w:type="dxa"/>
              <w:bottom w:w="80" w:type="dxa"/>
              <w:right w:w="120" w:type="dxa"/>
            </w:tcMar>
          </w:tcPr>
          <w:p>
            <w:pPr>
              <w:jc w:val="right"/>
            </w:pPr>
            <w:r>
              <w:rPr>
                <w:rFonts w:ascii="Calibri" w:hAnsi="Calibri"/>
                <w:b/>
                <w:color w:val="FFFFFF"/>
                <w:sz w:val="19"/>
              </w:rPr>
              <w:t>Option B</w:t>
            </w:r>
          </w:p>
        </w:tc>
      </w:tr>
      <w:tr>
        <w:tc>
          <w:tcPr>
            <w:tcW w:type="dxa" w:w="2880"/>
            <w:tcMar>
              <w:top w:w="60" w:type="dxa"/>
              <w:left w:w="120" w:type="dxa"/>
              <w:bottom w:w="60" w:type="dxa"/>
              <w:right w:w="120" w:type="dxa"/>
            </w:tcMar>
          </w:tcPr>
          <w:p>
            <w:pPr>
              <w:jc w:val="left"/>
            </w:pPr>
            <w:r>
              <w:rPr>
                <w:rFonts w:ascii="Calibri" w:hAnsi="Calibri"/>
                <w:color w:val="1A1A1A"/>
                <w:sz w:val="19"/>
              </w:rPr>
              <w:t>At signing</w:t>
            </w:r>
          </w:p>
        </w:tc>
        <w:tc>
          <w:tcPr>
            <w:tcW w:type="dxa" w:w="1440"/>
            <w:tcMar>
              <w:top w:w="60" w:type="dxa"/>
              <w:left w:w="120" w:type="dxa"/>
              <w:bottom w:w="60" w:type="dxa"/>
              <w:right w:w="120" w:type="dxa"/>
            </w:tcMar>
          </w:tcPr>
          <w:p>
            <w:pPr>
              <w:jc w:val="left"/>
            </w:pPr>
            <w:r>
              <w:rPr>
                <w:rFonts w:ascii="Calibri" w:hAnsi="Calibri"/>
                <w:color w:val="1A1A1A"/>
                <w:sz w:val="19"/>
              </w:rPr>
              <w:t>50%</w:t>
            </w:r>
          </w:p>
        </w:tc>
        <w:tc>
          <w:tcPr>
            <w:tcW w:type="dxa" w:w="2160"/>
            <w:tcMar>
              <w:top w:w="60" w:type="dxa"/>
              <w:left w:w="120" w:type="dxa"/>
              <w:bottom w:w="60" w:type="dxa"/>
              <w:right w:w="120" w:type="dxa"/>
            </w:tcMar>
          </w:tcPr>
          <w:p>
            <w:pPr>
              <w:jc w:val="right"/>
            </w:pPr>
            <w:r>
              <w:rPr>
                <w:rFonts w:ascii="Calibri" w:hAnsi="Calibri"/>
                <w:color w:val="1A1A1A"/>
                <w:sz w:val="19"/>
              </w:rPr>
              <w:t>$28,050</w:t>
            </w:r>
          </w:p>
        </w:tc>
        <w:tc>
          <w:tcPr>
            <w:tcW w:type="dxa" w:w="2160"/>
            <w:tcMar>
              <w:top w:w="60" w:type="dxa"/>
              <w:left w:w="120" w:type="dxa"/>
              <w:bottom w:w="60" w:type="dxa"/>
              <w:right w:w="120" w:type="dxa"/>
            </w:tcMar>
          </w:tcPr>
          <w:p>
            <w:pPr>
              <w:jc w:val="right"/>
            </w:pPr>
            <w:r>
              <w:rPr>
                <w:rFonts w:ascii="Calibri" w:hAnsi="Calibri"/>
                <w:color w:val="1A1A1A"/>
                <w:sz w:val="19"/>
              </w:rPr>
              <w:t>$39,000</w:t>
            </w:r>
          </w:p>
        </w:tc>
      </w:tr>
      <w:tr>
        <w:tc>
          <w:tcPr>
            <w:tcW w:type="dxa" w:w="2880"/>
            <w:shd w:fill="F7F7F7" w:val="clear"/>
            <w:tcMar>
              <w:top w:w="60" w:type="dxa"/>
              <w:left w:w="120" w:type="dxa"/>
              <w:bottom w:w="60" w:type="dxa"/>
              <w:right w:w="120" w:type="dxa"/>
            </w:tcMar>
          </w:tcPr>
          <w:p>
            <w:pPr>
              <w:jc w:val="left"/>
            </w:pPr>
            <w:r>
              <w:rPr>
                <w:rFonts w:ascii="Calibri" w:hAnsi="Calibri"/>
                <w:color w:val="1A1A1A"/>
                <w:sz w:val="19"/>
              </w:rPr>
              <w:t>Net-30 post kickoff</w:t>
            </w:r>
          </w:p>
        </w:tc>
        <w:tc>
          <w:tcPr>
            <w:tcW w:type="dxa" w:w="1440"/>
            <w:shd w:fill="F7F7F7" w:val="clear"/>
            <w:tcMar>
              <w:top w:w="60" w:type="dxa"/>
              <w:left w:w="120" w:type="dxa"/>
              <w:bottom w:w="60" w:type="dxa"/>
              <w:right w:w="120" w:type="dxa"/>
            </w:tcMar>
          </w:tcPr>
          <w:p>
            <w:pPr>
              <w:jc w:val="left"/>
            </w:pPr>
            <w:r>
              <w:rPr>
                <w:rFonts w:ascii="Calibri" w:hAnsi="Calibri"/>
                <w:color w:val="1A1A1A"/>
                <w:sz w:val="19"/>
              </w:rPr>
              <w:t>40%</w:t>
            </w:r>
          </w:p>
        </w:tc>
        <w:tc>
          <w:tcPr>
            <w:tcW w:type="dxa" w:w="2160"/>
            <w:shd w:fill="F7F7F7" w:val="clear"/>
            <w:tcMar>
              <w:top w:w="60" w:type="dxa"/>
              <w:left w:w="120" w:type="dxa"/>
              <w:bottom w:w="60" w:type="dxa"/>
              <w:right w:w="120" w:type="dxa"/>
            </w:tcMar>
          </w:tcPr>
          <w:p>
            <w:pPr>
              <w:jc w:val="right"/>
            </w:pPr>
            <w:r>
              <w:rPr>
                <w:rFonts w:ascii="Calibri" w:hAnsi="Calibri"/>
                <w:color w:val="1A1A1A"/>
                <w:sz w:val="19"/>
              </w:rPr>
              <w:t>$22,440</w:t>
            </w:r>
          </w:p>
        </w:tc>
        <w:tc>
          <w:tcPr>
            <w:tcW w:type="dxa" w:w="2160"/>
            <w:shd w:fill="F7F7F7" w:val="clear"/>
            <w:tcMar>
              <w:top w:w="60" w:type="dxa"/>
              <w:left w:w="120" w:type="dxa"/>
              <w:bottom w:w="60" w:type="dxa"/>
              <w:right w:w="120" w:type="dxa"/>
            </w:tcMar>
          </w:tcPr>
          <w:p>
            <w:pPr>
              <w:jc w:val="right"/>
            </w:pPr>
            <w:r>
              <w:rPr>
                <w:rFonts w:ascii="Calibri" w:hAnsi="Calibri"/>
                <w:color w:val="1A1A1A"/>
                <w:sz w:val="19"/>
              </w:rPr>
              <w:t>$31,200</w:t>
            </w:r>
          </w:p>
        </w:tc>
      </w:tr>
      <w:tr>
        <w:tc>
          <w:tcPr>
            <w:tcW w:type="dxa" w:w="2880"/>
            <w:tcMar>
              <w:top w:w="60" w:type="dxa"/>
              <w:left w:w="120" w:type="dxa"/>
              <w:bottom w:w="60" w:type="dxa"/>
              <w:right w:w="120" w:type="dxa"/>
            </w:tcMar>
          </w:tcPr>
          <w:p>
            <w:pPr>
              <w:jc w:val="left"/>
            </w:pPr>
            <w:r>
              <w:rPr>
                <w:rFonts w:ascii="Calibri" w:hAnsi="Calibri"/>
                <w:color w:val="1A1A1A"/>
                <w:sz w:val="19"/>
              </w:rPr>
              <w:t>At project handoff</w:t>
            </w:r>
          </w:p>
        </w:tc>
        <w:tc>
          <w:tcPr>
            <w:tcW w:type="dxa" w:w="1440"/>
            <w:tcMar>
              <w:top w:w="60" w:type="dxa"/>
              <w:left w:w="120" w:type="dxa"/>
              <w:bottom w:w="60" w:type="dxa"/>
              <w:right w:w="120" w:type="dxa"/>
            </w:tcMar>
          </w:tcPr>
          <w:p>
            <w:pPr>
              <w:jc w:val="left"/>
            </w:pPr>
            <w:r>
              <w:rPr>
                <w:rFonts w:ascii="Calibri" w:hAnsi="Calibri"/>
                <w:color w:val="1A1A1A"/>
                <w:sz w:val="19"/>
              </w:rPr>
              <w:t>10%</w:t>
            </w:r>
          </w:p>
        </w:tc>
        <w:tc>
          <w:tcPr>
            <w:tcW w:type="dxa" w:w="2160"/>
            <w:tcMar>
              <w:top w:w="60" w:type="dxa"/>
              <w:left w:w="120" w:type="dxa"/>
              <w:bottom w:w="60" w:type="dxa"/>
              <w:right w:w="120" w:type="dxa"/>
            </w:tcMar>
          </w:tcPr>
          <w:p>
            <w:pPr>
              <w:jc w:val="right"/>
            </w:pPr>
            <w:r>
              <w:rPr>
                <w:rFonts w:ascii="Calibri" w:hAnsi="Calibri"/>
                <w:b/>
                <w:color w:val="1A1A1A"/>
                <w:sz w:val="19"/>
              </w:rPr>
              <w:t>$5,610</w:t>
            </w:r>
          </w:p>
        </w:tc>
        <w:tc>
          <w:tcPr>
            <w:tcW w:type="dxa" w:w="2160"/>
            <w:tcMar>
              <w:top w:w="60" w:type="dxa"/>
              <w:left w:w="120" w:type="dxa"/>
              <w:bottom w:w="60" w:type="dxa"/>
              <w:right w:w="120" w:type="dxa"/>
            </w:tcMar>
          </w:tcPr>
          <w:p>
            <w:pPr>
              <w:jc w:val="right"/>
            </w:pPr>
            <w:r>
              <w:rPr>
                <w:rFonts w:ascii="Calibri" w:hAnsi="Calibri"/>
                <w:b/>
                <w:color w:val="1A1A1A"/>
                <w:sz w:val="19"/>
              </w:rPr>
              <w:t>$7,800</w:t>
            </w:r>
          </w:p>
        </w:tc>
      </w:tr>
    </w:tbl>
    <w:p>
      <w:pPr>
        <w:spacing w:before="80" w:after="80"/>
        <w:pBdr>
          <w:bottom w:val="single" w:sz="6" w:space="1" w:color="E8422F"/>
        </w:pBdr>
      </w:pPr>
    </w:p>
    <w:p>
      <w:pPr>
        <w:spacing w:before="40" w:after="40"/>
      </w:pPr>
    </w:p>
    <w:p>
      <w:r>
        <w:br w:type="page"/>
      </w:r>
    </w:p>
    <w:p>
      <w:pPr>
        <w:spacing w:before="480" w:after="240"/>
      </w:pPr>
      <w:r>
        <w:rPr>
          <w:rFonts w:ascii="Calibri" w:hAnsi="Calibri"/>
          <w:b/>
          <w:color w:val="E8422F"/>
          <w:sz w:val="44"/>
        </w:rPr>
        <w:t xml:space="preserve">6. </w:t>
      </w:r>
      <w:r>
        <w:rPr>
          <w:rFonts w:ascii="Calibri" w:hAnsi="Calibri"/>
          <w:b/>
          <w:color w:val="2D2D2D"/>
          <w:sz w:val="44"/>
        </w:rPr>
        <w:t>Why Shadow Digital</w:t>
      </w:r>
    </w:p>
    <w:p>
      <w:pPr>
        <w:spacing w:after="160" w:line="312" w:lineRule="auto"/>
      </w:pPr>
      <w:r>
        <w:rPr>
          <w:rFonts w:ascii="Calibri" w:hAnsi="Calibri"/>
          <w:b/>
          <w:color w:val="1A1A1A"/>
          <w:sz w:val="21"/>
        </w:rPr>
        <w:t>Motion-forward Webflow is what we do</w:t>
      </w:r>
      <w:r>
        <w:rPr>
          <w:rFonts w:ascii="Calibri" w:hAnsi="Calibri"/>
          <w:color w:val="1A1A1A"/>
          <w:sz w:val="21"/>
        </w:rPr>
        <w:t xml:space="preserve"> — We’ve built 50+ enterprise sites on Webflow with native animations, parallax, and interaction design baked in from the start — not bolted on afterward. The ocean-inspired motion Sofar wants isn’t a stretch for us — it’s our standard.</w:t>
      </w:r>
    </w:p>
    <w:p>
      <w:pPr>
        <w:spacing w:after="160" w:line="312" w:lineRule="auto"/>
      </w:pPr>
      <w:r>
        <w:rPr>
          <w:rFonts w:ascii="Calibri" w:hAnsi="Calibri"/>
          <w:b/>
          <w:color w:val="1A1A1A"/>
          <w:sz w:val="21"/>
        </w:rPr>
        <w:t>We’ve rebuilt “lasagna” sites before</w:t>
      </w:r>
      <w:r>
        <w:rPr>
          <w:rFonts w:ascii="Calibri" w:hAnsi="Calibri"/>
          <w:color w:val="1A1A1A"/>
          <w:sz w:val="21"/>
        </w:rPr>
        <w:t xml:space="preserve"> — Companies that have layered additions for years without architecture are our sweet spot. We don’t just redesign — we create a system: named components, documented patterns, and clean class structures so the next person who touches the site understands exactly what they’re working with.</w:t>
      </w:r>
    </w:p>
    <w:p>
      <w:pPr>
        <w:spacing w:after="160" w:line="312" w:lineRule="auto"/>
      </w:pPr>
      <w:r>
        <w:rPr>
          <w:rFonts w:ascii="Calibri" w:hAnsi="Calibri"/>
          <w:b/>
          <w:color w:val="1A1A1A"/>
          <w:sz w:val="21"/>
        </w:rPr>
        <w:t>Enablement-first, not dependency-first</w:t>
      </w:r>
      <w:r>
        <w:rPr>
          <w:rFonts w:ascii="Calibri" w:hAnsi="Calibri"/>
          <w:color w:val="1A1A1A"/>
          <w:sz w:val="21"/>
        </w:rPr>
        <w:t xml:space="preserve"> — Your team is building Webflow expertise from scratch. Every engagement ends with documentation, training, and a component library designed for independence. We don’t create dependency — we build capability. Six months post-launch, your team should be shipping pages without thinking about us.</w:t>
      </w:r>
    </w:p>
    <w:p>
      <w:pPr>
        <w:spacing w:after="160" w:line="312" w:lineRule="auto"/>
      </w:pPr>
      <w:r>
        <w:rPr>
          <w:rFonts w:ascii="Calibri" w:hAnsi="Calibri"/>
          <w:b/>
          <w:color w:val="1A1A1A"/>
          <w:sz w:val="21"/>
        </w:rPr>
        <w:t>We’ve handled complex content migrations at scale</w:t>
      </w:r>
      <w:r>
        <w:rPr>
          <w:rFonts w:ascii="Calibri" w:hAnsi="Calibri"/>
          <w:color w:val="1A1A1A"/>
          <w:sz w:val="21"/>
        </w:rPr>
        <w:t xml:space="preserve"> — TSIA: 200+ pages migrated in 6 weeks with 112% mobile speed improvement and zero SEO loss. Bench: 1,000+ content pieces migrated, marketing team creating 450 new pages within 6 months. Your 200+ blog posts, research papers, and case studies are well within our operating range.</w:t>
      </w:r>
    </w:p>
    <w:p>
      <w:pPr>
        <w:spacing w:after="160" w:line="312" w:lineRule="auto"/>
      </w:pPr>
      <w:r>
        <w:rPr>
          <w:rFonts w:ascii="Calibri" w:hAnsi="Calibri"/>
          <w:b/>
          <w:color w:val="1A1A1A"/>
          <w:sz w:val="21"/>
        </w:rPr>
        <w:t>Sprint-based delivery with real accountability</w:t>
      </w:r>
      <w:r>
        <w:rPr>
          <w:rFonts w:ascii="Calibri" w:hAnsi="Calibri"/>
          <w:color w:val="1A1A1A"/>
          <w:sz w:val="21"/>
        </w:rPr>
        <w:t xml:space="preserve"> — You’ll see progress every two weeks in a staging environment. Not mockups, not wireframes — real pages you can click through. If something’s off, we catch it in Week 3, not Week 12.</w:t>
      </w:r>
    </w:p>
    <w:p>
      <w:pPr>
        <w:spacing w:before="80" w:after="80"/>
        <w:pBdr>
          <w:bottom w:val="single" w:sz="6" w:space="1" w:color="E8422F"/>
        </w:pBdr>
      </w:pPr>
    </w:p>
    <w:p>
      <w:pPr>
        <w:spacing w:before="40" w:after="40"/>
      </w:pPr>
    </w:p>
    <w:p>
      <w:pPr>
        <w:spacing w:before="480" w:after="240"/>
      </w:pPr>
      <w:r>
        <w:rPr>
          <w:rFonts w:ascii="Calibri" w:hAnsi="Calibri"/>
          <w:b/>
          <w:color w:val="E8422F"/>
          <w:sz w:val="44"/>
        </w:rPr>
        <w:t xml:space="preserve">7. </w:t>
      </w:r>
      <w:r>
        <w:rPr>
          <w:rFonts w:ascii="Calibri" w:hAnsi="Calibri"/>
          <w:b/>
          <w:color w:val="2D2D2D"/>
          <w:sz w:val="44"/>
        </w:rPr>
        <w:t>Select Case Studies</w:t>
      </w:r>
    </w:p>
    <w:p>
      <w:pPr>
        <w:spacing w:before="240" w:after="80"/>
      </w:pPr>
      <w:r>
        <w:rPr>
          <w:rFonts w:ascii="Calibri" w:hAnsi="Calibri"/>
          <w:b/>
          <w:color w:val="2D2D2D"/>
          <w:sz w:val="24"/>
        </w:rPr>
        <w:t>Bench</w:t>
      </w:r>
      <w:r>
        <w:rPr>
          <w:rFonts w:ascii="Calibri" w:hAnsi="Calibri"/>
          <w:color w:val="666666"/>
          <w:sz w:val="24"/>
        </w:rPr>
        <w:t xml:space="preserve">  —  </w:t>
      </w:r>
      <w:r>
        <w:rPr>
          <w:rFonts w:ascii="Calibri" w:hAnsi="Calibri"/>
          <w:i/>
          <w:color w:val="666666"/>
          <w:sz w:val="21"/>
        </w:rPr>
        <w:t>Fintech  |  WordPress → Webflow Migration</w:t>
      </w:r>
    </w:p>
    <w:p>
      <w:pPr>
        <w:spacing w:after="160" w:line="312" w:lineRule="auto"/>
      </w:pPr>
      <w:r>
        <w:rPr>
          <w:rFonts w:ascii="Calibri" w:hAnsi="Calibri"/>
          <w:color w:val="1A1A1A"/>
          <w:sz w:val="21"/>
        </w:rPr>
        <w:t>Bench came to us with 1,000+ content pieces trapped in a legacy CMS that their marketing team couldn’t manage. We rebuilt their content architecture in Webflow and gave their team full publishing independence. Within 6 months: 450 new pages created by the marketing team alone, organic keywords grew from 2,000 to 4,900, and page creation capacity tripled. The same outcome we’re designing for Rosy, Michelle, and Maggie.</w:t>
      </w:r>
    </w:p>
    <w:p>
      <w:pPr>
        <w:spacing w:before="320" w:after="80"/>
      </w:pPr>
      <w:r>
        <w:rPr>
          <w:rFonts w:ascii="Calibri" w:hAnsi="Calibri"/>
          <w:b/>
          <w:color w:val="2D2D2D"/>
          <w:sz w:val="24"/>
        </w:rPr>
        <w:t>TSIA</w:t>
      </w:r>
      <w:r>
        <w:rPr>
          <w:rFonts w:ascii="Calibri" w:hAnsi="Calibri"/>
          <w:color w:val="666666"/>
          <w:sz w:val="24"/>
        </w:rPr>
        <w:t xml:space="preserve">  —  </w:t>
      </w:r>
      <w:r>
        <w:rPr>
          <w:rFonts w:ascii="Calibri" w:hAnsi="Calibri"/>
          <w:i/>
          <w:color w:val="666666"/>
          <w:sz w:val="21"/>
        </w:rPr>
        <w:t>Technology Services  |  Enterprise Webflow Migration</w:t>
      </w:r>
    </w:p>
    <w:p>
      <w:pPr>
        <w:spacing w:after="160" w:line="312" w:lineRule="auto"/>
      </w:pPr>
      <w:r>
        <w:rPr>
          <w:rFonts w:ascii="Calibri" w:hAnsi="Calibri"/>
          <w:color w:val="1A1A1A"/>
          <w:sz w:val="21"/>
        </w:rPr>
        <w:t>TSIA needed 200+ pages migrated to Webflow without losing search equity — a scale nearly identical to Sofar’s content library. We completed the full migration in 6 weeks, improved mobile page speed by 112%, and preserved their entire SEO footprint. Their team called it “an outstanding performance — delivered on time, on budget, and beyond expectations.”</w:t>
      </w:r>
    </w:p>
    <w:p>
      <w:pPr>
        <w:spacing w:before="80" w:after="80"/>
        <w:pBdr>
          <w:bottom w:val="single" w:sz="6" w:space="1" w:color="E8422F"/>
        </w:pBdr>
      </w:pPr>
    </w:p>
    <w:p>
      <w:pPr>
        <w:spacing w:before="40" w:after="40"/>
      </w:pPr>
    </w:p>
    <w:p>
      <w:r>
        <w:br w:type="page"/>
      </w:r>
    </w:p>
    <w:p>
      <w:pPr>
        <w:spacing w:before="480" w:after="240"/>
      </w:pPr>
      <w:r>
        <w:rPr>
          <w:rFonts w:ascii="Calibri" w:hAnsi="Calibri"/>
          <w:b/>
          <w:color w:val="E8422F"/>
          <w:sz w:val="44"/>
        </w:rPr>
        <w:t xml:space="preserve">8. </w:t>
      </w:r>
      <w:r>
        <w:rPr>
          <w:rFonts w:ascii="Calibri" w:hAnsi="Calibri"/>
          <w:b/>
          <w:color w:val="2D2D2D"/>
          <w:sz w:val="44"/>
        </w:rPr>
        <w:t>Next Steps</w:t>
      </w:r>
    </w:p>
    <w:p>
      <w:pPr>
        <w:spacing w:after="160" w:line="312" w:lineRule="auto"/>
      </w:pPr>
      <w:r>
        <w:rPr>
          <w:rFonts w:ascii="Calibri" w:hAnsi="Calibri"/>
          <w:b/>
          <w:color w:val="1A1A1A"/>
          <w:sz w:val="21"/>
        </w:rPr>
        <w:t>1. Review both options</w:t>
      </w:r>
      <w:r>
        <w:rPr>
          <w:rFonts w:ascii="Calibri" w:hAnsi="Calibri"/>
          <w:color w:val="1A1A1A"/>
          <w:sz w:val="21"/>
        </w:rPr>
        <w:t xml:space="preserve"> with your team</w:t>
      </w:r>
    </w:p>
    <w:p>
      <w:pPr>
        <w:spacing w:after="160" w:line="312" w:lineRule="auto"/>
      </w:pPr>
      <w:r>
        <w:rPr>
          <w:rFonts w:ascii="Calibri" w:hAnsi="Calibri"/>
          <w:b/>
          <w:color w:val="1A1A1A"/>
          <w:sz w:val="21"/>
        </w:rPr>
        <w:t>2. Alignment call</w:t>
      </w:r>
      <w:r>
        <w:rPr>
          <w:rFonts w:ascii="Calibri" w:hAnsi="Calibri"/>
          <w:color w:val="1A1A1A"/>
          <w:sz w:val="21"/>
        </w:rPr>
        <w:t xml:space="preserve"> — We’ll walk through the proposal, answer questions, and help you decide between dev-only and full service</w:t>
      </w:r>
    </w:p>
    <w:p>
      <w:pPr>
        <w:spacing w:after="160" w:line="312" w:lineRule="auto"/>
      </w:pPr>
      <w:r>
        <w:rPr>
          <w:rFonts w:ascii="Calibri" w:hAnsi="Calibri"/>
          <w:b/>
          <w:color w:val="1A1A1A"/>
          <w:sz w:val="21"/>
        </w:rPr>
        <w:t>3. SOW delivery</w:t>
      </w:r>
      <w:r>
        <w:rPr>
          <w:rFonts w:ascii="Calibri" w:hAnsi="Calibri"/>
          <w:color w:val="1A1A1A"/>
          <w:sz w:val="21"/>
        </w:rPr>
        <w:t xml:space="preserve"> — Detailed Statement of Work based on the option you select</w:t>
      </w:r>
    </w:p>
    <w:p>
      <w:pPr>
        <w:spacing w:after="160" w:line="312" w:lineRule="auto"/>
      </w:pPr>
      <w:r>
        <w:rPr>
          <w:rFonts w:ascii="Calibri" w:hAnsi="Calibri"/>
          <w:b/>
          <w:color w:val="1A1A1A"/>
          <w:sz w:val="21"/>
        </w:rPr>
        <w:t>4. Sign &amp; kick off</w:t>
      </w:r>
      <w:r>
        <w:rPr>
          <w:rFonts w:ascii="Calibri" w:hAnsi="Calibri"/>
          <w:color w:val="1A1A1A"/>
          <w:sz w:val="21"/>
        </w:rPr>
        <w:t xml:space="preserve"> — Lock in the engagement and schedule kickoff for the week of March 3</w:t>
      </w:r>
    </w:p>
    <w:p>
      <w:pPr>
        <w:spacing w:after="160"/>
      </w:pPr>
    </w:p>
    <w:p>
      <w:pPr>
        <w:spacing w:after="160" w:line="312" w:lineRule="auto"/>
      </w:pPr>
      <w:r>
        <w:rPr>
          <w:rFonts w:ascii="Calibri" w:hAnsi="Calibri"/>
          <w:color w:val="1A1A1A"/>
          <w:sz w:val="21"/>
        </w:rPr>
        <w:t>Sofar’s website is the front door for every prospect who’s seen a Spotter demo, attended a webinar, or met your team at a conference. Right now, the site behind that front door doesn’t match the product behind it. The team is in place. The sitemap is ready. The only thing missing is the build partner.</w:t>
      </w:r>
    </w:p>
    <w:p>
      <w:pPr>
        <w:spacing w:after="160" w:line="312" w:lineRule="auto"/>
      </w:pPr>
      <w:r>
        <w:rPr>
          <w:rFonts w:ascii="Calibri" w:hAnsi="Calibri"/>
          <w:color w:val="1A1A1A"/>
          <w:sz w:val="21"/>
        </w:rPr>
        <w:t>We’re ready to start when you are. Yannick is available at yaya@vezadigital.com to discuss anything before the alignment call.</w:t>
      </w:r>
    </w:p>
    <w:p>
      <w:pPr>
        <w:spacing w:after="120"/>
      </w:pPr>
      <w:r>
        <w:rPr>
          <w:rFonts w:ascii="Calibri" w:hAnsi="Calibri"/>
          <w:i/>
          <w:color w:val="666666"/>
          <w:sz w:val="19"/>
        </w:rPr>
        <w:t>Post-launch, we also offer ongoing support retainers for continued optimization, content updates, and campaign support — happy to discuss once the site is live.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