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0516" w:rsidRDefault="00100516"/>
    <w:p w:rsidR="00100516" w:rsidRDefault="00100516"/>
    <w:p w:rsidR="00100516" w:rsidRDefault="00100516"/>
    <w:p w:rsidR="00100516" w:rsidRDefault="0006145B">
      <w:pPr>
        <w:ind w:firstLine="0"/>
        <w:jc w:val="center"/>
      </w:pPr>
      <w:r>
        <w:rPr>
          <w:b/>
        </w:rPr>
        <w:t>Entrega 3: manual de uso, conexión y preparación de evidencias</w:t>
      </w:r>
    </w:p>
    <w:p w:rsidR="00100516" w:rsidRDefault="00100516"/>
    <w:p w:rsidR="00100516" w:rsidRDefault="0006145B">
      <w:pPr>
        <w:ind w:firstLine="0"/>
        <w:jc w:val="center"/>
      </w:pPr>
      <w:r>
        <w:t>David García · Carné: ______________</w:t>
      </w:r>
    </w:p>
    <w:p w:rsidR="00100516" w:rsidRDefault="0006145B">
      <w:pPr>
        <w:ind w:firstLine="0"/>
        <w:jc w:val="center"/>
      </w:pPr>
      <w:r>
        <w:t>Yordy Carreto · Carné: ______________</w:t>
      </w:r>
    </w:p>
    <w:p w:rsidR="00100516" w:rsidRDefault="0006145B">
      <w:pPr>
        <w:ind w:firstLine="0"/>
        <w:jc w:val="center"/>
      </w:pPr>
      <w:r>
        <w:t>Daylin Loarca · Carné: ______________</w:t>
      </w:r>
    </w:p>
    <w:p w:rsidR="00100516" w:rsidRDefault="0006145B">
      <w:pPr>
        <w:ind w:firstLine="0"/>
        <w:jc w:val="center"/>
      </w:pPr>
      <w:r>
        <w:t>[Institución y carrera]</w:t>
      </w:r>
    </w:p>
    <w:p w:rsidR="00100516" w:rsidRDefault="0006145B">
      <w:pPr>
        <w:ind w:firstLine="0"/>
        <w:jc w:val="center"/>
      </w:pPr>
      <w:r>
        <w:t>[Curso y sección]</w:t>
      </w:r>
    </w:p>
    <w:p w:rsidR="00100516" w:rsidRDefault="0006145B">
      <w:pPr>
        <w:ind w:firstLine="0"/>
        <w:jc w:val="center"/>
      </w:pPr>
      <w:r>
        <w:t>[Nombre del docente]</w:t>
      </w:r>
    </w:p>
    <w:p w:rsidR="00100516" w:rsidRDefault="0006145B">
      <w:pPr>
        <w:ind w:firstLine="0"/>
        <w:jc w:val="center"/>
      </w:pPr>
      <w:r>
        <w:t>20 de octubre de 2026</w:t>
      </w:r>
    </w:p>
    <w:p w:rsidR="00100516" w:rsidRDefault="0006145B">
      <w:pPr>
        <w:ind w:firstLine="0"/>
        <w:jc w:val="center"/>
      </w:pPr>
      <w:r>
        <w:t>Librería La Crayola Gigante · Entrega 3</w:t>
      </w:r>
    </w:p>
    <w:p w:rsidR="00100516" w:rsidRDefault="0006145B">
      <w:r>
        <w:br w:type="page"/>
      </w:r>
    </w:p>
    <w:p w:rsidR="00100516" w:rsidRDefault="0006145B">
      <w:pPr>
        <w:pStyle w:val="Ttulo1"/>
      </w:pPr>
      <w:bookmarkStart w:id="0" w:name="_Toc243426775"/>
      <w:r>
        <w:lastRenderedPageBreak/>
        <w:t>Contenido</w:t>
      </w:r>
      <w:bookmarkEnd w:id="0"/>
    </w:p>
    <w:p w:rsidR="0052166A" w:rsidRDefault="0006145B">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52166A">
        <w:fldChar w:fldCharType="separate"/>
      </w:r>
      <w:hyperlink w:anchor="_Toc243426775" w:history="1">
        <w:r w:rsidR="0052166A" w:rsidRPr="004E018E">
          <w:rPr>
            <w:rStyle w:val="Hipervnculo"/>
            <w:noProof/>
          </w:rPr>
          <w:t>Contenido</w:t>
        </w:r>
        <w:r w:rsidR="0052166A">
          <w:rPr>
            <w:noProof/>
            <w:webHidden/>
          </w:rPr>
          <w:tab/>
        </w:r>
        <w:r w:rsidR="0052166A">
          <w:rPr>
            <w:noProof/>
            <w:webHidden/>
          </w:rPr>
          <w:fldChar w:fldCharType="begin"/>
        </w:r>
        <w:r w:rsidR="0052166A">
          <w:rPr>
            <w:noProof/>
            <w:webHidden/>
          </w:rPr>
          <w:instrText xml:space="preserve"> PAGEREF _Toc243426775 \h </w:instrText>
        </w:r>
        <w:r w:rsidR="0052166A">
          <w:rPr>
            <w:noProof/>
            <w:webHidden/>
          </w:rPr>
        </w:r>
        <w:r w:rsidR="0052166A">
          <w:rPr>
            <w:noProof/>
            <w:webHidden/>
          </w:rPr>
          <w:fldChar w:fldCharType="separate"/>
        </w:r>
        <w:r w:rsidR="0052166A">
          <w:rPr>
            <w:noProof/>
            <w:webHidden/>
          </w:rPr>
          <w:t>2</w:t>
        </w:r>
        <w:r w:rsidR="0052166A">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76" w:history="1">
        <w:r w:rsidRPr="004E018E">
          <w:rPr>
            <w:rStyle w:val="Hipervnculo"/>
            <w:noProof/>
          </w:rPr>
          <w:t>Entrega 3: manual de uso, conexión y preparación de evidencias</w:t>
        </w:r>
        <w:r>
          <w:rPr>
            <w:noProof/>
            <w:webHidden/>
          </w:rPr>
          <w:tab/>
        </w:r>
        <w:r>
          <w:rPr>
            <w:noProof/>
            <w:webHidden/>
          </w:rPr>
          <w:fldChar w:fldCharType="begin"/>
        </w:r>
        <w:r>
          <w:rPr>
            <w:noProof/>
            <w:webHidden/>
          </w:rPr>
          <w:instrText xml:space="preserve"> PAGEREF _Toc243426776 \h </w:instrText>
        </w:r>
        <w:r>
          <w:rPr>
            <w:noProof/>
            <w:webHidden/>
          </w:rPr>
        </w:r>
        <w:r>
          <w:rPr>
            <w:noProof/>
            <w:webHidden/>
          </w:rPr>
          <w:fldChar w:fldCharType="separate"/>
        </w:r>
        <w:r>
          <w:rPr>
            <w:noProof/>
            <w:webHidden/>
          </w:rPr>
          <w:t>3</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77" w:history="1">
        <w:r w:rsidRPr="004E018E">
          <w:rPr>
            <w:rStyle w:val="Hipervnculo"/>
            <w:noProof/>
          </w:rPr>
          <w:t>Estado inicial del sistema</w:t>
        </w:r>
        <w:r>
          <w:rPr>
            <w:noProof/>
            <w:webHidden/>
          </w:rPr>
          <w:tab/>
        </w:r>
        <w:r>
          <w:rPr>
            <w:noProof/>
            <w:webHidden/>
          </w:rPr>
          <w:fldChar w:fldCharType="begin"/>
        </w:r>
        <w:r>
          <w:rPr>
            <w:noProof/>
            <w:webHidden/>
          </w:rPr>
          <w:instrText xml:space="preserve"> PAGEREF _Toc243426777 \h </w:instrText>
        </w:r>
        <w:r>
          <w:rPr>
            <w:noProof/>
            <w:webHidden/>
          </w:rPr>
        </w:r>
        <w:r>
          <w:rPr>
            <w:noProof/>
            <w:webHidden/>
          </w:rPr>
          <w:fldChar w:fldCharType="separate"/>
        </w:r>
        <w:r>
          <w:rPr>
            <w:noProof/>
            <w:webHidden/>
          </w:rPr>
          <w:t>3</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78" w:history="1">
        <w:r w:rsidRPr="004E018E">
          <w:rPr>
            <w:rStyle w:val="Hipervnculo"/>
            <w:noProof/>
          </w:rPr>
          <w:t>Conexión y puesta en marcha</w:t>
        </w:r>
        <w:r>
          <w:rPr>
            <w:noProof/>
            <w:webHidden/>
          </w:rPr>
          <w:tab/>
        </w:r>
        <w:r>
          <w:rPr>
            <w:noProof/>
            <w:webHidden/>
          </w:rPr>
          <w:fldChar w:fldCharType="begin"/>
        </w:r>
        <w:r>
          <w:rPr>
            <w:noProof/>
            <w:webHidden/>
          </w:rPr>
          <w:instrText xml:space="preserve"> PAGEREF _Toc243426778 \h </w:instrText>
        </w:r>
        <w:r>
          <w:rPr>
            <w:noProof/>
            <w:webHidden/>
          </w:rPr>
        </w:r>
        <w:r>
          <w:rPr>
            <w:noProof/>
            <w:webHidden/>
          </w:rPr>
          <w:fldChar w:fldCharType="separate"/>
        </w:r>
        <w:r>
          <w:rPr>
            <w:noProof/>
            <w:webHidden/>
          </w:rPr>
          <w:t>3</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79" w:history="1">
        <w:r w:rsidRPr="004E018E">
          <w:rPr>
            <w:rStyle w:val="Hipervnculo"/>
            <w:noProof/>
          </w:rPr>
          <w:t>Preparación de un catálogo desde cero</w:t>
        </w:r>
        <w:r>
          <w:rPr>
            <w:noProof/>
            <w:webHidden/>
          </w:rPr>
          <w:tab/>
        </w:r>
        <w:r>
          <w:rPr>
            <w:noProof/>
            <w:webHidden/>
          </w:rPr>
          <w:fldChar w:fldCharType="begin"/>
        </w:r>
        <w:r>
          <w:rPr>
            <w:noProof/>
            <w:webHidden/>
          </w:rPr>
          <w:instrText xml:space="preserve"> PAGEREF _Toc243426779 \h </w:instrText>
        </w:r>
        <w:r>
          <w:rPr>
            <w:noProof/>
            <w:webHidden/>
          </w:rPr>
        </w:r>
        <w:r>
          <w:rPr>
            <w:noProof/>
            <w:webHidden/>
          </w:rPr>
          <w:fldChar w:fldCharType="separate"/>
        </w:r>
        <w:r>
          <w:rPr>
            <w:noProof/>
            <w:webHidden/>
          </w:rPr>
          <w:t>4</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0" w:history="1">
        <w:r w:rsidRPr="004E018E">
          <w:rPr>
            <w:rStyle w:val="Hipervnculo"/>
            <w:noProof/>
          </w:rPr>
          <w:t>Atención de una venta</w:t>
        </w:r>
        <w:r>
          <w:rPr>
            <w:noProof/>
            <w:webHidden/>
          </w:rPr>
          <w:tab/>
        </w:r>
        <w:r>
          <w:rPr>
            <w:noProof/>
            <w:webHidden/>
          </w:rPr>
          <w:fldChar w:fldCharType="begin"/>
        </w:r>
        <w:r>
          <w:rPr>
            <w:noProof/>
            <w:webHidden/>
          </w:rPr>
          <w:instrText xml:space="preserve"> PAGEREF _Toc243426780 \h </w:instrText>
        </w:r>
        <w:r>
          <w:rPr>
            <w:noProof/>
            <w:webHidden/>
          </w:rPr>
        </w:r>
        <w:r>
          <w:rPr>
            <w:noProof/>
            <w:webHidden/>
          </w:rPr>
          <w:fldChar w:fldCharType="separate"/>
        </w:r>
        <w:r>
          <w:rPr>
            <w:noProof/>
            <w:webHidden/>
          </w:rPr>
          <w:t>5</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1" w:history="1">
        <w:r w:rsidRPr="004E018E">
          <w:rPr>
            <w:rStyle w:val="Hipervnculo"/>
            <w:noProof/>
          </w:rPr>
          <w:t>Consultar comprobantes e imprimir</w:t>
        </w:r>
        <w:r>
          <w:rPr>
            <w:noProof/>
            <w:webHidden/>
          </w:rPr>
          <w:tab/>
        </w:r>
        <w:r>
          <w:rPr>
            <w:noProof/>
            <w:webHidden/>
          </w:rPr>
          <w:fldChar w:fldCharType="begin"/>
        </w:r>
        <w:r>
          <w:rPr>
            <w:noProof/>
            <w:webHidden/>
          </w:rPr>
          <w:instrText xml:space="preserve"> PAGEREF _Toc243426781 \h </w:instrText>
        </w:r>
        <w:r>
          <w:rPr>
            <w:noProof/>
            <w:webHidden/>
          </w:rPr>
        </w:r>
        <w:r>
          <w:rPr>
            <w:noProof/>
            <w:webHidden/>
          </w:rPr>
          <w:fldChar w:fldCharType="separate"/>
        </w:r>
        <w:r>
          <w:rPr>
            <w:noProof/>
            <w:webHidden/>
          </w:rPr>
          <w:t>6</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2" w:history="1">
        <w:r w:rsidRPr="004E018E">
          <w:rPr>
            <w:rStyle w:val="Hipervnculo"/>
            <w:noProof/>
          </w:rPr>
          <w:t>Reportes y búsquedas</w:t>
        </w:r>
        <w:r>
          <w:rPr>
            <w:noProof/>
            <w:webHidden/>
          </w:rPr>
          <w:tab/>
        </w:r>
        <w:r>
          <w:rPr>
            <w:noProof/>
            <w:webHidden/>
          </w:rPr>
          <w:fldChar w:fldCharType="begin"/>
        </w:r>
        <w:r>
          <w:rPr>
            <w:noProof/>
            <w:webHidden/>
          </w:rPr>
          <w:instrText xml:space="preserve"> PAGEREF _Toc243426782 \h </w:instrText>
        </w:r>
        <w:r>
          <w:rPr>
            <w:noProof/>
            <w:webHidden/>
          </w:rPr>
        </w:r>
        <w:r>
          <w:rPr>
            <w:noProof/>
            <w:webHidden/>
          </w:rPr>
          <w:fldChar w:fldCharType="separate"/>
        </w:r>
        <w:r>
          <w:rPr>
            <w:noProof/>
            <w:webHidden/>
          </w:rPr>
          <w:t>6</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3" w:history="1">
        <w:r w:rsidRPr="004E018E">
          <w:rPr>
            <w:rStyle w:val="Hipervnculo"/>
            <w:noProof/>
          </w:rPr>
          <w:t>Consultar ingresos, egresos y saldo</w:t>
        </w:r>
        <w:r>
          <w:rPr>
            <w:noProof/>
            <w:webHidden/>
          </w:rPr>
          <w:tab/>
        </w:r>
        <w:r>
          <w:rPr>
            <w:noProof/>
            <w:webHidden/>
          </w:rPr>
          <w:fldChar w:fldCharType="begin"/>
        </w:r>
        <w:r>
          <w:rPr>
            <w:noProof/>
            <w:webHidden/>
          </w:rPr>
          <w:instrText xml:space="preserve"> PAGEREF _Toc243426783 \h </w:instrText>
        </w:r>
        <w:r>
          <w:rPr>
            <w:noProof/>
            <w:webHidden/>
          </w:rPr>
        </w:r>
        <w:r>
          <w:rPr>
            <w:noProof/>
            <w:webHidden/>
          </w:rPr>
          <w:fldChar w:fldCharType="separate"/>
        </w:r>
        <w:r>
          <w:rPr>
            <w:noProof/>
            <w:webHidden/>
          </w:rPr>
          <w:t>7</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4" w:history="1">
        <w:r w:rsidRPr="004E018E">
          <w:rPr>
            <w:rStyle w:val="Hipervnculo"/>
            <w:noProof/>
          </w:rPr>
          <w:t>Administración y eliminación</w:t>
        </w:r>
        <w:r>
          <w:rPr>
            <w:noProof/>
            <w:webHidden/>
          </w:rPr>
          <w:tab/>
        </w:r>
        <w:r>
          <w:rPr>
            <w:noProof/>
            <w:webHidden/>
          </w:rPr>
          <w:fldChar w:fldCharType="begin"/>
        </w:r>
        <w:r>
          <w:rPr>
            <w:noProof/>
            <w:webHidden/>
          </w:rPr>
          <w:instrText xml:space="preserve"> PAGEREF _Toc243426784 \h </w:instrText>
        </w:r>
        <w:r>
          <w:rPr>
            <w:noProof/>
            <w:webHidden/>
          </w:rPr>
        </w:r>
        <w:r>
          <w:rPr>
            <w:noProof/>
            <w:webHidden/>
          </w:rPr>
          <w:fldChar w:fldCharType="separate"/>
        </w:r>
        <w:r>
          <w:rPr>
            <w:noProof/>
            <w:webHidden/>
          </w:rPr>
          <w:t>7</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5" w:history="1">
        <w:r w:rsidRPr="004E018E">
          <w:rPr>
            <w:rStyle w:val="Hipervnculo"/>
            <w:noProof/>
          </w:rPr>
          <w:t>Salir con datos pendientes</w:t>
        </w:r>
        <w:r>
          <w:rPr>
            <w:noProof/>
            <w:webHidden/>
          </w:rPr>
          <w:tab/>
        </w:r>
        <w:r>
          <w:rPr>
            <w:noProof/>
            <w:webHidden/>
          </w:rPr>
          <w:fldChar w:fldCharType="begin"/>
        </w:r>
        <w:r>
          <w:rPr>
            <w:noProof/>
            <w:webHidden/>
          </w:rPr>
          <w:instrText xml:space="preserve"> PAGEREF _Toc243426785 \h </w:instrText>
        </w:r>
        <w:r>
          <w:rPr>
            <w:noProof/>
            <w:webHidden/>
          </w:rPr>
        </w:r>
        <w:r>
          <w:rPr>
            <w:noProof/>
            <w:webHidden/>
          </w:rPr>
          <w:fldChar w:fldCharType="separate"/>
        </w:r>
        <w:r>
          <w:rPr>
            <w:noProof/>
            <w:webHidden/>
          </w:rPr>
          <w:t>8</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6" w:history="1">
        <w:r w:rsidRPr="004E018E">
          <w:rPr>
            <w:rStyle w:val="Hipervnculo"/>
            <w:noProof/>
          </w:rPr>
          <w:t>Solución de problemas frecuentes</w:t>
        </w:r>
        <w:r>
          <w:rPr>
            <w:noProof/>
            <w:webHidden/>
          </w:rPr>
          <w:tab/>
        </w:r>
        <w:r>
          <w:rPr>
            <w:noProof/>
            <w:webHidden/>
          </w:rPr>
          <w:fldChar w:fldCharType="begin"/>
        </w:r>
        <w:r>
          <w:rPr>
            <w:noProof/>
            <w:webHidden/>
          </w:rPr>
          <w:instrText xml:space="preserve"> PAGEREF _Toc243426786 \h </w:instrText>
        </w:r>
        <w:r>
          <w:rPr>
            <w:noProof/>
            <w:webHidden/>
          </w:rPr>
        </w:r>
        <w:r>
          <w:rPr>
            <w:noProof/>
            <w:webHidden/>
          </w:rPr>
          <w:fldChar w:fldCharType="separate"/>
        </w:r>
        <w:r>
          <w:rPr>
            <w:noProof/>
            <w:webHidden/>
          </w:rPr>
          <w:t>8</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7" w:history="1">
        <w:r w:rsidRPr="004E018E">
          <w:rPr>
            <w:rStyle w:val="Hipervnculo"/>
            <w:noProof/>
          </w:rPr>
          <w:t>Edición de los documentos</w:t>
        </w:r>
        <w:r>
          <w:rPr>
            <w:noProof/>
            <w:webHidden/>
          </w:rPr>
          <w:tab/>
        </w:r>
        <w:r>
          <w:rPr>
            <w:noProof/>
            <w:webHidden/>
          </w:rPr>
          <w:fldChar w:fldCharType="begin"/>
        </w:r>
        <w:r>
          <w:rPr>
            <w:noProof/>
            <w:webHidden/>
          </w:rPr>
          <w:instrText xml:space="preserve"> PAGEREF _Toc243426787 \h </w:instrText>
        </w:r>
        <w:r>
          <w:rPr>
            <w:noProof/>
            <w:webHidden/>
          </w:rPr>
        </w:r>
        <w:r>
          <w:rPr>
            <w:noProof/>
            <w:webHidden/>
          </w:rPr>
          <w:fldChar w:fldCharType="separate"/>
        </w:r>
        <w:r>
          <w:rPr>
            <w:noProof/>
            <w:webHidden/>
          </w:rPr>
          <w:t>9</w:t>
        </w:r>
        <w:r>
          <w:rPr>
            <w:noProof/>
            <w:webHidden/>
          </w:rPr>
          <w:fldChar w:fldCharType="end"/>
        </w:r>
      </w:hyperlink>
    </w:p>
    <w:p w:rsidR="0052166A" w:rsidRDefault="0052166A">
      <w:pPr>
        <w:pStyle w:val="TDC1"/>
        <w:tabs>
          <w:tab w:val="right" w:leader="dot" w:pos="9350"/>
        </w:tabs>
        <w:rPr>
          <w:rFonts w:asciiTheme="minorHAnsi" w:hAnsiTheme="minorHAnsi"/>
          <w:noProof/>
          <w:kern w:val="2"/>
          <w:szCs w:val="24"/>
          <w:lang w:val="es-GT" w:eastAsia="es-GT"/>
          <w14:ligatures w14:val="standardContextual"/>
        </w:rPr>
      </w:pPr>
      <w:hyperlink w:anchor="_Toc243426788" w:history="1">
        <w:r w:rsidRPr="004E018E">
          <w:rPr>
            <w:rStyle w:val="Hipervnculo"/>
            <w:noProof/>
          </w:rPr>
          <w:t>Referencias</w:t>
        </w:r>
        <w:r>
          <w:rPr>
            <w:noProof/>
            <w:webHidden/>
          </w:rPr>
          <w:tab/>
        </w:r>
        <w:r>
          <w:rPr>
            <w:noProof/>
            <w:webHidden/>
          </w:rPr>
          <w:fldChar w:fldCharType="begin"/>
        </w:r>
        <w:r>
          <w:rPr>
            <w:noProof/>
            <w:webHidden/>
          </w:rPr>
          <w:instrText xml:space="preserve"> PAGEREF _Toc243426788 \h </w:instrText>
        </w:r>
        <w:r>
          <w:rPr>
            <w:noProof/>
            <w:webHidden/>
          </w:rPr>
        </w:r>
        <w:r>
          <w:rPr>
            <w:noProof/>
            <w:webHidden/>
          </w:rPr>
          <w:fldChar w:fldCharType="separate"/>
        </w:r>
        <w:r>
          <w:rPr>
            <w:noProof/>
            <w:webHidden/>
          </w:rPr>
          <w:t>9</w:t>
        </w:r>
        <w:r>
          <w:rPr>
            <w:noProof/>
            <w:webHidden/>
          </w:rPr>
          <w:fldChar w:fldCharType="end"/>
        </w:r>
      </w:hyperlink>
    </w:p>
    <w:p w:rsidR="00100516" w:rsidRDefault="0006145B">
      <w:r>
        <w:fldChar w:fldCharType="end"/>
      </w:r>
    </w:p>
    <w:p w:rsidR="00100516" w:rsidRDefault="0006145B">
      <w:pPr>
        <w:ind w:firstLine="0"/>
      </w:pPr>
      <w:r>
        <w:rPr>
          <w:i/>
        </w:rPr>
        <w:t>Índice automático: en Word, hacer clic derecho y elegir Actualizar campo si cambia la paginación.</w:t>
      </w:r>
    </w:p>
    <w:p w:rsidR="00100516" w:rsidRDefault="0006145B">
      <w:r>
        <w:br w:type="page"/>
      </w:r>
    </w:p>
    <w:p w:rsidR="00100516" w:rsidRDefault="0006145B">
      <w:pPr>
        <w:pStyle w:val="Ttulo1"/>
      </w:pPr>
      <w:bookmarkStart w:id="1" w:name="_Toc243426776"/>
      <w:r>
        <w:lastRenderedPageBreak/>
        <w:t>Entrega 3: manual de uso, conexión y preparación de evidencias</w:t>
      </w:r>
      <w:bookmarkEnd w:id="1"/>
    </w:p>
    <w:p w:rsidR="00100516" w:rsidRDefault="0006145B">
      <w:pPr>
        <w:pStyle w:val="Ttulo1"/>
      </w:pPr>
      <w:bookmarkStart w:id="2" w:name="_Toc243426777"/>
      <w:r>
        <w:t>Estado inicial del sistema</w:t>
      </w:r>
      <w:bookmarkEnd w:id="2"/>
    </w:p>
    <w:p w:rsidR="00100516" w:rsidRDefault="0006145B">
      <w:r>
        <w:t>La base de negocio se dejó vacía por solicitud del equipo. No hay clientes, productos, categorías, proveedores, empleados de demostración, pedidos, ventas, pagos ni movimientos financieros precargados. Se conservan las cuentas administrativas reales, los roles Administrador, Empleado y Dueño, sus permisos y el registro de migraciones.</w:t>
      </w:r>
    </w:p>
    <w:p w:rsidR="00100516" w:rsidRDefault="0006145B">
      <w:r>
        <w:t>Las contraseñas de las cuentas conservadas no se cambiaron y no se incluyen en estos documentos. Tampoco se crean cuentas de los integrantes automáticamente. Un administrador deberá registrar las cuentas personales necesarias y asignar permisos antes de iniciar la demostración.</w:t>
      </w:r>
    </w:p>
    <w:p w:rsidR="00100516" w:rsidRDefault="0006145B">
      <w:pPr>
        <w:pStyle w:val="Ttulo1"/>
      </w:pPr>
      <w:bookmarkStart w:id="3" w:name="_Toc243426778"/>
      <w:r>
        <w:t>Conexión y puesta en marcha</w:t>
      </w:r>
      <w:bookmarkEnd w:id="3"/>
    </w:p>
    <w:p w:rsidR="00100516" w:rsidRDefault="0006145B">
      <w:r>
        <w:t>El motor activo del Sprint 3 es PostgreSQL/Neon. Oracle permanece como referencia histórica; las migraciones nuevas de pedidos, puntos y finanzas no se han implementado para trabajar diariamente con Oracle. Cada integrante puede ejecutar el código localmente y conectarse a la misma base acordada por el equipo.</w:t>
      </w:r>
    </w:p>
    <w:p w:rsidR="00100516" w:rsidRDefault="0006145B">
      <w:r>
        <w:t>1. Instalar Node.js y disponer del repositorio actualizado. Ejecutar npm install dentro de backend y frontend.</w:t>
      </w:r>
    </w:p>
    <w:p w:rsidR="00100516" w:rsidRDefault="0006145B">
      <w:r>
        <w:t>2. Crear backend/.env a partir de backend/.env.example. Configurar DB_ENGINE=postgres, la cadena de conexión y JWT_SECRET por un canal privado.</w:t>
      </w:r>
    </w:p>
    <w:p w:rsidR="00100516" w:rsidRDefault="0006145B">
      <w:r>
        <w:t>3. Si el esquema ya está actualizado, no volver a importar la migración inicial de Oracle. Para aplicar el incremento pendiente, ejecutar npm run migrate:sales y npm run migrate:sprint3 desde backend.</w:t>
      </w:r>
    </w:p>
    <w:p w:rsidR="00100516" w:rsidRDefault="0006145B">
      <w:r>
        <w:lastRenderedPageBreak/>
        <w:t>4. Ejecutar npm run build dentro de frontend.</w:t>
      </w:r>
    </w:p>
    <w:p w:rsidR="00100516" w:rsidRDefault="0006145B">
      <w:r>
        <w:t>5. Ejecutar npm start dentro de backend y abrir http://localhost:3000.</w:t>
      </w:r>
    </w:p>
    <w:p w:rsidR="00100516" w:rsidRDefault="0006145B">
      <w:r>
        <w:t>6. Para desarrollo, iniciar backend y npm run dev en frontend. La configuración de Vite debe apuntar a /api a través del proxy documentado.</w:t>
      </w:r>
    </w:p>
    <w:p w:rsidR="00100516" w:rsidRDefault="0006145B">
      <w:r>
        <w:t>Compartir la base no publica la aplicación en Internet. La computadora de cada integrante ejecuta su propia copia del servidor; los registros se comparten porque las conexiones apuntan a la misma base. Una rama distinta de Neon contiene datos independientes. No pegar URLs de conexión, .env ni tokens en las capturas de la exposición.</w:t>
      </w:r>
    </w:p>
    <w:p w:rsidR="00100516" w:rsidRDefault="0006145B">
      <w:r>
        <w:t>La guía docs/NEON.md amplía la conexión entre equipos. docs/GMAIL.md explica SMTP cuando se necesiten notificaciones. El envío de correo no es requisito para demostrar pedido, venta y pago; no es necesario configurar un correo de terceros para hacer la entrega.</w:t>
      </w:r>
    </w:p>
    <w:p w:rsidR="00100516" w:rsidRDefault="0006145B">
      <w:pPr>
        <w:pStyle w:val="Ttulo1"/>
      </w:pPr>
      <w:bookmarkStart w:id="4" w:name="_Toc243426779"/>
      <w:r>
        <w:t>Preparación de un catálogo desde cero</w:t>
      </w:r>
      <w:bookmarkEnd w:id="4"/>
    </w:p>
    <w:p w:rsidR="00100516" w:rsidRDefault="0006145B">
      <w:r>
        <w:t>Registrar primero una categoría y un producto con su código y precio final. Crear un proveedor y registrar una compra recibida para incorporar existencias. En la compra, indicar si ya se pagó en efectivo, tarjeta o transferencia, o si queda a crédito. Una compra marcada como pagada también genera el egreso vinculado.</w:t>
      </w:r>
    </w:p>
    <w:p w:rsidR="00100516" w:rsidRDefault="0006145B">
      <w:r>
        <w:t>Crear luego un empleado para la demostración y asignar las funciones que deba usar. El carnet muestra los datos de esa cuenta, su sueldo, horario y ventas propias. Sueldo y horario se editan desde Usuarios; el sueldo informado no genera automáticamente una nómina ni un egreso.</w:t>
      </w:r>
    </w:p>
    <w:p w:rsidR="00100516" w:rsidRDefault="0006145B">
      <w:r>
        <w:t>Para demostrar aprobación independiente hacen falta dos personas con cuentas administrativas distintas. Nadie puede aprobar el pedido que creó, incluso si tiene rol Dueño. No compartir una misma cuenta durante la exposición porque se perdería la evidencia de quién realizó cada acción.</w:t>
      </w:r>
    </w:p>
    <w:p w:rsidR="00100516" w:rsidRDefault="0006145B">
      <w:pPr>
        <w:keepNext/>
        <w:ind w:firstLine="0"/>
      </w:pPr>
      <w:r>
        <w:rPr>
          <w:b/>
        </w:rPr>
        <w:lastRenderedPageBreak/>
        <w:t>Figura 1</w:t>
      </w:r>
    </w:p>
    <w:p w:rsidR="00100516" w:rsidRDefault="0006145B">
      <w:pPr>
        <w:keepNext/>
        <w:ind w:firstLine="0"/>
      </w:pPr>
      <w:r>
        <w:rPr>
          <w:i/>
        </w:rPr>
        <w:t>Catálogo y cuentas de demostración — evidencia E10</w:t>
      </w:r>
    </w:p>
    <w:tbl>
      <w:tblPr>
        <w:tblW w:w="0" w:type="auto"/>
        <w:jc w:val="center"/>
        <w:tblLook w:val="04A0" w:firstRow="1" w:lastRow="0" w:firstColumn="1" w:lastColumn="0" w:noHBand="0" w:noVBand="1"/>
      </w:tblPr>
      <w:tblGrid>
        <w:gridCol w:w="9360"/>
      </w:tblGrid>
      <w:tr w:rsidR="00100516">
        <w:trPr>
          <w:jc w:val="center"/>
        </w:trPr>
        <w:tc>
          <w:tcPr>
            <w:tcW w:w="9360" w:type="dxa"/>
            <w:shd w:val="clear" w:color="auto" w:fill="F2F2F2"/>
          </w:tcPr>
          <w:p w:rsidR="00100516" w:rsidRDefault="0006145B">
            <w:pPr>
              <w:ind w:firstLine="0"/>
              <w:jc w:val="center"/>
            </w:pPr>
            <w:r>
              <w:rPr>
                <w:b/>
              </w:rPr>
              <w:t>INSERTAR AQUÍ LA CAPTURA E10</w:t>
            </w:r>
          </w:p>
          <w:p w:rsidR="00100516" w:rsidRDefault="0006145B">
            <w:pPr>
              <w:spacing w:line="288" w:lineRule="auto"/>
              <w:ind w:firstLine="0"/>
            </w:pPr>
            <w:r>
              <w:t>Pegar categoría, producto y existencias iniciales, más la lista de cuentas de prueba con sus roles. Ocultar correos privados y no mostrar contraseñas.</w:t>
            </w:r>
          </w:p>
          <w:p w:rsidR="00100516" w:rsidRDefault="0006145B">
            <w:pPr>
              <w:spacing w:line="360" w:lineRule="auto"/>
              <w:ind w:firstLine="0"/>
            </w:pPr>
            <w:r>
              <w:t>Fecha y hora: __________   Capturó: __________</w:t>
            </w:r>
            <w:r>
              <w:br/>
              <w:t>Resultado observado: ____________________________________</w:t>
            </w:r>
          </w:p>
        </w:tc>
      </w:tr>
    </w:tbl>
    <w:p w:rsidR="00100516" w:rsidRDefault="0006145B">
      <w:pPr>
        <w:ind w:firstLine="0"/>
      </w:pPr>
      <w:r>
        <w:rPr>
          <w:i/>
        </w:rPr>
        <w:t>Nota. Espacio reservado para evidencia real del equipo; aún no incorporada.</w:t>
      </w:r>
    </w:p>
    <w:p w:rsidR="00100516" w:rsidRDefault="0006145B">
      <w:pPr>
        <w:pStyle w:val="Ttulo1"/>
      </w:pPr>
      <w:bookmarkStart w:id="5" w:name="_Toc243426780"/>
      <w:r>
        <w:t>Atención de una venta</w:t>
      </w:r>
      <w:bookmarkEnd w:id="5"/>
    </w:p>
    <w:p w:rsidR="00100516" w:rsidRDefault="0006145B">
      <w:r>
        <w:t>En Ventas, la opción Cliente ofrece tres recorridos. Consumidor Final atiende sin registro personal. NIT solo para esta compra conserva nombre o razón social y documento en esa operación, sin cuenta ni puntos. Registrar cliente con puntos da de alta la ficha de fidelización dentro de caja y conserva los productos del carrito.</w:t>
      </w:r>
    </w:p>
    <w:p w:rsidR="00100516" w:rsidRDefault="0006145B">
      <w:r>
        <w:t>Agregar producto y cantidad, revisar el resumen y continuar. Los importes mostrados incluyen el IVA configurado. Si se solicita descuento, el servidor determina si hace falta aprobación. Cuando el pedido queda aprobado y la cuenta tiene permiso de cobro, la pantalla abre la caja; de lo contrario, la operación se continúa desde el historial.</w:t>
      </w:r>
    </w:p>
    <w:p w:rsidR="00100516" w:rsidRDefault="0006145B">
      <w:r>
        <w:t>En efectivo, ingresar cuánto entrega la persona para calcular el cambio. En tarjeta o transferencia, indicar referencia. El sistema registra el pago que el vendedor confirma; no realiza un cargo bancario ni verifica automáticamente que una transferencia llegó a una cuenta del negocio.</w:t>
      </w:r>
    </w:p>
    <w:p w:rsidR="00100516" w:rsidRDefault="0006145B">
      <w:r>
        <w:t>Si se usa una cuenta de cliente con puntos, indicar bloques disponibles de 100 puntos por Q10 y cobrar la diferencia por otro método. Una compra totalmente pagada con puntos no produce ingreso de dinero ni nueva acumulación sobre ese importe.</w:t>
      </w:r>
    </w:p>
    <w:p w:rsidR="00100516" w:rsidRDefault="0006145B">
      <w:pPr>
        <w:pStyle w:val="Ttulo1"/>
      </w:pPr>
      <w:bookmarkStart w:id="6" w:name="_Toc243426781"/>
      <w:r>
        <w:lastRenderedPageBreak/>
        <w:t>Consultar comprobantes e imprimir</w:t>
      </w:r>
      <w:bookmarkEnd w:id="6"/>
    </w:p>
    <w:p w:rsidR="00100516" w:rsidRDefault="0006145B">
      <w:r>
        <w:t>La opción de impresión automática abre el diálogo del navegador al completar el cobro. Desde ese diálogo se elige impresora o Guardar como PDF. Se generan una copia para el negocio y otra para el cliente. No se guarda un PDF silenciosamente ni se envía a una impresora sin intervención del navegador.</w:t>
      </w:r>
    </w:p>
    <w:p w:rsidR="00100516" w:rsidRDefault="0006145B">
      <w:r>
        <w:t>El historial de ventas pagadas permite volver a abrir el comprobante. Su contenido conserva cliente, documento, productos, total, IVA y formas de pago. El documento está identificado expresamente como comprobante informativo; no es una factura FEL autorizada.</w:t>
      </w:r>
    </w:p>
    <w:p w:rsidR="00100516" w:rsidRDefault="0006145B">
      <w:pPr>
        <w:keepNext/>
        <w:ind w:firstLine="0"/>
      </w:pPr>
      <w:r>
        <w:rPr>
          <w:b/>
        </w:rPr>
        <w:t>Figura 2</w:t>
      </w:r>
    </w:p>
    <w:p w:rsidR="00100516" w:rsidRDefault="0006145B">
      <w:pPr>
        <w:keepNext/>
        <w:ind w:firstLine="0"/>
      </w:pPr>
      <w:r>
        <w:rPr>
          <w:i/>
        </w:rPr>
        <w:t>Comprobante en dos copias — evidencia E11</w:t>
      </w:r>
    </w:p>
    <w:tbl>
      <w:tblPr>
        <w:tblW w:w="0" w:type="auto"/>
        <w:jc w:val="center"/>
        <w:tblLook w:val="04A0" w:firstRow="1" w:lastRow="0" w:firstColumn="1" w:lastColumn="0" w:noHBand="0" w:noVBand="1"/>
      </w:tblPr>
      <w:tblGrid>
        <w:gridCol w:w="9360"/>
      </w:tblGrid>
      <w:tr w:rsidR="00100516">
        <w:trPr>
          <w:jc w:val="center"/>
        </w:trPr>
        <w:tc>
          <w:tcPr>
            <w:tcW w:w="9360" w:type="dxa"/>
            <w:shd w:val="clear" w:color="auto" w:fill="F2F2F2"/>
          </w:tcPr>
          <w:p w:rsidR="00100516" w:rsidRDefault="0006145B">
            <w:pPr>
              <w:ind w:firstLine="0"/>
              <w:jc w:val="center"/>
            </w:pPr>
            <w:r>
              <w:rPr>
                <w:b/>
              </w:rPr>
              <w:t>INSERTAR AQUÍ LA CAPTURA E11</w:t>
            </w:r>
          </w:p>
          <w:p w:rsidR="00100516" w:rsidRDefault="0006145B">
            <w:pPr>
              <w:spacing w:line="288" w:lineRule="auto"/>
              <w:ind w:firstLine="0"/>
            </w:pPr>
            <w:r>
              <w:t>Mostrar la copia del negocio y la del cliente o el PDF resultante. Deben verse número de comprobante, productos, IVA incluido, total y método de pago.</w:t>
            </w:r>
          </w:p>
          <w:p w:rsidR="00100516" w:rsidRDefault="0006145B">
            <w:pPr>
              <w:spacing w:line="360" w:lineRule="auto"/>
              <w:ind w:firstLine="0"/>
            </w:pPr>
            <w:r>
              <w:t>Fecha y hora: __________   Capturó: __________</w:t>
            </w:r>
            <w:r>
              <w:br/>
              <w:t>Resultado observado: ____________________________________</w:t>
            </w:r>
          </w:p>
        </w:tc>
      </w:tr>
    </w:tbl>
    <w:p w:rsidR="00100516" w:rsidRDefault="0006145B">
      <w:pPr>
        <w:ind w:firstLine="0"/>
      </w:pPr>
      <w:r>
        <w:rPr>
          <w:i/>
        </w:rPr>
        <w:t>Nota. Espacio reservado para evidencia real del equipo; aún no incorporada.</w:t>
      </w:r>
    </w:p>
    <w:p w:rsidR="00100516" w:rsidRDefault="0006145B">
      <w:pPr>
        <w:pStyle w:val="Ttulo1"/>
      </w:pPr>
      <w:bookmarkStart w:id="7" w:name="_Toc243426782"/>
      <w:r>
        <w:t>Reportes y búsquedas</w:t>
      </w:r>
      <w:bookmarkEnd w:id="7"/>
    </w:p>
    <w:p w:rsidR="00100516" w:rsidRDefault="0006145B">
      <w:r>
        <w:t>En Historial se combinan nombre o documento, estado y fechas. La página contiene hasta 50 pedidos y permite continuar en las siguientes. En Reportes, consultar ventas pagadas por día de creación del pedido o productos vendidos. Los dos reportes pueden descargarse como CSV.</w:t>
      </w:r>
    </w:p>
    <w:p w:rsidR="00100516" w:rsidRDefault="0006145B">
      <w:r>
        <w:t>El reporte por productos muestra importe bruto antes del descuento general; el reporte de ventas incluye importes netos y desglose. En consecuencia, no deben presentarse sus totales como equivalentes cuando hay descuentos. En Mi dinero se filtra por la fecha del movimiento de cobro, que puede diferir de la fecha del pedido.</w:t>
      </w:r>
    </w:p>
    <w:p w:rsidR="00100516" w:rsidRDefault="0006145B">
      <w:pPr>
        <w:pStyle w:val="Ttulo1"/>
      </w:pPr>
      <w:bookmarkStart w:id="8" w:name="_Toc243426783"/>
      <w:r>
        <w:lastRenderedPageBreak/>
        <w:t>Consultar ingresos, egresos y saldo</w:t>
      </w:r>
      <w:bookmarkEnd w:id="8"/>
    </w:p>
    <w:p w:rsidR="00100516" w:rsidRDefault="0006145B">
      <w:r>
        <w:t>El dashboard de administración abre Mi dinero. Elegir día, mes, año o un rango permite revisar ingresos, egresos y balance del período. Saldo disponible incorpora el historial anterior hasta la fecha final. Desplegar los movimientos para ver el detalle y los saldos por efectivo, tarjeta y transferencia.</w:t>
      </w:r>
    </w:p>
    <w:p w:rsidR="00100516" w:rsidRDefault="0006145B">
      <w:r>
        <w:t>Para insumos que no entran al inventario, usar Registrar movimiento y elegir Gasto del negocio. Para mercadería, registrar la compra y cómo se pagó. Si una compra quedó a crédito, su detalle permite registrar pagos hasta cubrir el pendiente. No registrar el mismo pago otra vez como gasto, porque se duplicaría la salida de dinero.</w:t>
      </w:r>
    </w:p>
    <w:p w:rsidR="00100516" w:rsidRDefault="0006145B">
      <w:r>
        <w:t>Si existía dinero antes de comenzar a usar la aplicación, registrar Saldo inicial con fecha de comienzo del historial y método correspondiente. No usar la apertura para volver a introducir ventas que ya están registradas. El saldo de tarjeta representa cobros registrados y no acredita una liquidación bancaria.</w:t>
      </w:r>
    </w:p>
    <w:p w:rsidR="00100516" w:rsidRDefault="0006145B">
      <w:pPr>
        <w:pStyle w:val="Ttulo1"/>
      </w:pPr>
      <w:bookmarkStart w:id="9" w:name="_Toc243426784"/>
      <w:r>
        <w:t>Administración y eliminación</w:t>
      </w:r>
      <w:bookmarkEnd w:id="9"/>
    </w:p>
    <w:p w:rsidR="00100516" w:rsidRDefault="0006145B">
      <w:r>
        <w:t>Administrador y Dueño pueden administrar usuarios. Eliminar se permite únicamente cuando la cuenta no tiene operaciones relacionadas; si hay historial, usar Desactivar. La cuenta propia no puede eliminarse. El cambio de rol propio tampoco se permite: otra cuenta administrativa debe realizar una reasignación legítima.</w:t>
      </w:r>
    </w:p>
    <w:p w:rsidR="00100516" w:rsidRDefault="0006145B">
      <w:r>
        <w:t>La limpieza general realizada para esta entrega es una operación de mantenimiento excepcional, con respaldo previo. No es un botón de uso cotidiano ni un mecanismo para borrar ventas del negocio. El script backend/scripts/limpiarEntrega3.js exige un argumento explícito y no se ejecuta al iniciar el servidor.</w:t>
      </w:r>
    </w:p>
    <w:p w:rsidR="00100516" w:rsidRDefault="0006145B">
      <w:pPr>
        <w:pStyle w:val="Ttulo1"/>
      </w:pPr>
      <w:bookmarkStart w:id="10" w:name="_Toc243426785"/>
      <w:r>
        <w:lastRenderedPageBreak/>
        <w:t>Salir con datos pendientes</w:t>
      </w:r>
      <w:bookmarkEnd w:id="10"/>
    </w:p>
    <w:p w:rsidR="00100516" w:rsidRDefault="0006145B">
      <w:r>
        <w:t>Al cambiar de pantalla con un formulario modificado, aparece el aviso Guardar y salir, Salir sin guardar o Seguir editando. El guardado utiliza las validaciones normales; si falla, se conserva el formulario. Si se cierra o recarga el navegador, se muestra su advertencia nativa, que no ofrece guardar desde el propio aviso.</w:t>
      </w:r>
    </w:p>
    <w:p w:rsidR="00100516" w:rsidRDefault="0006145B">
      <w:pPr>
        <w:keepNext/>
        <w:ind w:firstLine="0"/>
      </w:pPr>
      <w:r>
        <w:rPr>
          <w:b/>
        </w:rPr>
        <w:t>Figura 3</w:t>
      </w:r>
    </w:p>
    <w:p w:rsidR="00100516" w:rsidRDefault="0006145B">
      <w:pPr>
        <w:keepNext/>
        <w:ind w:firstLine="0"/>
      </w:pPr>
      <w:r>
        <w:rPr>
          <w:i/>
        </w:rPr>
        <w:t>Protección de cambios pendientes — evidencia E12</w:t>
      </w:r>
    </w:p>
    <w:tbl>
      <w:tblPr>
        <w:tblW w:w="0" w:type="auto"/>
        <w:jc w:val="center"/>
        <w:tblLook w:val="04A0" w:firstRow="1" w:lastRow="0" w:firstColumn="1" w:lastColumn="0" w:noHBand="0" w:noVBand="1"/>
      </w:tblPr>
      <w:tblGrid>
        <w:gridCol w:w="9360"/>
      </w:tblGrid>
      <w:tr w:rsidR="00100516">
        <w:trPr>
          <w:jc w:val="center"/>
        </w:trPr>
        <w:tc>
          <w:tcPr>
            <w:tcW w:w="9360" w:type="dxa"/>
            <w:shd w:val="clear" w:color="auto" w:fill="F2F2F2"/>
          </w:tcPr>
          <w:p w:rsidR="00100516" w:rsidRDefault="0006145B">
            <w:pPr>
              <w:ind w:firstLine="0"/>
              <w:jc w:val="center"/>
            </w:pPr>
            <w:r>
              <w:rPr>
                <w:b/>
              </w:rPr>
              <w:t>INSERTAR AQUÍ LA CAPTURA E12</w:t>
            </w:r>
          </w:p>
          <w:p w:rsidR="00100516" w:rsidRDefault="0006145B">
            <w:pPr>
              <w:spacing w:line="288" w:lineRule="auto"/>
              <w:ind w:firstLine="0"/>
            </w:pPr>
            <w:r>
              <w:t>Escribir un dato sin guardarlo, intentar volver al menú y capturar las tres opciones. Después verificar que Seguir editando conserva el valor.</w:t>
            </w:r>
          </w:p>
          <w:p w:rsidR="00100516" w:rsidRDefault="0006145B">
            <w:pPr>
              <w:spacing w:line="360" w:lineRule="auto"/>
              <w:ind w:firstLine="0"/>
            </w:pPr>
            <w:r>
              <w:t>Fecha y hora: __________   Capturó: __________</w:t>
            </w:r>
            <w:r>
              <w:br/>
              <w:t>Resultado observado: ____________________________________</w:t>
            </w:r>
          </w:p>
        </w:tc>
      </w:tr>
    </w:tbl>
    <w:p w:rsidR="00100516" w:rsidRDefault="0006145B">
      <w:pPr>
        <w:ind w:firstLine="0"/>
      </w:pPr>
      <w:r>
        <w:rPr>
          <w:i/>
        </w:rPr>
        <w:t>Nota. Espacio reservado para evidencia real del equipo; aún no incorporada.</w:t>
      </w:r>
    </w:p>
    <w:p w:rsidR="00100516" w:rsidRDefault="0006145B">
      <w:pPr>
        <w:pStyle w:val="Ttulo1"/>
      </w:pPr>
      <w:bookmarkStart w:id="11" w:name="_Toc243426786"/>
      <w:r>
        <w:t>Solución de problemas frecuentes</w:t>
      </w:r>
      <w:bookmarkEnd w:id="11"/>
    </w:p>
    <w:p w:rsidR="00100516" w:rsidRDefault="0006145B">
      <w:pPr>
        <w:keepNext/>
        <w:ind w:firstLine="0"/>
      </w:pPr>
      <w:r>
        <w:rPr>
          <w:b/>
        </w:rPr>
        <w:t>Tabla 1</w:t>
      </w:r>
    </w:p>
    <w:p w:rsidR="00100516" w:rsidRDefault="0006145B">
      <w:pPr>
        <w:keepNext/>
        <w:ind w:firstLine="0"/>
      </w:pPr>
      <w:r>
        <w:rPr>
          <w:i/>
        </w:rPr>
        <w:t>Solución de problemas frecuentes</w:t>
      </w:r>
    </w:p>
    <w:tbl>
      <w:tblPr>
        <w:tblW w:w="0" w:type="auto"/>
        <w:jc w:val="center"/>
        <w:tblLayout w:type="fixed"/>
        <w:tblLook w:val="04A0" w:firstRow="1" w:lastRow="0" w:firstColumn="1" w:lastColumn="0" w:noHBand="0" w:noVBand="1"/>
      </w:tblPr>
      <w:tblGrid>
        <w:gridCol w:w="4680"/>
        <w:gridCol w:w="4680"/>
      </w:tblGrid>
      <w:tr w:rsidR="00100516">
        <w:trPr>
          <w:cantSplit/>
          <w:tblHeader/>
          <w:jc w:val="center"/>
        </w:trPr>
        <w:tc>
          <w:tcPr>
            <w:tcW w:w="4680" w:type="dxa"/>
            <w:tcBorders>
              <w:top w:val="single" w:sz="6" w:space="0" w:color="auto"/>
              <w:bottom w:val="single" w:sz="6" w:space="0" w:color="auto"/>
            </w:tcBorders>
          </w:tcPr>
          <w:p w:rsidR="00100516" w:rsidRDefault="0006145B">
            <w:pPr>
              <w:spacing w:before="100" w:after="100" w:line="264" w:lineRule="auto"/>
              <w:ind w:firstLine="0"/>
            </w:pPr>
            <w:r>
              <w:rPr>
                <w:b/>
                <w:sz w:val="20"/>
              </w:rPr>
              <w:t>Situación</w:t>
            </w:r>
          </w:p>
        </w:tc>
        <w:tc>
          <w:tcPr>
            <w:tcW w:w="4680" w:type="dxa"/>
            <w:tcBorders>
              <w:top w:val="single" w:sz="6" w:space="0" w:color="auto"/>
              <w:bottom w:val="single" w:sz="6" w:space="0" w:color="auto"/>
            </w:tcBorders>
          </w:tcPr>
          <w:p w:rsidR="00100516" w:rsidRDefault="0006145B">
            <w:pPr>
              <w:spacing w:before="100" w:after="100" w:line="264" w:lineRule="auto"/>
              <w:ind w:firstLine="0"/>
            </w:pPr>
            <w:r>
              <w:rPr>
                <w:b/>
                <w:sz w:val="20"/>
              </w:rPr>
              <w:t>Qué revisar</w:t>
            </w:r>
          </w:p>
        </w:tc>
      </w:tr>
      <w:tr w:rsidR="00100516">
        <w:trPr>
          <w:cantSplit/>
          <w:jc w:val="center"/>
        </w:trPr>
        <w:tc>
          <w:tcPr>
            <w:tcW w:w="4680" w:type="dxa"/>
          </w:tcPr>
          <w:p w:rsidR="00100516" w:rsidRDefault="0006145B">
            <w:pPr>
              <w:spacing w:before="100" w:after="100" w:line="264" w:lineRule="auto"/>
              <w:ind w:firstLine="0"/>
            </w:pPr>
            <w:r>
              <w:rPr>
                <w:sz w:val="20"/>
              </w:rPr>
              <w:t>No aparecen productos para vender</w:t>
            </w:r>
          </w:p>
        </w:tc>
        <w:tc>
          <w:tcPr>
            <w:tcW w:w="4680" w:type="dxa"/>
          </w:tcPr>
          <w:p w:rsidR="00100516" w:rsidRDefault="0006145B">
            <w:pPr>
              <w:spacing w:before="100" w:after="100" w:line="264" w:lineRule="auto"/>
              <w:ind w:firstLine="0"/>
            </w:pPr>
            <w:r>
              <w:rPr>
                <w:sz w:val="20"/>
              </w:rPr>
              <w:t>Catálogo activo y stock incorporado mediante compra</w:t>
            </w:r>
          </w:p>
        </w:tc>
      </w:tr>
      <w:tr w:rsidR="00100516">
        <w:trPr>
          <w:cantSplit/>
          <w:jc w:val="center"/>
        </w:trPr>
        <w:tc>
          <w:tcPr>
            <w:tcW w:w="4680" w:type="dxa"/>
          </w:tcPr>
          <w:p w:rsidR="00100516" w:rsidRDefault="0006145B">
            <w:pPr>
              <w:spacing w:before="100" w:after="100" w:line="264" w:lineRule="auto"/>
              <w:ind w:firstLine="0"/>
            </w:pPr>
            <w:r>
              <w:rPr>
                <w:sz w:val="20"/>
              </w:rPr>
              <w:t>No aparecen funciones de administración</w:t>
            </w:r>
          </w:p>
        </w:tc>
        <w:tc>
          <w:tcPr>
            <w:tcW w:w="4680" w:type="dxa"/>
          </w:tcPr>
          <w:p w:rsidR="00100516" w:rsidRDefault="0006145B">
            <w:pPr>
              <w:spacing w:before="100" w:after="100" w:line="264" w:lineRule="auto"/>
              <w:ind w:firstLine="0"/>
            </w:pPr>
            <w:r>
              <w:rPr>
                <w:sz w:val="20"/>
              </w:rPr>
              <w:t>Rol activo, permisos y sesión de la cuenta correcta</w:t>
            </w:r>
          </w:p>
        </w:tc>
      </w:tr>
      <w:tr w:rsidR="00100516">
        <w:trPr>
          <w:cantSplit/>
          <w:jc w:val="center"/>
        </w:trPr>
        <w:tc>
          <w:tcPr>
            <w:tcW w:w="4680" w:type="dxa"/>
          </w:tcPr>
          <w:p w:rsidR="00100516" w:rsidRDefault="0006145B">
            <w:pPr>
              <w:spacing w:before="100" w:after="100" w:line="264" w:lineRule="auto"/>
              <w:ind w:firstLine="0"/>
            </w:pPr>
            <w:r>
              <w:rPr>
                <w:sz w:val="20"/>
              </w:rPr>
              <w:t>El pedido pide otro aprobador</w:t>
            </w:r>
          </w:p>
        </w:tc>
        <w:tc>
          <w:tcPr>
            <w:tcW w:w="4680" w:type="dxa"/>
          </w:tcPr>
          <w:p w:rsidR="00100516" w:rsidRDefault="0006145B">
            <w:pPr>
              <w:spacing w:before="100" w:after="100" w:line="264" w:lineRule="auto"/>
              <w:ind w:firstLine="0"/>
            </w:pPr>
            <w:r>
              <w:rPr>
                <w:sz w:val="20"/>
              </w:rPr>
              <w:t>Descuento mayor a 10 % o total desde Q5,000; usar una cuenta distinta</w:t>
            </w:r>
          </w:p>
        </w:tc>
      </w:tr>
      <w:tr w:rsidR="00100516">
        <w:trPr>
          <w:cantSplit/>
          <w:jc w:val="center"/>
        </w:trPr>
        <w:tc>
          <w:tcPr>
            <w:tcW w:w="4680" w:type="dxa"/>
          </w:tcPr>
          <w:p w:rsidR="00100516" w:rsidRDefault="0006145B">
            <w:pPr>
              <w:spacing w:before="100" w:after="100" w:line="264" w:lineRule="auto"/>
              <w:ind w:firstLine="0"/>
            </w:pPr>
            <w:r>
              <w:rPr>
                <w:sz w:val="20"/>
              </w:rPr>
              <w:t>El cobro falla después de un abono</w:t>
            </w:r>
          </w:p>
        </w:tc>
        <w:tc>
          <w:tcPr>
            <w:tcW w:w="4680" w:type="dxa"/>
          </w:tcPr>
          <w:p w:rsidR="00100516" w:rsidRDefault="0006145B">
            <w:pPr>
              <w:spacing w:before="100" w:after="100" w:line="264" w:lineRule="auto"/>
              <w:ind w:firstLine="0"/>
            </w:pPr>
            <w:r>
              <w:rPr>
                <w:sz w:val="20"/>
              </w:rPr>
              <w:t>Verificar stock actual; los pedidos no reservan existencias</w:t>
            </w:r>
          </w:p>
        </w:tc>
      </w:tr>
      <w:tr w:rsidR="00100516">
        <w:trPr>
          <w:cantSplit/>
          <w:jc w:val="center"/>
        </w:trPr>
        <w:tc>
          <w:tcPr>
            <w:tcW w:w="4680" w:type="dxa"/>
          </w:tcPr>
          <w:p w:rsidR="00100516" w:rsidRDefault="0006145B">
            <w:pPr>
              <w:spacing w:before="100" w:after="100" w:line="264" w:lineRule="auto"/>
              <w:ind w:firstLine="0"/>
            </w:pPr>
            <w:r>
              <w:rPr>
                <w:sz w:val="20"/>
              </w:rPr>
              <w:t>El NIT ya está registrado</w:t>
            </w:r>
          </w:p>
        </w:tc>
        <w:tc>
          <w:tcPr>
            <w:tcW w:w="4680" w:type="dxa"/>
          </w:tcPr>
          <w:p w:rsidR="00100516" w:rsidRDefault="0006145B">
            <w:pPr>
              <w:spacing w:before="100" w:after="100" w:line="264" w:lineRule="auto"/>
              <w:ind w:firstLine="0"/>
            </w:pPr>
            <w:r>
              <w:rPr>
                <w:sz w:val="20"/>
              </w:rPr>
              <w:t>Seleccionar la ficha existente o usar NIT sin cuenta para esa compra</w:t>
            </w:r>
          </w:p>
        </w:tc>
      </w:tr>
      <w:tr w:rsidR="00100516">
        <w:trPr>
          <w:cantSplit/>
          <w:jc w:val="center"/>
        </w:trPr>
        <w:tc>
          <w:tcPr>
            <w:tcW w:w="4680" w:type="dxa"/>
          </w:tcPr>
          <w:p w:rsidR="00100516" w:rsidRDefault="0006145B">
            <w:pPr>
              <w:spacing w:before="100" w:after="100" w:line="264" w:lineRule="auto"/>
              <w:ind w:firstLine="0"/>
            </w:pPr>
            <w:r>
              <w:rPr>
                <w:sz w:val="20"/>
              </w:rPr>
              <w:t>Un gasto no disminuye el saldo visible</w:t>
            </w:r>
          </w:p>
        </w:tc>
        <w:tc>
          <w:tcPr>
            <w:tcW w:w="4680" w:type="dxa"/>
          </w:tcPr>
          <w:p w:rsidR="00100516" w:rsidRDefault="0006145B">
            <w:pPr>
              <w:spacing w:before="100" w:after="100" w:line="264" w:lineRule="auto"/>
              <w:ind w:firstLine="0"/>
            </w:pPr>
            <w:r>
              <w:rPr>
                <w:sz w:val="20"/>
              </w:rPr>
              <w:t>Revisar fecha final del filtro, método y confirmación del registro</w:t>
            </w:r>
          </w:p>
        </w:tc>
      </w:tr>
      <w:tr w:rsidR="00100516">
        <w:trPr>
          <w:cantSplit/>
          <w:jc w:val="center"/>
        </w:trPr>
        <w:tc>
          <w:tcPr>
            <w:tcW w:w="4680" w:type="dxa"/>
          </w:tcPr>
          <w:p w:rsidR="00100516" w:rsidRDefault="0006145B">
            <w:pPr>
              <w:spacing w:before="100" w:after="100" w:line="264" w:lineRule="auto"/>
              <w:ind w:firstLine="0"/>
            </w:pPr>
            <w:r>
              <w:rPr>
                <w:sz w:val="20"/>
              </w:rPr>
              <w:lastRenderedPageBreak/>
              <w:t>No aparece el diálogo de impresión</w:t>
            </w:r>
          </w:p>
        </w:tc>
        <w:tc>
          <w:tcPr>
            <w:tcW w:w="4680" w:type="dxa"/>
          </w:tcPr>
          <w:p w:rsidR="00100516" w:rsidRDefault="0006145B">
            <w:pPr>
              <w:spacing w:before="100" w:after="100" w:line="264" w:lineRule="auto"/>
              <w:ind w:firstLine="0"/>
            </w:pPr>
            <w:r>
              <w:rPr>
                <w:sz w:val="20"/>
              </w:rPr>
              <w:t>Abrir comprobante desde historial y pulsar Imprimir / Guardar PDF</w:t>
            </w:r>
          </w:p>
        </w:tc>
      </w:tr>
      <w:tr w:rsidR="00100516">
        <w:trPr>
          <w:cantSplit/>
          <w:jc w:val="center"/>
        </w:trPr>
        <w:tc>
          <w:tcPr>
            <w:tcW w:w="4680" w:type="dxa"/>
            <w:tcBorders>
              <w:bottom w:val="single" w:sz="6" w:space="0" w:color="auto"/>
            </w:tcBorders>
          </w:tcPr>
          <w:p w:rsidR="00100516" w:rsidRDefault="0006145B">
            <w:pPr>
              <w:spacing w:before="100" w:after="100" w:line="264" w:lineRule="auto"/>
              <w:ind w:firstLine="0"/>
            </w:pPr>
            <w:r>
              <w:rPr>
                <w:sz w:val="20"/>
              </w:rPr>
              <w:t>No conecta a Neon</w:t>
            </w:r>
          </w:p>
        </w:tc>
        <w:tc>
          <w:tcPr>
            <w:tcW w:w="4680" w:type="dxa"/>
            <w:tcBorders>
              <w:bottom w:val="single" w:sz="6" w:space="0" w:color="auto"/>
            </w:tcBorders>
          </w:tcPr>
          <w:p w:rsidR="00100516" w:rsidRDefault="0006145B">
            <w:pPr>
              <w:spacing w:before="100" w:after="100" w:line="264" w:lineRule="auto"/>
              <w:ind w:firstLine="0"/>
            </w:pPr>
            <w:r>
              <w:rPr>
                <w:sz w:val="20"/>
              </w:rPr>
              <w:t>Revisar variables privadas, red y motor PostgreSQL; no publicar .env</w:t>
            </w:r>
          </w:p>
        </w:tc>
      </w:tr>
    </w:tbl>
    <w:p w:rsidR="00100516" w:rsidRDefault="00100516"/>
    <w:p w:rsidR="00100516" w:rsidRDefault="0006145B">
      <w:pPr>
        <w:pStyle w:val="Ttulo1"/>
      </w:pPr>
      <w:bookmarkStart w:id="12" w:name="_Toc243426787"/>
      <w:r>
        <w:t>Edición de los documentos</w:t>
      </w:r>
      <w:bookmarkEnd w:id="12"/>
    </w:p>
    <w:p w:rsidR="00100516" w:rsidRDefault="0006145B">
      <w:r>
        <w:t>Las portadas incluyen nombres completos y espacios para carnés, institución, curso y docente. Los encabezados usan estilos de Word y el índice es automático. Después de cambiar texto o pegar capturas, seleccionar todo y actualizar campos con F9 para corregir referencias de páginas.</w:t>
      </w:r>
    </w:p>
    <w:p w:rsidR="00100516" w:rsidRDefault="0006145B">
      <w:r>
        <w:t xml:space="preserve">Las capturas deben insertarse dentro de los espacios indicados y conservar un pie de figura con fecha, responsable y resultado observado. Se recomienda mantenerlas en línea con el texto para evitar que se desplacen al editar. La presentación usa una adaptación de APA 7 para trabajo estudiantil: márgenes de 2.54 cm, letra Times New Roman de 12 puntos, interlineado doble en el cuerpo, numeración de página, tablas y figuras tituladas y referencias. Las tablas usan espaciado reducido para facilitar su lectura; </w:t>
      </w:r>
      <w:r>
        <w:t>revisar cualquier instrucción adicional del docente.</w:t>
      </w:r>
    </w:p>
    <w:p w:rsidR="00100516" w:rsidRDefault="0006145B">
      <w:pPr>
        <w:pStyle w:val="Ttulo1"/>
      </w:pPr>
      <w:bookmarkStart w:id="13" w:name="_Toc243426788"/>
      <w:r>
        <w:t>Referencias</w:t>
      </w:r>
      <w:bookmarkEnd w:id="13"/>
    </w:p>
    <w:p w:rsidR="00100516" w:rsidRDefault="0006145B">
      <w:pPr>
        <w:ind w:left="720" w:hanging="720"/>
      </w:pPr>
      <w:r>
        <w:t>American Psychological Association. (2024). Paper format. APA Style. https://apastyle.apa.org/style-grammar-guidelines/paper-format</w:t>
      </w:r>
    </w:p>
    <w:p w:rsidR="00100516" w:rsidRDefault="0006145B">
      <w:pPr>
        <w:ind w:left="720" w:hanging="720"/>
      </w:pPr>
      <w:r>
        <w:t>Librería La Crayola Gigante. (2026). Manual de operación y configuración del proyecto [Documentación de trabajo no publicada]. docs/NEON.md; docs/GMAIL.md; frontend/src/pages/Pedidos.jsx; frontend/src/components/Finanzas.jsx.</w:t>
      </w:r>
    </w:p>
    <w:sectPr w:rsidR="0010051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45B" w:rsidRDefault="0006145B">
      <w:pPr>
        <w:spacing w:line="240" w:lineRule="auto"/>
      </w:pPr>
      <w:r>
        <w:separator/>
      </w:r>
    </w:p>
  </w:endnote>
  <w:endnote w:type="continuationSeparator" w:id="0">
    <w:p w:rsidR="0006145B" w:rsidRDefault="00061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45B" w:rsidRDefault="0006145B">
      <w:pPr>
        <w:spacing w:line="240" w:lineRule="auto"/>
      </w:pPr>
      <w:r>
        <w:separator/>
      </w:r>
    </w:p>
  </w:footnote>
  <w:footnote w:type="continuationSeparator" w:id="0">
    <w:p w:rsidR="0006145B" w:rsidRDefault="000614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0516" w:rsidRDefault="0006145B">
    <w:pPr>
      <w:pStyle w:val="Encabezado"/>
      <w:ind w:firstLine="0"/>
      <w:jc w:val="right"/>
    </w:pPr>
    <w:r>
      <w:fldChar w:fldCharType="begin"/>
    </w:r>
    <w:r>
      <w:instrText>PAGE</w:instrText>
    </w:r>
    <w:r w:rsidR="0052166A">
      <w:fldChar w:fldCharType="separate"/>
    </w:r>
    <w:r w:rsidR="0052166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3310312">
    <w:abstractNumId w:val="8"/>
  </w:num>
  <w:num w:numId="2" w16cid:durableId="869033954">
    <w:abstractNumId w:val="6"/>
  </w:num>
  <w:num w:numId="3" w16cid:durableId="1178957146">
    <w:abstractNumId w:val="5"/>
  </w:num>
  <w:num w:numId="4" w16cid:durableId="2082291243">
    <w:abstractNumId w:val="4"/>
  </w:num>
  <w:num w:numId="5" w16cid:durableId="159004053">
    <w:abstractNumId w:val="7"/>
  </w:num>
  <w:num w:numId="6" w16cid:durableId="829520979">
    <w:abstractNumId w:val="3"/>
  </w:num>
  <w:num w:numId="7" w16cid:durableId="1428117361">
    <w:abstractNumId w:val="2"/>
  </w:num>
  <w:num w:numId="8" w16cid:durableId="1298147733">
    <w:abstractNumId w:val="1"/>
  </w:num>
  <w:num w:numId="9" w16cid:durableId="43124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45B"/>
    <w:rsid w:val="00100516"/>
    <w:rsid w:val="0015074B"/>
    <w:rsid w:val="001E06A6"/>
    <w:rsid w:val="0029639D"/>
    <w:rsid w:val="00326F90"/>
    <w:rsid w:val="005216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576FD4C-1412-49AD-8D47-9BAEEE71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2166A"/>
    <w:pPr>
      <w:spacing w:after="100"/>
    </w:pPr>
  </w:style>
  <w:style w:type="character" w:styleId="Hipervnculo">
    <w:name w:val="Hyperlink"/>
    <w:basedOn w:val="Fuentedeprrafopredeter"/>
    <w:uiPriority w:val="99"/>
    <w:unhideWhenUsed/>
    <w:rsid w:val="005216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1831</Words>
  <Characters>11009</Characters>
  <Application>Microsoft Office Word</Application>
  <DocSecurity>0</DocSecurity>
  <Lines>379</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3: manual de uso, conexión y preparación de evidencias</dc:title>
  <dc:subject>Entrega 3: pedidos, ventas y procesos avanzados</dc:subject>
  <dc:creator>David García, Yordy Carreto y Daylin Loarca</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2026-10-21T04:11:00Z</dcterms:modified>
  <cp:category/>
</cp:coreProperties>
</file>