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E7599" w14:textId="77777777" w:rsidR="00F00FA0" w:rsidRPr="00F00FA0" w:rsidRDefault="00F00FA0" w:rsidP="00F00FA0">
      <w:pPr>
        <w:rPr>
          <w:b/>
          <w:bCs/>
        </w:rPr>
      </w:pPr>
      <w:r w:rsidRPr="00F00FA0">
        <w:rPr>
          <w:b/>
          <w:bCs/>
        </w:rPr>
        <w:t>REGISTRO DE INCIDENCIAS</w:t>
      </w:r>
    </w:p>
    <w:p w14:paraId="42E260B3" w14:textId="77777777" w:rsidR="00F00FA0" w:rsidRPr="00F00FA0" w:rsidRDefault="00F00FA0" w:rsidP="00F00FA0">
      <w:pPr>
        <w:rPr>
          <w:b/>
          <w:bCs/>
        </w:rPr>
      </w:pPr>
      <w:r w:rsidRPr="00F00FA0">
        <w:rPr>
          <w:b/>
          <w:bCs/>
        </w:rPr>
        <w:t>Sistema de Gestión para Mercados Municipales</w:t>
      </w:r>
    </w:p>
    <w:p w14:paraId="01A47F02" w14:textId="2F06A150" w:rsidR="00F00FA0" w:rsidRPr="00F00FA0" w:rsidRDefault="00F00FA0" w:rsidP="00F00FA0">
      <w:pPr>
        <w:pStyle w:val="Prrafodelista"/>
        <w:numPr>
          <w:ilvl w:val="0"/>
          <w:numId w:val="4"/>
        </w:numPr>
        <w:rPr>
          <w:b/>
          <w:bCs/>
        </w:rPr>
      </w:pPr>
      <w:r w:rsidRPr="00F00FA0">
        <w:rPr>
          <w:b/>
          <w:bCs/>
        </w:rPr>
        <w:t>Información general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705"/>
        <w:gridCol w:w="2070"/>
      </w:tblGrid>
      <w:tr w:rsidR="00F00FA0" w14:paraId="756790F4" w14:textId="77777777" w:rsidTr="00F00FA0">
        <w:tc>
          <w:tcPr>
            <w:tcW w:w="1705" w:type="dxa"/>
            <w:vAlign w:val="center"/>
          </w:tcPr>
          <w:p w14:paraId="12F07FC7" w14:textId="3BE8156C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rPr>
                <w:b/>
                <w:bCs/>
              </w:rPr>
              <w:t>Campo</w:t>
            </w:r>
          </w:p>
        </w:tc>
        <w:tc>
          <w:tcPr>
            <w:tcW w:w="2070" w:type="dxa"/>
            <w:vAlign w:val="center"/>
          </w:tcPr>
          <w:p w14:paraId="2F629E81" w14:textId="518AAF78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rPr>
                <w:b/>
                <w:bCs/>
              </w:rPr>
              <w:t>Descripción</w:t>
            </w:r>
          </w:p>
        </w:tc>
      </w:tr>
      <w:tr w:rsidR="00F00FA0" w14:paraId="68D418FA" w14:textId="77777777" w:rsidTr="00F00FA0">
        <w:tc>
          <w:tcPr>
            <w:tcW w:w="1705" w:type="dxa"/>
            <w:vAlign w:val="center"/>
          </w:tcPr>
          <w:p w14:paraId="2130D588" w14:textId="507A6343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Código</w:t>
            </w:r>
          </w:p>
        </w:tc>
        <w:tc>
          <w:tcPr>
            <w:tcW w:w="2070" w:type="dxa"/>
            <w:vAlign w:val="center"/>
          </w:tcPr>
          <w:p w14:paraId="697C83AB" w14:textId="023EE4EC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RI-001</w:t>
            </w:r>
          </w:p>
        </w:tc>
      </w:tr>
      <w:tr w:rsidR="00F00FA0" w14:paraId="73394619" w14:textId="77777777" w:rsidTr="00F00FA0">
        <w:tc>
          <w:tcPr>
            <w:tcW w:w="1705" w:type="dxa"/>
            <w:vAlign w:val="center"/>
          </w:tcPr>
          <w:p w14:paraId="2BCF1134" w14:textId="41E0F492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Versión</w:t>
            </w:r>
          </w:p>
        </w:tc>
        <w:tc>
          <w:tcPr>
            <w:tcW w:w="2070" w:type="dxa"/>
            <w:vAlign w:val="center"/>
          </w:tcPr>
          <w:p w14:paraId="41D3BE53" w14:textId="6E135FC7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1.0</w:t>
            </w:r>
          </w:p>
        </w:tc>
      </w:tr>
      <w:tr w:rsidR="00F00FA0" w14:paraId="7FD0A09C" w14:textId="77777777" w:rsidTr="00F00FA0">
        <w:tc>
          <w:tcPr>
            <w:tcW w:w="1705" w:type="dxa"/>
            <w:vAlign w:val="center"/>
          </w:tcPr>
          <w:p w14:paraId="77432603" w14:textId="784E44DC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Periodo</w:t>
            </w:r>
          </w:p>
        </w:tc>
        <w:tc>
          <w:tcPr>
            <w:tcW w:w="2070" w:type="dxa"/>
            <w:vAlign w:val="center"/>
          </w:tcPr>
          <w:p w14:paraId="661647E2" w14:textId="6DB49797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Semana 12</w:t>
            </w:r>
          </w:p>
        </w:tc>
      </w:tr>
      <w:tr w:rsidR="00F00FA0" w14:paraId="0E40E25A" w14:textId="77777777" w:rsidTr="00F00FA0">
        <w:tc>
          <w:tcPr>
            <w:tcW w:w="1705" w:type="dxa"/>
            <w:vAlign w:val="center"/>
          </w:tcPr>
          <w:p w14:paraId="01AE7604" w14:textId="44287CCF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Responsable</w:t>
            </w:r>
          </w:p>
        </w:tc>
        <w:tc>
          <w:tcPr>
            <w:tcW w:w="2070" w:type="dxa"/>
            <w:vAlign w:val="center"/>
          </w:tcPr>
          <w:p w14:paraId="1CF215F4" w14:textId="6048DBE7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Jefe de proyecto</w:t>
            </w:r>
          </w:p>
        </w:tc>
      </w:tr>
      <w:tr w:rsidR="00F00FA0" w14:paraId="54948A1E" w14:textId="77777777" w:rsidTr="00F00FA0">
        <w:tc>
          <w:tcPr>
            <w:tcW w:w="1705" w:type="dxa"/>
            <w:vAlign w:val="center"/>
          </w:tcPr>
          <w:p w14:paraId="6A383D5B" w14:textId="66290A6D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Estado general</w:t>
            </w:r>
          </w:p>
        </w:tc>
        <w:tc>
          <w:tcPr>
            <w:tcW w:w="2070" w:type="dxa"/>
            <w:vAlign w:val="center"/>
          </w:tcPr>
          <w:p w14:paraId="0A96C1C6" w14:textId="4F81EBD0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En tratamiento</w:t>
            </w:r>
          </w:p>
        </w:tc>
      </w:tr>
    </w:tbl>
    <w:p w14:paraId="7CC51013" w14:textId="77777777" w:rsidR="00F00FA0" w:rsidRPr="00F00FA0" w:rsidRDefault="00F00FA0" w:rsidP="00F00FA0">
      <w:pPr>
        <w:pStyle w:val="Prrafodelista"/>
        <w:rPr>
          <w:b/>
          <w:bCs/>
        </w:rPr>
      </w:pPr>
    </w:p>
    <w:p w14:paraId="3C69D94F" w14:textId="019E4306" w:rsidR="00F00FA0" w:rsidRPr="00F00FA0" w:rsidRDefault="00F00FA0" w:rsidP="00F00FA0">
      <w:pPr>
        <w:pStyle w:val="Prrafodelista"/>
        <w:numPr>
          <w:ilvl w:val="0"/>
          <w:numId w:val="4"/>
        </w:numPr>
        <w:rPr>
          <w:b/>
          <w:bCs/>
        </w:rPr>
      </w:pPr>
      <w:r w:rsidRPr="00F00FA0">
        <w:rPr>
          <w:b/>
          <w:bCs/>
        </w:rPr>
        <w:t xml:space="preserve"> Objetivo</w:t>
      </w:r>
    </w:p>
    <w:p w14:paraId="43C26EFC" w14:textId="77777777" w:rsidR="00F00FA0" w:rsidRPr="00F00FA0" w:rsidRDefault="00F00FA0" w:rsidP="00F00FA0">
      <w:pPr>
        <w:ind w:left="708"/>
        <w:jc w:val="both"/>
      </w:pPr>
      <w:r w:rsidRPr="00F00FA0">
        <w:t>Registrar los problemas que ocurrieron durante la ejecución del proyecto, evaluar su impacto y establecer acciones correctivas.</w:t>
      </w:r>
    </w:p>
    <w:p w14:paraId="152897BC" w14:textId="77777777" w:rsidR="00F00FA0" w:rsidRPr="00F00FA0" w:rsidRDefault="00F00FA0" w:rsidP="00F00FA0">
      <w:pPr>
        <w:ind w:left="708"/>
        <w:jc w:val="both"/>
      </w:pPr>
      <w:r w:rsidRPr="00F00FA0">
        <w:t>A diferencia de un riesgo, una incidencia es una situación que ya ocurrió y afecta al proyecto.</w:t>
      </w:r>
    </w:p>
    <w:p w14:paraId="5151C723" w14:textId="0E58E110" w:rsidR="00F00FA0" w:rsidRDefault="00F00FA0" w:rsidP="00F00FA0">
      <w:pPr>
        <w:pStyle w:val="Prrafodelista"/>
        <w:numPr>
          <w:ilvl w:val="0"/>
          <w:numId w:val="4"/>
        </w:numPr>
        <w:rPr>
          <w:b/>
          <w:bCs/>
        </w:rPr>
      </w:pPr>
      <w:r w:rsidRPr="00F00FA0">
        <w:rPr>
          <w:b/>
          <w:bCs/>
        </w:rPr>
        <w:t xml:space="preserve"> Incidencias registradas</w:t>
      </w:r>
    </w:p>
    <w:p w14:paraId="02BEDE16" w14:textId="77777777" w:rsidR="00F00FA0" w:rsidRDefault="00F00FA0" w:rsidP="00F00FA0">
      <w:pPr>
        <w:pStyle w:val="Prrafodelista"/>
        <w:rPr>
          <w:b/>
          <w:bCs/>
        </w:rPr>
      </w:pPr>
    </w:p>
    <w:tbl>
      <w:tblPr>
        <w:tblStyle w:val="Tablaconcuadrcula"/>
        <w:tblW w:w="93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990"/>
        <w:gridCol w:w="1350"/>
        <w:gridCol w:w="990"/>
        <w:gridCol w:w="990"/>
        <w:gridCol w:w="2160"/>
        <w:gridCol w:w="1440"/>
        <w:gridCol w:w="1440"/>
      </w:tblGrid>
      <w:tr w:rsidR="00F00FA0" w14:paraId="6809D866" w14:textId="77777777" w:rsidTr="00F00FA0">
        <w:tc>
          <w:tcPr>
            <w:tcW w:w="990" w:type="dxa"/>
            <w:vAlign w:val="center"/>
          </w:tcPr>
          <w:p w14:paraId="3B02BF52" w14:textId="62101E1C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rPr>
                <w:b/>
                <w:bCs/>
              </w:rPr>
              <w:t>ID</w:t>
            </w:r>
          </w:p>
        </w:tc>
        <w:tc>
          <w:tcPr>
            <w:tcW w:w="1350" w:type="dxa"/>
            <w:vAlign w:val="center"/>
          </w:tcPr>
          <w:p w14:paraId="737289FF" w14:textId="1F6002B9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rPr>
                <w:b/>
                <w:bCs/>
              </w:rPr>
              <w:t>Incidencia</w:t>
            </w:r>
          </w:p>
        </w:tc>
        <w:tc>
          <w:tcPr>
            <w:tcW w:w="990" w:type="dxa"/>
            <w:vAlign w:val="center"/>
          </w:tcPr>
          <w:p w14:paraId="0C24FA58" w14:textId="415531EC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rPr>
                <w:b/>
                <w:bCs/>
              </w:rPr>
              <w:t>Fecha</w:t>
            </w:r>
          </w:p>
        </w:tc>
        <w:tc>
          <w:tcPr>
            <w:tcW w:w="990" w:type="dxa"/>
            <w:vAlign w:val="center"/>
          </w:tcPr>
          <w:p w14:paraId="01A4BB71" w14:textId="7C6905D8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rPr>
                <w:b/>
                <w:bCs/>
              </w:rPr>
              <w:t>Impacto</w:t>
            </w:r>
          </w:p>
        </w:tc>
        <w:tc>
          <w:tcPr>
            <w:tcW w:w="2160" w:type="dxa"/>
            <w:vAlign w:val="center"/>
          </w:tcPr>
          <w:p w14:paraId="27B79DBE" w14:textId="64122AE0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rPr>
                <w:b/>
                <w:bCs/>
              </w:rPr>
              <w:t>Acción inmediata</w:t>
            </w:r>
          </w:p>
        </w:tc>
        <w:tc>
          <w:tcPr>
            <w:tcW w:w="1440" w:type="dxa"/>
            <w:vAlign w:val="center"/>
          </w:tcPr>
          <w:p w14:paraId="4A2B44A3" w14:textId="2803B383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rPr>
                <w:b/>
                <w:bCs/>
              </w:rPr>
              <w:t>Responsable</w:t>
            </w:r>
          </w:p>
        </w:tc>
        <w:tc>
          <w:tcPr>
            <w:tcW w:w="1440" w:type="dxa"/>
            <w:vAlign w:val="center"/>
          </w:tcPr>
          <w:p w14:paraId="78F4F28C" w14:textId="310A5DCA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rPr>
                <w:b/>
                <w:bCs/>
              </w:rPr>
              <w:t>Estado</w:t>
            </w:r>
          </w:p>
        </w:tc>
      </w:tr>
      <w:tr w:rsidR="00F00FA0" w14:paraId="48EAB951" w14:textId="77777777" w:rsidTr="00F00FA0">
        <w:tc>
          <w:tcPr>
            <w:tcW w:w="990" w:type="dxa"/>
            <w:vAlign w:val="center"/>
          </w:tcPr>
          <w:p w14:paraId="5CBF9E7D" w14:textId="75BCE6DF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INC-001</w:t>
            </w:r>
          </w:p>
        </w:tc>
        <w:tc>
          <w:tcPr>
            <w:tcW w:w="1350" w:type="dxa"/>
            <w:vAlign w:val="center"/>
          </w:tcPr>
          <w:p w14:paraId="3E300EA8" w14:textId="6AF1E6B4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Renuncia de dos desarrolladores clave</w:t>
            </w:r>
          </w:p>
        </w:tc>
        <w:tc>
          <w:tcPr>
            <w:tcW w:w="990" w:type="dxa"/>
            <w:vAlign w:val="center"/>
          </w:tcPr>
          <w:p w14:paraId="54AF166D" w14:textId="5D2C8498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Semana 12</w:t>
            </w:r>
          </w:p>
        </w:tc>
        <w:tc>
          <w:tcPr>
            <w:tcW w:w="990" w:type="dxa"/>
            <w:vAlign w:val="center"/>
          </w:tcPr>
          <w:p w14:paraId="5BFC33CE" w14:textId="0FE7A924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Alto</w:t>
            </w:r>
          </w:p>
        </w:tc>
        <w:tc>
          <w:tcPr>
            <w:tcW w:w="2160" w:type="dxa"/>
            <w:vAlign w:val="center"/>
          </w:tcPr>
          <w:p w14:paraId="755C485D" w14:textId="45508F76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Recuperar código y documentación, dar de baja accesos, redistribuir tareas e iniciar búsqueda de reemplazos</w:t>
            </w:r>
          </w:p>
        </w:tc>
        <w:tc>
          <w:tcPr>
            <w:tcW w:w="1440" w:type="dxa"/>
            <w:vAlign w:val="center"/>
          </w:tcPr>
          <w:p w14:paraId="70511284" w14:textId="3E9C8359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Jefe de proyecto</w:t>
            </w:r>
          </w:p>
        </w:tc>
        <w:tc>
          <w:tcPr>
            <w:tcW w:w="1440" w:type="dxa"/>
            <w:vAlign w:val="center"/>
          </w:tcPr>
          <w:p w14:paraId="7140402C" w14:textId="1567D33D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En tratamiento</w:t>
            </w:r>
          </w:p>
        </w:tc>
      </w:tr>
      <w:tr w:rsidR="00F00FA0" w14:paraId="0F2F98A5" w14:textId="77777777" w:rsidTr="00F00FA0">
        <w:tc>
          <w:tcPr>
            <w:tcW w:w="990" w:type="dxa"/>
            <w:vAlign w:val="center"/>
          </w:tcPr>
          <w:p w14:paraId="6FD43077" w14:textId="4B1F7FD6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INC-002</w:t>
            </w:r>
          </w:p>
        </w:tc>
        <w:tc>
          <w:tcPr>
            <w:tcW w:w="1350" w:type="dxa"/>
            <w:vAlign w:val="center"/>
          </w:tcPr>
          <w:p w14:paraId="3A542F7B" w14:textId="127802D2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Publicación de nueva normativa municipal sobre licencias sanitarias</w:t>
            </w:r>
          </w:p>
        </w:tc>
        <w:tc>
          <w:tcPr>
            <w:tcW w:w="990" w:type="dxa"/>
            <w:vAlign w:val="center"/>
          </w:tcPr>
          <w:p w14:paraId="4AAE4B0A" w14:textId="2110F01B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Semana 12</w:t>
            </w:r>
          </w:p>
        </w:tc>
        <w:tc>
          <w:tcPr>
            <w:tcW w:w="990" w:type="dxa"/>
            <w:vAlign w:val="center"/>
          </w:tcPr>
          <w:p w14:paraId="1B8191CE" w14:textId="21D81008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Alto</w:t>
            </w:r>
          </w:p>
        </w:tc>
        <w:tc>
          <w:tcPr>
            <w:tcW w:w="2160" w:type="dxa"/>
            <w:vAlign w:val="center"/>
          </w:tcPr>
          <w:p w14:paraId="54C35723" w14:textId="78EBBCAC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Solicitar la norma oficial, identificar requisitos afectados y generar la solicitud de cambio SC-002</w:t>
            </w:r>
          </w:p>
        </w:tc>
        <w:tc>
          <w:tcPr>
            <w:tcW w:w="1440" w:type="dxa"/>
            <w:vAlign w:val="center"/>
          </w:tcPr>
          <w:p w14:paraId="64F2C89B" w14:textId="06B2146A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Analista funcional</w:t>
            </w:r>
          </w:p>
        </w:tc>
        <w:tc>
          <w:tcPr>
            <w:tcW w:w="1440" w:type="dxa"/>
            <w:vAlign w:val="center"/>
          </w:tcPr>
          <w:p w14:paraId="5106DBEB" w14:textId="78C5D8C8" w:rsidR="00F00FA0" w:rsidRDefault="00F00FA0" w:rsidP="00F00FA0">
            <w:pPr>
              <w:pStyle w:val="Prrafodelista"/>
              <w:ind w:left="0"/>
              <w:rPr>
                <w:b/>
                <w:bCs/>
              </w:rPr>
            </w:pPr>
            <w:r w:rsidRPr="00F00FA0">
              <w:t>En análisis</w:t>
            </w:r>
          </w:p>
        </w:tc>
      </w:tr>
    </w:tbl>
    <w:p w14:paraId="0FE06AE9" w14:textId="77777777" w:rsidR="00F00FA0" w:rsidRPr="00F00FA0" w:rsidRDefault="00F00FA0" w:rsidP="00F00FA0">
      <w:pPr>
        <w:pStyle w:val="Prrafodelista"/>
        <w:rPr>
          <w:b/>
          <w:bCs/>
        </w:rPr>
      </w:pPr>
    </w:p>
    <w:p w14:paraId="62F173F3" w14:textId="03A17B98" w:rsidR="00F00FA0" w:rsidRPr="00F00FA0" w:rsidRDefault="00F00FA0" w:rsidP="00F00FA0">
      <w:pPr>
        <w:pStyle w:val="Prrafodelista"/>
        <w:numPr>
          <w:ilvl w:val="0"/>
          <w:numId w:val="4"/>
        </w:numPr>
        <w:rPr>
          <w:b/>
          <w:bCs/>
        </w:rPr>
      </w:pPr>
      <w:r w:rsidRPr="00F00FA0">
        <w:rPr>
          <w:b/>
          <w:bCs/>
        </w:rPr>
        <w:t>Detalle de la incidencia INC-001</w:t>
      </w:r>
    </w:p>
    <w:p w14:paraId="63FA0AE4" w14:textId="77777777" w:rsidR="00F00FA0" w:rsidRPr="00F00FA0" w:rsidRDefault="00F00FA0" w:rsidP="00F00FA0">
      <w:pPr>
        <w:spacing w:after="0"/>
        <w:ind w:left="360"/>
        <w:jc w:val="both"/>
      </w:pPr>
      <w:r w:rsidRPr="00F00FA0">
        <w:t>La renuncia de dos desarrolladores afecta principalmente los módulos de backend, base de datos, tarifas y pagos.</w:t>
      </w:r>
    </w:p>
    <w:p w14:paraId="0A80AFF6" w14:textId="118D2945" w:rsidR="00F00FA0" w:rsidRDefault="00F00FA0" w:rsidP="00F00FA0">
      <w:pPr>
        <w:spacing w:after="0"/>
        <w:ind w:left="360"/>
        <w:jc w:val="both"/>
      </w:pPr>
      <w:r w:rsidRPr="00F00FA0">
        <w:t>Este evento había sido identificado previamente como el riesgo R-01, con probabilidad media e impacto alto.</w:t>
      </w:r>
    </w:p>
    <w:p w14:paraId="6F74F289" w14:textId="77777777" w:rsidR="00F00FA0" w:rsidRPr="00F00FA0" w:rsidRDefault="00F00FA0" w:rsidP="00F00FA0">
      <w:pPr>
        <w:spacing w:after="0"/>
        <w:ind w:left="360"/>
        <w:jc w:val="both"/>
      </w:pPr>
    </w:p>
    <w:p w14:paraId="05EB2FC3" w14:textId="77777777" w:rsidR="00F00FA0" w:rsidRPr="00F00FA0" w:rsidRDefault="00F00FA0" w:rsidP="00F00FA0">
      <w:pPr>
        <w:spacing w:after="0"/>
        <w:ind w:left="360"/>
        <w:rPr>
          <w:b/>
          <w:bCs/>
        </w:rPr>
      </w:pPr>
      <w:r w:rsidRPr="00F00FA0">
        <w:rPr>
          <w:b/>
          <w:bCs/>
        </w:rPr>
        <w:t>Acciones correctivas</w:t>
      </w:r>
    </w:p>
    <w:p w14:paraId="2A93F294" w14:textId="77777777" w:rsidR="00F00FA0" w:rsidRPr="00F00FA0" w:rsidRDefault="00F00FA0" w:rsidP="00F00FA0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</w:pPr>
      <w:r w:rsidRPr="00F00FA0">
        <w:t>Registrar formalmente la salida del personal.</w:t>
      </w:r>
    </w:p>
    <w:p w14:paraId="08CDEE16" w14:textId="77777777" w:rsidR="00F00FA0" w:rsidRPr="00F00FA0" w:rsidRDefault="00F00FA0" w:rsidP="00F00FA0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</w:pPr>
      <w:r w:rsidRPr="00F00FA0">
        <w:t>Recuperar código, documentación y tareas pendientes.</w:t>
      </w:r>
    </w:p>
    <w:p w14:paraId="5F337F0F" w14:textId="77777777" w:rsidR="00F00FA0" w:rsidRPr="00F00FA0" w:rsidRDefault="00F00FA0" w:rsidP="00F00FA0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</w:pPr>
      <w:r w:rsidRPr="00F00FA0">
        <w:t>Dar de baja accesos a GitHub, servidores y bases de datos.</w:t>
      </w:r>
    </w:p>
    <w:p w14:paraId="559E3DB6" w14:textId="77777777" w:rsidR="00F00FA0" w:rsidRPr="00F00FA0" w:rsidRDefault="00F00FA0" w:rsidP="00F00FA0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</w:pPr>
      <w:r w:rsidRPr="00F00FA0">
        <w:t>Reasignar temporalmente las tareas prioritarias.</w:t>
      </w:r>
    </w:p>
    <w:p w14:paraId="32B25219" w14:textId="77777777" w:rsidR="00F00FA0" w:rsidRPr="00F00FA0" w:rsidRDefault="00F00FA0" w:rsidP="00F00FA0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</w:pPr>
      <w:r w:rsidRPr="00F00FA0">
        <w:lastRenderedPageBreak/>
        <w:t>Actualizar el Plan de Recursos.</w:t>
      </w:r>
    </w:p>
    <w:p w14:paraId="7E0460E5" w14:textId="77777777" w:rsidR="00F00FA0" w:rsidRPr="00F00FA0" w:rsidRDefault="00F00FA0" w:rsidP="00F00FA0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</w:pPr>
      <w:r w:rsidRPr="00F00FA0">
        <w:t>Evaluar la incorporación de personal de reemplazo.</w:t>
      </w:r>
    </w:p>
    <w:p w14:paraId="09062CE7" w14:textId="77777777" w:rsidR="00F00FA0" w:rsidRPr="00F00FA0" w:rsidRDefault="00F00FA0" w:rsidP="00F00FA0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</w:pPr>
      <w:r w:rsidRPr="00F00FA0">
        <w:t>Revisar el impacto sobre el cronograma.</w:t>
      </w:r>
    </w:p>
    <w:p w14:paraId="4CF54932" w14:textId="157FFFA3" w:rsidR="00F00FA0" w:rsidRDefault="00F00FA0" w:rsidP="00F00FA0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</w:pPr>
      <w:r w:rsidRPr="00F00FA0">
        <w:t>Informar a la Dirección de Ingresos.</w:t>
      </w:r>
    </w:p>
    <w:p w14:paraId="6A7EDA64" w14:textId="77777777" w:rsidR="00F00FA0" w:rsidRPr="00F00FA0" w:rsidRDefault="00F00FA0" w:rsidP="00F00FA0">
      <w:pPr>
        <w:spacing w:after="0"/>
        <w:ind w:left="1080"/>
      </w:pPr>
    </w:p>
    <w:p w14:paraId="7905F49A" w14:textId="5ADEFE93" w:rsidR="00F00FA0" w:rsidRPr="00BE518C" w:rsidRDefault="00F00FA0" w:rsidP="00BE518C">
      <w:pPr>
        <w:pStyle w:val="Prrafodelista"/>
        <w:numPr>
          <w:ilvl w:val="0"/>
          <w:numId w:val="4"/>
        </w:numPr>
        <w:rPr>
          <w:b/>
          <w:bCs/>
        </w:rPr>
      </w:pPr>
      <w:r w:rsidRPr="00BE518C">
        <w:rPr>
          <w:b/>
          <w:bCs/>
        </w:rPr>
        <w:t>Detalle de la incidencia INC-002</w:t>
      </w:r>
    </w:p>
    <w:p w14:paraId="7485B84B" w14:textId="77777777" w:rsidR="00F00FA0" w:rsidRPr="00F00FA0" w:rsidRDefault="00F00FA0" w:rsidP="00BE518C">
      <w:pPr>
        <w:spacing w:after="0"/>
        <w:ind w:left="360"/>
        <w:jc w:val="both"/>
      </w:pPr>
      <w:r w:rsidRPr="00F00FA0">
        <w:t>La nueva normativa modifica las condiciones de registro y control de las licencias sanitarias.</w:t>
      </w:r>
    </w:p>
    <w:p w14:paraId="48FC1B4B" w14:textId="77777777" w:rsidR="00F00FA0" w:rsidRPr="00F00FA0" w:rsidRDefault="00F00FA0" w:rsidP="00BE518C">
      <w:pPr>
        <w:spacing w:after="0"/>
        <w:ind w:left="360"/>
        <w:jc w:val="both"/>
      </w:pPr>
      <w:r w:rsidRPr="00F00FA0">
        <w:t>La incidencia afecta principalmente:</w:t>
      </w:r>
    </w:p>
    <w:p w14:paraId="0AAFE471" w14:textId="77777777" w:rsidR="00F00FA0" w:rsidRPr="00F00FA0" w:rsidRDefault="00F00FA0" w:rsidP="00BE518C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jc w:val="both"/>
      </w:pPr>
      <w:r w:rsidRPr="00F00FA0">
        <w:t>RF-8: Gestión de licencias sanitarias.</w:t>
      </w:r>
    </w:p>
    <w:p w14:paraId="18DB6E83" w14:textId="77777777" w:rsidR="00F00FA0" w:rsidRPr="00F00FA0" w:rsidRDefault="00F00FA0" w:rsidP="00BE518C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jc w:val="both"/>
      </w:pPr>
      <w:r w:rsidRPr="00F00FA0">
        <w:t>Reglas de validación.</w:t>
      </w:r>
    </w:p>
    <w:p w14:paraId="352B588E" w14:textId="77777777" w:rsidR="00F00FA0" w:rsidRPr="00F00FA0" w:rsidRDefault="00F00FA0" w:rsidP="00BE518C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jc w:val="both"/>
      </w:pPr>
      <w:r w:rsidRPr="00F00FA0">
        <w:t>Formularios.</w:t>
      </w:r>
    </w:p>
    <w:p w14:paraId="5AF10591" w14:textId="77777777" w:rsidR="00F00FA0" w:rsidRPr="00F00FA0" w:rsidRDefault="00F00FA0" w:rsidP="00BE518C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jc w:val="both"/>
      </w:pPr>
      <w:r w:rsidRPr="00F00FA0">
        <w:t>Estados de las licencias.</w:t>
      </w:r>
    </w:p>
    <w:p w14:paraId="6B6F7E8A" w14:textId="77777777" w:rsidR="00F00FA0" w:rsidRPr="00F00FA0" w:rsidRDefault="00F00FA0" w:rsidP="00BE518C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jc w:val="both"/>
      </w:pPr>
      <w:r w:rsidRPr="00F00FA0">
        <w:t>Alertas de vencimiento.</w:t>
      </w:r>
    </w:p>
    <w:p w14:paraId="2F565F6E" w14:textId="77777777" w:rsidR="00F00FA0" w:rsidRPr="00F00FA0" w:rsidRDefault="00F00FA0" w:rsidP="00BE518C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jc w:val="both"/>
      </w:pPr>
      <w:r w:rsidRPr="00F00FA0">
        <w:t>Casos de prueba.</w:t>
      </w:r>
    </w:p>
    <w:p w14:paraId="1F97DD00" w14:textId="77777777" w:rsidR="00F00FA0" w:rsidRPr="00F00FA0" w:rsidRDefault="00F00FA0" w:rsidP="00BE518C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jc w:val="both"/>
      </w:pPr>
      <w:r w:rsidRPr="00F00FA0">
        <w:t>Manual de usuario.</w:t>
      </w:r>
    </w:p>
    <w:p w14:paraId="2005FAE8" w14:textId="271DFAA8" w:rsidR="00F00FA0" w:rsidRDefault="00F00FA0" w:rsidP="00BE518C">
      <w:pPr>
        <w:spacing w:after="0"/>
        <w:ind w:left="360"/>
        <w:jc w:val="both"/>
      </w:pPr>
      <w:r w:rsidRPr="00F00FA0">
        <w:t>El cambio será gestionado mediante la solicitud SC-002.</w:t>
      </w:r>
    </w:p>
    <w:p w14:paraId="4425B488" w14:textId="77777777" w:rsidR="00BE518C" w:rsidRPr="00F00FA0" w:rsidRDefault="00BE518C" w:rsidP="00BE518C">
      <w:pPr>
        <w:spacing w:after="0"/>
        <w:ind w:left="360"/>
        <w:jc w:val="both"/>
      </w:pPr>
    </w:p>
    <w:p w14:paraId="207748B6" w14:textId="68B2D846" w:rsidR="00F00FA0" w:rsidRPr="00BE518C" w:rsidRDefault="00F00FA0" w:rsidP="00BE518C">
      <w:pPr>
        <w:pStyle w:val="Prrafodelista"/>
        <w:numPr>
          <w:ilvl w:val="0"/>
          <w:numId w:val="4"/>
        </w:numPr>
        <w:spacing w:after="0"/>
        <w:rPr>
          <w:b/>
          <w:bCs/>
        </w:rPr>
      </w:pPr>
      <w:r w:rsidRPr="00BE518C">
        <w:rPr>
          <w:b/>
          <w:bCs/>
        </w:rPr>
        <w:t>Seguimiento</w:t>
      </w:r>
    </w:p>
    <w:p w14:paraId="1B2D2AF6" w14:textId="77777777" w:rsidR="00F00FA0" w:rsidRPr="00F00FA0" w:rsidRDefault="00F00FA0" w:rsidP="00BE518C">
      <w:pPr>
        <w:spacing w:after="0"/>
        <w:ind w:left="360"/>
      </w:pPr>
      <w:r w:rsidRPr="00F00FA0">
        <w:t>Las incidencias serán revisadas semanalmente hasta su resolución.</w:t>
      </w:r>
    </w:p>
    <w:p w14:paraId="2ED5E5BA" w14:textId="77777777" w:rsidR="00F00FA0" w:rsidRPr="00F00FA0" w:rsidRDefault="00F00FA0" w:rsidP="00BE518C">
      <w:pPr>
        <w:spacing w:after="0"/>
        <w:ind w:left="360"/>
      </w:pPr>
      <w:r w:rsidRPr="00F00FA0">
        <w:t>Cuando una incidencia sea solucionada, deberá registrarse:</w:t>
      </w:r>
    </w:p>
    <w:p w14:paraId="5EDAD98D" w14:textId="77777777" w:rsidR="00F00FA0" w:rsidRPr="00F00FA0" w:rsidRDefault="00F00FA0" w:rsidP="00BE518C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</w:pPr>
      <w:r w:rsidRPr="00F00FA0">
        <w:t>Fecha de resolución.</w:t>
      </w:r>
    </w:p>
    <w:p w14:paraId="0CD8CCEB" w14:textId="77777777" w:rsidR="00F00FA0" w:rsidRPr="00F00FA0" w:rsidRDefault="00F00FA0" w:rsidP="00BE518C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</w:pPr>
      <w:r w:rsidRPr="00F00FA0">
        <w:t>Acción aplicada.</w:t>
      </w:r>
    </w:p>
    <w:p w14:paraId="743A0CEA" w14:textId="77777777" w:rsidR="00F00FA0" w:rsidRPr="00F00FA0" w:rsidRDefault="00F00FA0" w:rsidP="00BE518C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</w:pPr>
      <w:r w:rsidRPr="00F00FA0">
        <w:t>Evidencia.</w:t>
      </w:r>
    </w:p>
    <w:p w14:paraId="720E5A07" w14:textId="77777777" w:rsidR="00F00FA0" w:rsidRPr="00F00FA0" w:rsidRDefault="00F00FA0" w:rsidP="00BE518C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</w:pPr>
      <w:r w:rsidRPr="00F00FA0">
        <w:t>Responsable.</w:t>
      </w:r>
    </w:p>
    <w:p w14:paraId="2BA0A379" w14:textId="77777777" w:rsidR="00F00FA0" w:rsidRPr="00F00FA0" w:rsidRDefault="00F00FA0" w:rsidP="00BE518C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</w:pPr>
      <w:r w:rsidRPr="00F00FA0">
        <w:t>Resultado final.</w:t>
      </w:r>
    </w:p>
    <w:p w14:paraId="4CAC2635" w14:textId="77777777" w:rsidR="00F00FA0" w:rsidRPr="00F00FA0" w:rsidRDefault="00F00FA0" w:rsidP="00BE518C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</w:pPr>
      <w:r w:rsidRPr="00F00FA0">
        <w:t>Lección aprendida.</w:t>
      </w:r>
    </w:p>
    <w:p w14:paraId="07510D03" w14:textId="77777777" w:rsidR="00375F7C" w:rsidRDefault="00375F7C"/>
    <w:sectPr w:rsidR="00375F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9655B"/>
    <w:multiLevelType w:val="multilevel"/>
    <w:tmpl w:val="6214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61274"/>
    <w:multiLevelType w:val="hybridMultilevel"/>
    <w:tmpl w:val="664AA7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7357D4"/>
    <w:multiLevelType w:val="multilevel"/>
    <w:tmpl w:val="3474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B65C16"/>
    <w:multiLevelType w:val="multilevel"/>
    <w:tmpl w:val="07CC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8B8"/>
    <w:rsid w:val="00375F7C"/>
    <w:rsid w:val="00573E05"/>
    <w:rsid w:val="006C28B8"/>
    <w:rsid w:val="00BE518C"/>
    <w:rsid w:val="00D6269D"/>
    <w:rsid w:val="00F0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F2222"/>
  <w15:chartTrackingRefBased/>
  <w15:docId w15:val="{D4919472-7CB6-4171-AB67-03BA7A4CB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0FA0"/>
    <w:pPr>
      <w:ind w:left="720"/>
      <w:contextualSpacing/>
    </w:pPr>
  </w:style>
  <w:style w:type="table" w:styleId="Tablaconcuadrcula">
    <w:name w:val="Table Grid"/>
    <w:basedOn w:val="Tablanormal"/>
    <w:uiPriority w:val="39"/>
    <w:rsid w:val="00F00F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343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Alejandro Diaz Barron</dc:creator>
  <cp:keywords/>
  <dc:description/>
  <cp:lastModifiedBy>Grover Alejandro Diaz Barron</cp:lastModifiedBy>
  <cp:revision>3</cp:revision>
  <dcterms:created xsi:type="dcterms:W3CDTF">2026-06-17T00:08:00Z</dcterms:created>
  <dcterms:modified xsi:type="dcterms:W3CDTF">2026-06-17T00:14:00Z</dcterms:modified>
</cp:coreProperties>
</file>