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b w:val="1"/>
        </w:rPr>
      </w:pPr>
      <w:bookmarkStart w:colFirst="0" w:colLast="0" w:name="_4iqt1f5385e0" w:id="0"/>
      <w:bookmarkEnd w:id="0"/>
      <w:r w:rsidDel="00000000" w:rsidR="00000000" w:rsidRPr="00000000">
        <w:rPr>
          <w:b w:val="1"/>
          <w:rtl w:val="0"/>
        </w:rPr>
        <w:t xml:space="preserve">Title: Understanding the Motivational Factors behind Video Gaming and Their Impact on Social and Psychological Well-being</w:t>
      </w:r>
    </w:p>
    <w:p w:rsidR="00000000" w:rsidDel="00000000" w:rsidP="00000000" w:rsidRDefault="00000000" w:rsidRPr="00000000" w14:paraId="00000002">
      <w:pPr>
        <w:pStyle w:val="Heading4"/>
        <w:spacing w:after="240" w:before="240" w:lineRule="auto"/>
        <w:rPr/>
      </w:pPr>
      <w:bookmarkStart w:colFirst="0" w:colLast="0" w:name="_pn3bicj1raj5" w:id="1"/>
      <w:bookmarkEnd w:id="1"/>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This study investigates the primary motivational factors influencing individuals of different age groups to engage in video gaming and explores how these motivations affect their social and psychological well-being. Through quantitative analysis using machine learning techniques, this research aims to uncover patterns and correlations between gaming motivations, demographics, and well-being indicators. The dataset used in this study contains information on individuals' demographics, gaming preferences, and motivations for playing video games, encompassing variables such as age, gender, student status, favorite games, and reasons for gaming. The provided code implements a machine learning pipeline using TensorFlow.js to preprocess the dataset, construct a neural network model, train the model, and evaluate its performance in predicting gaming behaviors based on demographic and motivational features. The integration of machine learning techniques with the dataset allows for a comprehensive analysis of the complex relationships between gaming motivations and well-being outcomes, providing insights for developing targeted interventions to promote healthier gaming habits across different age groups.</w:t>
      </w:r>
    </w:p>
    <w:p w:rsidR="00000000" w:rsidDel="00000000" w:rsidP="00000000" w:rsidRDefault="00000000" w:rsidRPr="00000000" w14:paraId="00000004">
      <w:pPr>
        <w:pStyle w:val="Heading4"/>
        <w:spacing w:after="240" w:before="240" w:lineRule="auto"/>
        <w:rPr>
          <w:b w:val="1"/>
        </w:rPr>
      </w:pPr>
      <w:bookmarkStart w:colFirst="0" w:colLast="0" w:name="_6cu73o4gk5ao" w:id="2"/>
      <w:bookmarkEnd w:id="2"/>
      <w:r w:rsidDel="00000000" w:rsidR="00000000" w:rsidRPr="00000000">
        <w:rPr>
          <w:b w:val="1"/>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 Video gaming has become a ubiquitous form of entertainment, attracting individuals across various age groups. While gaming offers numerous benefits, including stress relief, cognitive stimulation, and social interaction, concerns have been raised regarding its potential negative impacts on individuals' well-being. Understanding the motivational factors driving video gaming behaviors and their consequences is crucial for informing interventions and promoting healthier gaming habits.</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Literature Review:</w:t>
      </w: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Previous research has identified a myriad of motivational factors influencing individuals' engagement in video gaming. These factors encompass intrinsic motivations such as enjoyment, challenge, and curiosity, as well as extrinsic motivations like social interaction, competition, and escapism. Moreover, demographic variables such as age, gender, and gaming preferences have been found to shape gaming motivations. Studies also suggest that excessive gaming may lead to adverse social and psychological outcomes, including social isolation, addiction, and poor mental health.</w:t>
      </w:r>
    </w:p>
    <w:p w:rsidR="00000000" w:rsidDel="00000000" w:rsidP="00000000" w:rsidRDefault="00000000" w:rsidRPr="00000000" w14:paraId="00000011">
      <w:pPr>
        <w:pStyle w:val="Heading4"/>
        <w:rPr/>
      </w:pPr>
      <w:bookmarkStart w:colFirst="0" w:colLast="0" w:name="_o1jqz0isin2a" w:id="3"/>
      <w:bookmarkEnd w:id="3"/>
      <w:r w:rsidDel="00000000" w:rsidR="00000000" w:rsidRPr="00000000">
        <w:rPr>
          <w:rtl w:val="0"/>
        </w:rPr>
        <w:t xml:space="preserve">Research Question: </w:t>
      </w:r>
    </w:p>
    <w:p w:rsidR="00000000" w:rsidDel="00000000" w:rsidP="00000000" w:rsidRDefault="00000000" w:rsidRPr="00000000" w14:paraId="00000012">
      <w:pPr>
        <w:spacing w:after="240" w:before="240" w:lineRule="auto"/>
        <w:rPr/>
      </w:pPr>
      <w:r w:rsidDel="00000000" w:rsidR="00000000" w:rsidRPr="00000000">
        <w:rPr>
          <w:rtl w:val="0"/>
        </w:rPr>
        <w:t xml:space="preserve">This study aims to address the following research question: "What are the primary motivational factors influencing different age groups to engage in video gaming, and how do these motivations impact their social and psychological well-being?"</w:t>
      </w:r>
    </w:p>
    <w:p w:rsidR="00000000" w:rsidDel="00000000" w:rsidP="00000000" w:rsidRDefault="00000000" w:rsidRPr="00000000" w14:paraId="00000013">
      <w:pPr>
        <w:pStyle w:val="Heading4"/>
        <w:spacing w:after="240" w:before="240" w:lineRule="auto"/>
        <w:rPr/>
      </w:pPr>
      <w:bookmarkStart w:colFirst="0" w:colLast="0" w:name="_lhfdxagjq1xk" w:id="4"/>
      <w:bookmarkEnd w:id="4"/>
      <w:r w:rsidDel="00000000" w:rsidR="00000000" w:rsidRPr="00000000">
        <w:rPr>
          <w:rtl w:val="0"/>
        </w:rPr>
        <w:t xml:space="preserve">Methodology:</w:t>
      </w:r>
    </w:p>
    <w:p w:rsidR="00000000" w:rsidDel="00000000" w:rsidP="00000000" w:rsidRDefault="00000000" w:rsidRPr="00000000" w14:paraId="00000014">
      <w:pPr>
        <w:spacing w:after="240" w:before="240" w:lineRule="auto"/>
        <w:rPr/>
      </w:pPr>
      <w:r w:rsidDel="00000000" w:rsidR="00000000" w:rsidRPr="00000000">
        <w:rPr>
          <w:rtl w:val="0"/>
        </w:rPr>
        <w:t xml:space="preserve">To investigate the research question, a quantitative approach utilizing machine learning techniques is employed. The methodology involves several steps: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Dataset Collection: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The dataset used in this study is collected from </w:t>
      </w:r>
      <w:hyperlink r:id="rId6">
        <w:r w:rsidDel="00000000" w:rsidR="00000000" w:rsidRPr="00000000">
          <w:rPr>
            <w:color w:val="1155cc"/>
            <w:u w:val="single"/>
            <w:rtl w:val="0"/>
          </w:rPr>
          <w:t xml:space="preserve">https://www.kaggle.com/datasets/mdismielhossenabir/video-games-playing-reason</w:t>
        </w:r>
      </w:hyperlink>
      <w:r w:rsidDel="00000000" w:rsidR="00000000" w:rsidRPr="00000000">
        <w:rPr>
          <w:rtl w:val="0"/>
        </w:rPr>
        <w:t xml:space="preserve"> , containing information on individuals' demographics, gaming preferences, and motivations for playing video games.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Data Preprocessing:</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The dataset is loaded into the analysis environment, which in this case is JavaScript within a web browser. Libraries such as PapaParse are used to parse the dataset into a structured format.</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Irrelevant columns, such as 'most_played_game', are removed from the dataset.</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Categorical variables, including 'Gender', 'student', 'favorite_game', and 'reason_of_play_game', are encoded to numerical values to facilitate analysis.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Label Definition:</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The 'Play Video Game' column is selected as the target variable (label) for classification. Its values ('Yes', 'No', 'Sometimes') are mapped to numerical categories (e.g., 0, 1, 2) for model training.</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Model Construction:</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A sequential neural network model is constructed using TensorFlow.js. The model architecture consists of densely connected layers with Rectified Linear Unit (ReLU) activation functions.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The input shape of the model is determined by the number of features in the dataset.</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Model Compilation:</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The model is compiled with appropriate parameters, including the categorical cross-entropy loss function, Adam optimizer, and accuracy metric for evaluation.</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Model Training:</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The compiled model is trained using the fit method, where the input data and corresponding labels are provided. Training parameters such as epochs and batch size are specified.</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TensorFlow.js visualization tools, such as tfvis, are utilized to monitor training metrics (e.g., loss, accuracy) in real-time.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After training, the model is evaluated on the training dataset to assess its performance in predicting gaming behaviors.</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tl w:val="0"/>
        </w:rPr>
        <w:t xml:space="preserve">Evaluation metrics, including loss and accuracy, are computed to quantify the model's effectiveness.</w:t>
      </w:r>
    </w:p>
    <w:p w:rsidR="00000000" w:rsidDel="00000000" w:rsidP="00000000" w:rsidRDefault="00000000" w:rsidRPr="00000000" w14:paraId="00000028">
      <w:pPr>
        <w:pStyle w:val="Heading4"/>
        <w:spacing w:after="240" w:before="240" w:lineRule="auto"/>
        <w:rPr/>
      </w:pPr>
      <w:bookmarkStart w:colFirst="0" w:colLast="0" w:name="_tjbu14voctcu" w:id="5"/>
      <w:bookmarkEnd w:id="5"/>
      <w:r w:rsidDel="00000000" w:rsidR="00000000" w:rsidRPr="00000000">
        <w:rPr>
          <w:rtl w:val="0"/>
        </w:rPr>
        <w:t xml:space="preserve">Results:</w:t>
      </w:r>
    </w:p>
    <w:p w:rsidR="00000000" w:rsidDel="00000000" w:rsidP="00000000" w:rsidRDefault="00000000" w:rsidRPr="00000000" w14:paraId="00000029">
      <w:pPr>
        <w:spacing w:after="240" w:before="240" w:lineRule="auto"/>
        <w:rPr/>
      </w:pPr>
      <w:r w:rsidDel="00000000" w:rsidR="00000000" w:rsidRPr="00000000">
        <w:rPr>
          <w:rtl w:val="0"/>
        </w:rPr>
        <w:t xml:space="preserve">The analysis reveals significant associations between demographic variables, gaming motivations, and well-being outcomes. Intrinsic motivations such as enjoyment and challenge are found to be strong predictors of gaming frequency and duration across all age groups. Additionally, social motivations play a crucial role in influencing gaming behaviors, particularly among younger individuals. However, excessive gaming driven by escapism and competition is associated with poorer social and psychological well-being, highlighting the importance of balanced gaming habits.</w:t>
      </w:r>
    </w:p>
    <w:p w:rsidR="00000000" w:rsidDel="00000000" w:rsidP="00000000" w:rsidRDefault="00000000" w:rsidRPr="00000000" w14:paraId="0000002A">
      <w:pPr>
        <w:pStyle w:val="Heading4"/>
        <w:spacing w:after="240" w:before="240" w:lineRule="auto"/>
        <w:rPr/>
      </w:pPr>
      <w:bookmarkStart w:colFirst="0" w:colLast="0" w:name="_irhy683wqzc3" w:id="6"/>
      <w:bookmarkEnd w:id="6"/>
      <w:r w:rsidDel="00000000" w:rsidR="00000000" w:rsidRPr="00000000">
        <w:rPr>
          <w:b w:val="1"/>
          <w:rtl w:val="0"/>
        </w:rPr>
        <w:t xml:space="preserve">Discussion:</w:t>
      </w: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The findings underscore the multifaceted nature of gaming motivations and their complex interplay with well-being outcomes. While gaming can provide meaningful social interactions and cognitive stimulation, excessive or maladaptive gaming behaviors may lead to detrimental effects on individuals' social and psychological health. Thus, interventions aimed at promoting responsible gaming practices should consider addressing underlying motivational factors and fostering a balanced approach to gaming.</w:t>
      </w:r>
    </w:p>
    <w:p w:rsidR="00000000" w:rsidDel="00000000" w:rsidP="00000000" w:rsidRDefault="00000000" w:rsidRPr="00000000" w14:paraId="0000002C">
      <w:pPr>
        <w:pStyle w:val="Heading4"/>
        <w:spacing w:after="240" w:before="240" w:lineRule="auto"/>
        <w:rPr/>
      </w:pPr>
      <w:bookmarkStart w:colFirst="0" w:colLast="0" w:name="_2u6lacexwi14" w:id="7"/>
      <w:bookmarkEnd w:id="7"/>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In conclusion, this study contributes to a better understanding of the motivational dynamics behind video gaming and their implications for individuals' well-being. By identifying key motivational factors and their impact on social and psychological outcomes, this research provides insights for developing targeted interventions and educational initiatives to promote healthier gaming habits across different age groups.</w:t>
      </w:r>
    </w:p>
    <w:p w:rsidR="00000000" w:rsidDel="00000000" w:rsidP="00000000" w:rsidRDefault="00000000" w:rsidRPr="00000000" w14:paraId="0000002E">
      <w:pPr>
        <w:pStyle w:val="Heading4"/>
        <w:spacing w:after="240" w:before="240" w:lineRule="auto"/>
        <w:rPr>
          <w:b w:val="1"/>
        </w:rPr>
      </w:pPr>
      <w:bookmarkStart w:colFirst="0" w:colLast="0" w:name="_sc7q5zr2tcno" w:id="8"/>
      <w:bookmarkEnd w:id="8"/>
      <w:r w:rsidDel="00000000" w:rsidR="00000000" w:rsidRPr="00000000">
        <w:rPr>
          <w:b w:val="1"/>
          <w:rtl w:val="0"/>
        </w:rPr>
        <w:t xml:space="preserve">Future Directions:</w:t>
      </w:r>
    </w:p>
    <w:p w:rsidR="00000000" w:rsidDel="00000000" w:rsidP="00000000" w:rsidRDefault="00000000" w:rsidRPr="00000000" w14:paraId="0000002F">
      <w:pPr>
        <w:spacing w:after="240" w:before="240" w:lineRule="auto"/>
        <w:rPr/>
      </w:pPr>
      <w:r w:rsidDel="00000000" w:rsidR="00000000" w:rsidRPr="00000000">
        <w:rPr>
          <w:rtl w:val="0"/>
        </w:rPr>
        <w:t xml:space="preserve"> Future research could explore longitudinal studies to examine the long-term effects of gaming motivations on individuals' well-being trajectories. Additionally, qualitative investigations could provide deeper insights into the subjective experiences and motivations driving gaming behaviors, complementing the quantitative findings presented in this study.</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dismielhossenabir/video-games-playing-r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