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22222"/>
          <w:sz w:val="24"/>
          <w:highlight w:val="white"/>
          <w:u w:val="single"/>
        </w:rPr>
        <w:t xml:space="preserve">Статья: </w:t>
      </w:r>
      <w:r/>
    </w:p>
    <w:p>
      <w:pPr>
        <w:ind w:left="0" w:right="0" w:firstLine="0"/>
        <w:jc w:val="both"/>
        <w:spacing w:before="0" w:after="20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Marhabaie, M., Wharton, T. H., Kim, S. Y. &amp; Wharton, R. P. Widespread regulation of the maternal transcriptome by Nanos in Drosophila. </w:t>
      </w:r>
      <w:r>
        <w:rPr>
          <w:i/>
          <w:iCs/>
          <w:sz w:val="24"/>
          <w:szCs w:val="24"/>
          <w:highlight w:val="none"/>
        </w:rPr>
        <w:t xml:space="preserve">PLOS Biology</w:t>
      </w:r>
      <w:r>
        <w:rPr>
          <w:sz w:val="24"/>
          <w:szCs w:val="24"/>
          <w:highlight w:val="none"/>
        </w:rPr>
        <w:t xml:space="preserve"> vol. 22 e3002840 (2024). </w:t>
      </w:r>
      <w:hyperlink r:id="rId9" w:tooltip="https://doi.org/10.1371/journal.pbio.3002840" w:history="1">
        <w:r>
          <w:rPr>
            <w:rStyle w:val="816"/>
            <w:sz w:val="24"/>
            <w:szCs w:val="24"/>
            <w:highlight w:val="none"/>
          </w:rPr>
          <w:t xml:space="preserve">https://doi.org/10.1371/journal.pbio.3002840</w:t>
        </w:r>
      </w:hyperlink>
      <w:r>
        <w:rPr>
          <w:sz w:val="24"/>
          <w:szCs w:val="24"/>
          <w:highlight w:val="none"/>
        </w:rPr>
        <w:t xml:space="preserve">  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660"/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22222"/>
          <w:sz w:val="24"/>
          <w:highlight w:val="white"/>
          <w:u w:val="single"/>
        </w:rPr>
        <w:t xml:space="preserve">Данные</w:t>
      </w:r>
      <w:r/>
    </w:p>
    <w:p>
      <w:pPr>
        <w:ind w:left="0" w:right="0" w:firstLine="709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 качестве исходных данных вы имеете данные секвенирования РНК (bulk RNA-seq) эмбрионов дрозофилы. Вам доступны данные RNA-seq нескольких групп образцов: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Style w:val="838"/>
        <w:numPr>
          <w:ilvl w:val="0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u w:val="none"/>
        </w:rPr>
        <w:t xml:space="preserve">Эмбрионы 9 стадии с разными генотипами (cycle9): 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38"/>
        <w:numPr>
          <w:ilvl w:val="1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u w:val="none"/>
        </w:rPr>
        <w:t xml:space="preserve">дикий тип - w, 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38"/>
        <w:numPr>
          <w:ilvl w:val="1"/>
          <w:numId w:val="1"/>
        </w:numPr>
        <w:ind w:right="0"/>
        <w:jc w:val="both"/>
        <w:spacing w:before="0" w:after="20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  <w:t xml:space="preserve">экспрессирующие химеру Upf1-Nos</w:t>
      </w:r>
      <w:r>
        <w:t xml:space="preserve">,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38"/>
        <w:numPr>
          <w:ilvl w:val="1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Arial" w:hAnsi="Arial" w:eastAsia="Arial" w:cs="Arial"/>
          <w:color w:val="000000"/>
          <w:sz w:val="24"/>
          <w:szCs w:val="24"/>
          <w:u w:val="none"/>
        </w:rPr>
        <w:t xml:space="preserve">экспрессирующие химеру Upf1-Nos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L7 (мутантный Nos),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38"/>
        <w:numPr>
          <w:ilvl w:val="1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экспрессирующие Upf1,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Style w:val="838"/>
        <w:numPr>
          <w:ilvl w:val="1"/>
          <w:numId w:val="4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экспрессирующие Nos,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38"/>
        <w:numPr>
          <w:ilvl w:val="1"/>
          <w:numId w:val="5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экспрессирующие NosL7 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(мутантный Nos)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pStyle w:val="838"/>
        <w:numPr>
          <w:ilvl w:val="0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Arial" w:hAnsi="Arial" w:eastAsia="Arial" w:cs="Arial"/>
          <w:color w:val="000000"/>
          <w:sz w:val="24"/>
          <w:szCs w:val="24"/>
          <w:u w:val="none"/>
        </w:rPr>
        <w:t xml:space="preserve">Эмбрионы 0-1 и 2-3 часов с разными генотипами (hours):</w:t>
      </w:r>
      <w:r/>
    </w:p>
    <w:p>
      <w:pPr>
        <w:pStyle w:val="838"/>
        <w:numPr>
          <w:ilvl w:val="1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дикий тип – w,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Style w:val="838"/>
        <w:numPr>
          <w:ilvl w:val="1"/>
          <w:numId w:val="1"/>
        </w:numPr>
        <w:ind w:right="0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делеция Nos – nos.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ind w:left="0" w:right="0" w:firstLine="709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</w:r>
      <w:r>
        <w:rPr>
          <w:rFonts w:ascii="Arial" w:hAnsi="Arial" w:eastAsia="Arial" w:cs="Arial"/>
          <w:color w:val="000000"/>
          <w:sz w:val="24"/>
          <w:u w:val="none"/>
        </w:rPr>
        <w:t xml:space="preserve">Данные предобработаны, поэтому вы имеете две таблицы с «сырыми» экспрессиями генов в каждом из образцов: 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07_marhabaie_2024_cycle9_genes_counts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и 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07_marhabaie_2024_hours_genes_counts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.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В таблицах в строках записаны гены (первый столбец – идентификаторы генов по БД Flybase)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, в столбцах - образцы (имена столбцов – названия образцов с некоторым суффиксом).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ind w:left="0" w:right="0" w:firstLine="709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Также у вас есть значения TPM для генов (файлы 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07_marhabaie_2024_cycle9_genes_TPM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и 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07_marhabaie_2024_hours_genes_TPM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), а также значения экспрессии для каждого транскрипта в «сырых» каунтах и TPM (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файлы 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07_marhabaie_2024_cycle9_tx_counts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b w:val="0"/>
          <w:bCs w:val="0"/>
          <w:i/>
          <w:iCs/>
          <w:color w:val="000000"/>
          <w:sz w:val="24"/>
          <w:u w:val="none"/>
        </w:rPr>
        <w:t xml:space="preserve">,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 07_marhabaie_2024_hours_tx_counts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b w:val="0"/>
          <w:bCs w:val="0"/>
          <w:i/>
          <w:iCs/>
          <w:color w:val="000000"/>
          <w:sz w:val="24"/>
          <w:u w:val="none"/>
        </w:rPr>
        <w:t xml:space="preserve">,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 07_marhabaie_2024_cycle9_tx_TPM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и 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07_marhabaie_2024_hours_tx_TPM</w:t>
      </w:r>
      <w:r>
        <w:rPr>
          <w:rFonts w:ascii="Arial" w:hAnsi="Arial" w:eastAsia="Arial" w:cs="Arial"/>
          <w:b/>
          <w:bCs/>
          <w:i/>
          <w:iCs/>
          <w:color w:val="000000"/>
          <w:sz w:val="24"/>
          <w:u w:val="none"/>
        </w:rPr>
        <w:t xml:space="preserve">.tsv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).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ind w:left="0" w:right="0" w:firstLine="709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Описания образцов (к какой группе принадлежит образец) содержатся в файле 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07_marhabaie_2024_metadata</w:t>
      </w:r>
      <w:r>
        <w:rPr>
          <w:rFonts w:ascii="Arial" w:hAnsi="Arial" w:eastAsia="Arial" w:cs="Arial"/>
          <w:b/>
          <w:i/>
          <w:color w:val="000000"/>
          <w:sz w:val="24"/>
          <w:u w:val="none"/>
        </w:rPr>
        <w:t xml:space="preserve">.csv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t xml:space="preserve">.</w:t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u w:val="none"/>
        </w:rPr>
      </w:r>
    </w:p>
    <w:p>
      <w:pPr>
        <w:ind w:left="0" w:right="0" w:firstLine="709"/>
        <w:jc w:val="both"/>
        <w:spacing w:before="0" w:after="20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</w:r>
      <w:r>
        <w:br/>
      </w:r>
      <w:r/>
    </w:p>
    <w:p>
      <w:pPr>
        <w:pStyle w:val="660"/>
        <w:ind w:left="0" w:right="0" w:firstLine="0"/>
        <w:jc w:val="both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222222"/>
          <w:sz w:val="24"/>
          <w:highlight w:val="white"/>
          <w:u w:val="single"/>
        </w:rPr>
        <w:t xml:space="preserve">Вопросы к данным </w:t>
      </w:r>
      <w:r/>
    </w:p>
    <w:p>
      <w:pPr>
        <w:ind w:left="0" w:right="0" w:firstLine="709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Вашу групповую работу вы должны разделить на 4 примерно равноценные части. Обязательными элементами защиты проекта являются краткий рассказ о статье и соответственно природе ваших данных, разведывательный анализ данных (изучение качества данных) и выводы.</w:t>
      </w:r>
      <w:r/>
    </w:p>
    <w:p>
      <w:pPr>
        <w:ind w:left="0" w:right="0" w:firstLine="709"/>
        <w:jc w:val="both"/>
        <w:spacing w:before="0" w:after="20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  <w:u w:val="none"/>
        </w:rPr>
        <w:t xml:space="preserve">Знакомясь со статьей, обратите внимание на то, как были полученные данные RNA-seq: как готовили образцы, какой протокол использовали, как избавлялись от рРНК, на чем секвенировали и т.д.</w:t>
      </w:r>
      <w:r>
        <w:rPr>
          <w:rFonts w:ascii="Arial" w:hAnsi="Arial" w:eastAsia="Arial" w:cs="Arial"/>
          <w:color w:val="000000"/>
          <w:sz w:val="24"/>
          <w:highlight w:val="none"/>
          <w:u w:val="none"/>
        </w:rPr>
      </w:r>
    </w:p>
    <w:p>
      <w:pPr>
        <w:ind w:left="0" w:right="0" w:firstLine="709"/>
        <w:jc w:val="both"/>
        <w:spacing w:before="0" w:after="200" w:line="78" w:lineRule="atLeast"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Вы можете задавать к вашим данным любые интересующие вас вопросы. Например, вы можете сравнить экспрессию генов между разными группами образцов.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Вы можете взять в анализ все образцы или сосредоточиться только на интересных вам группах образцов.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Получив списки дифф экспрессируемых генов, проведите функциональную аннотацию генов.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 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ind w:left="0" w:right="0" w:firstLine="709"/>
        <w:jc w:val="both"/>
        <w:spacing w:before="0" w:after="20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  <w:u w:val="none"/>
        </w:rPr>
        <w:t xml:space="preserve">Также будет здорово, если вы визуализируете распределение дифф экспрессируемых генов по геному и проверите, не наблюдается кластеризации генов в конкретных локусах генома.</w:t>
      </w:r>
      <w:r/>
    </w:p>
    <w:p>
      <w:pPr>
        <w:ind w:left="0" w:right="0" w:firstLine="709"/>
        <w:jc w:val="both"/>
        <w:spacing w:before="0" w:after="20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  <w:u w:val="none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i.org/10.1371/journal.pbio.300284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Анна Валяева</cp:lastModifiedBy>
  <cp:revision>3</cp:revision>
  <dcterms:modified xsi:type="dcterms:W3CDTF">2024-12-06T15:43:12Z</dcterms:modified>
</cp:coreProperties>
</file>