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F893B" w14:textId="77777777" w:rsidR="00510A14" w:rsidRDefault="00510A14">
      <w:pPr>
        <w:rPr>
          <w:lang w:val="es-PE"/>
        </w:rPr>
      </w:pPr>
    </w:p>
    <w:p w14:paraId="194D3996" w14:textId="3F6BEFC7" w:rsidR="00510A14" w:rsidRDefault="00510A14">
      <w:pPr>
        <w:rPr>
          <w:lang w:val="es-PE"/>
        </w:rPr>
      </w:pPr>
      <w:r w:rsidRPr="00510A14">
        <w:rPr>
          <w:lang w:val="es-PE"/>
        </w:rPr>
        <w:t xml:space="preserve">La política monetaria </w:t>
      </w:r>
      <w:r w:rsidR="00F631A6">
        <w:rPr>
          <w:lang w:val="es-PE"/>
        </w:rPr>
        <w:t xml:space="preserve">representa el </w:t>
      </w:r>
      <w:r w:rsidRPr="00510A14">
        <w:rPr>
          <w:lang w:val="es-PE"/>
        </w:rPr>
        <w:t xml:space="preserve"> volumen de medio circulante, el manejo del crédito, las tasas de interés y el tipo de cambio (</w:t>
      </w:r>
      <w:proofErr w:type="spellStart"/>
      <w:r w:rsidRPr="00510A14">
        <w:rPr>
          <w:lang w:val="es-PE"/>
        </w:rPr>
        <w:t>Valderrabano</w:t>
      </w:r>
      <w:proofErr w:type="spellEnd"/>
      <w:r w:rsidRPr="00510A14">
        <w:rPr>
          <w:lang w:val="es-PE"/>
        </w:rPr>
        <w:t xml:space="preserve">, 1984). </w:t>
      </w:r>
    </w:p>
    <w:p w14:paraId="2ABA62E7" w14:textId="77777777" w:rsidR="00510A14" w:rsidRDefault="00510A14">
      <w:pPr>
        <w:rPr>
          <w:lang w:val="es-PE"/>
        </w:rPr>
      </w:pPr>
      <w:proofErr w:type="spellStart"/>
      <w:r w:rsidRPr="00510A14">
        <w:rPr>
          <w:lang w:val="es-PE"/>
        </w:rPr>
        <w:t>Valderrabano</w:t>
      </w:r>
      <w:proofErr w:type="spellEnd"/>
      <w:r w:rsidRPr="00510A14">
        <w:rPr>
          <w:lang w:val="es-PE"/>
        </w:rPr>
        <w:t xml:space="preserve"> (1984) describe cómo los instrumentos de la política monetaria influyen sobre el ahorro e inversión, factores clave para el incremento de la productividad. </w:t>
      </w:r>
    </w:p>
    <w:p w14:paraId="480062B9" w14:textId="2ADA764B" w:rsidR="00D76D49" w:rsidRDefault="00510A14" w:rsidP="00510A14">
      <w:pPr>
        <w:ind w:firstLine="720"/>
        <w:rPr>
          <w:lang w:val="es-PE"/>
        </w:rPr>
      </w:pPr>
      <w:r w:rsidRPr="00510A14">
        <w:rPr>
          <w:lang w:val="es-PE"/>
        </w:rPr>
        <w:t xml:space="preserve">En primer lugar, menciona que, mediante el </w:t>
      </w:r>
      <w:r w:rsidRPr="00C31824">
        <w:rPr>
          <w:u w:val="single"/>
          <w:lang w:val="es-PE"/>
        </w:rPr>
        <w:t>encaje legal,</w:t>
      </w:r>
      <w:r w:rsidRPr="00510A14">
        <w:rPr>
          <w:lang w:val="es-PE"/>
        </w:rPr>
        <w:t xml:space="preserve"> los bancos centrales controlan el crédito y la oferta monetaria, así como el financiamiento del sector público; lo cual le permite adquirir un papel importante en la asignación de recursos para el desarrollo. Una disminución en el encaje legal genera un incremento de recursos disponibles para el crédito lo cual ocasionará un aumento en el consumo de hogares o una mayor inversión por parte de las empresas.</w:t>
      </w:r>
    </w:p>
    <w:p w14:paraId="19F8DC49" w14:textId="7B27A978" w:rsidR="00F631A6" w:rsidRDefault="00F631A6" w:rsidP="00510A14">
      <w:pPr>
        <w:ind w:firstLine="720"/>
        <w:rPr>
          <w:lang w:val="es-PE"/>
        </w:rPr>
      </w:pPr>
    </w:p>
    <w:p w14:paraId="3B9D4F57" w14:textId="059D2F5F" w:rsidR="00F631A6" w:rsidRDefault="00F631A6" w:rsidP="00510A14">
      <w:pPr>
        <w:ind w:firstLine="720"/>
        <w:rPr>
          <w:lang w:val="es-PE"/>
        </w:rPr>
      </w:pPr>
      <w:r w:rsidRPr="00F631A6">
        <w:rPr>
          <w:lang w:val="es-PE"/>
        </w:rPr>
        <w:drawing>
          <wp:inline distT="0" distB="0" distL="0" distR="0" wp14:anchorId="7A2EF7AC" wp14:editId="76E0691B">
            <wp:extent cx="5601482" cy="1009791"/>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4"/>
                    <a:stretch>
                      <a:fillRect/>
                    </a:stretch>
                  </pic:blipFill>
                  <pic:spPr>
                    <a:xfrm>
                      <a:off x="0" y="0"/>
                      <a:ext cx="5601482" cy="1009791"/>
                    </a:xfrm>
                    <a:prstGeom prst="rect">
                      <a:avLst/>
                    </a:prstGeom>
                  </pic:spPr>
                </pic:pic>
              </a:graphicData>
            </a:graphic>
          </wp:inline>
        </w:drawing>
      </w:r>
    </w:p>
    <w:p w14:paraId="217BF945" w14:textId="17694BE0" w:rsidR="00F631A6" w:rsidRDefault="00F631A6" w:rsidP="00510A14">
      <w:pPr>
        <w:ind w:firstLine="720"/>
        <w:rPr>
          <w:lang w:val="es-PE"/>
        </w:rPr>
      </w:pPr>
      <w:r w:rsidRPr="00F631A6">
        <w:rPr>
          <w:lang w:val="es-PE"/>
        </w:rPr>
        <w:drawing>
          <wp:inline distT="0" distB="0" distL="0" distR="0" wp14:anchorId="3D909AB5" wp14:editId="6F8BE36C">
            <wp:extent cx="5106113" cy="3077004"/>
            <wp:effectExtent l="0" t="0" r="0" b="9525"/>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5"/>
                    <a:stretch>
                      <a:fillRect/>
                    </a:stretch>
                  </pic:blipFill>
                  <pic:spPr>
                    <a:xfrm>
                      <a:off x="0" y="0"/>
                      <a:ext cx="5106113" cy="3077004"/>
                    </a:xfrm>
                    <a:prstGeom prst="rect">
                      <a:avLst/>
                    </a:prstGeom>
                  </pic:spPr>
                </pic:pic>
              </a:graphicData>
            </a:graphic>
          </wp:inline>
        </w:drawing>
      </w:r>
    </w:p>
    <w:p w14:paraId="78F69CD5" w14:textId="4F1D1104" w:rsidR="00C87270" w:rsidRDefault="00C87270" w:rsidP="00510A14">
      <w:pPr>
        <w:ind w:firstLine="720"/>
        <w:rPr>
          <w:lang w:val="es-PE"/>
        </w:rPr>
      </w:pPr>
      <w:r w:rsidRPr="00C87270">
        <w:rPr>
          <w:lang w:val="es-PE"/>
        </w:rPr>
        <w:t>En tercer lugar, las operaciones de mercado abierto, instrumentos que se maneja usualmente a través de la emisión de títulos y bonos gubernamentales, los cuales tienen rendimientos de acuerdo con la tasa de interés del mercado. Su objetivo es ser un instrumento de financiamiento como de control de liquidez en el mercado.</w:t>
      </w:r>
    </w:p>
    <w:p w14:paraId="29229B0D" w14:textId="2FA2F7F9" w:rsidR="00C87270" w:rsidRDefault="00C87270" w:rsidP="00510A14">
      <w:pPr>
        <w:ind w:firstLine="720"/>
        <w:rPr>
          <w:lang w:val="es-PE"/>
        </w:rPr>
      </w:pPr>
    </w:p>
    <w:p w14:paraId="1A0FD26B" w14:textId="580C2ADD" w:rsidR="00C87270" w:rsidRDefault="00C87270" w:rsidP="00510A14">
      <w:pPr>
        <w:ind w:firstLine="720"/>
        <w:rPr>
          <w:lang w:val="es-PE"/>
        </w:rPr>
      </w:pPr>
      <w:r w:rsidRPr="00C87270">
        <w:rPr>
          <w:lang w:val="es-PE"/>
        </w:rPr>
        <w:lastRenderedPageBreak/>
        <w:t>En cuarto lugar, la tasa de redescuento mediante la cual se regula el volumen y el costo del crédito, ya que implica una mayor o menos disposición de dinero para la banca. En quinto lugar, la tasa de interés, instrumento por medio del cual se puede promover el ahorro y la inversión. Su uso como instrumento es importante al intentar atraer recursos del exterior o evitar movimientos especulativos de capitales.</w:t>
      </w:r>
    </w:p>
    <w:p w14:paraId="65D543CA" w14:textId="4224A235" w:rsidR="00C87270" w:rsidRPr="00C87270" w:rsidRDefault="00C87270" w:rsidP="00510A14">
      <w:pPr>
        <w:ind w:firstLine="720"/>
        <w:rPr>
          <w:lang w:val="es-PE"/>
        </w:rPr>
      </w:pPr>
      <w:r w:rsidRPr="00C87270">
        <w:rPr>
          <w:lang w:val="es-PE"/>
        </w:rPr>
        <w:t xml:space="preserve">Por último, en sexto lugar, el tipo de cambio a través del cual se miden las relaciones de precios entre los países, componente relevante en el intercambio internacional de bienes y servicios. </w:t>
      </w:r>
      <w:proofErr w:type="spellStart"/>
      <w:r w:rsidRPr="00C87270">
        <w:rPr>
          <w:lang w:val="es-PE"/>
        </w:rPr>
        <w:t>Lahura</w:t>
      </w:r>
      <w:proofErr w:type="spellEnd"/>
      <w:r w:rsidRPr="00C87270">
        <w:rPr>
          <w:lang w:val="es-PE"/>
        </w:rPr>
        <w:t xml:space="preserve"> y Vega (2013) exponen que los modelos teóricos de los años ochenta sugerían que “fijar el tipo de cambio a la moneda de un país con inflación baja contribuía a reducir la inflación 4 doméstica al permitir señalizar un compromiso creíble para controlar la inflación”. Sin embargo, muchos de estos programas no fueron acompañados de condiciones institucionales ideales para poder lograr los resultados esperados en el tiempo (</w:t>
      </w:r>
      <w:proofErr w:type="spellStart"/>
      <w:r w:rsidRPr="00C87270">
        <w:rPr>
          <w:lang w:val="es-PE"/>
        </w:rPr>
        <w:t>Tornell</w:t>
      </w:r>
      <w:proofErr w:type="spellEnd"/>
      <w:r w:rsidRPr="00C87270">
        <w:rPr>
          <w:lang w:val="es-PE"/>
        </w:rPr>
        <w:t xml:space="preserve"> y Velasco, 2000). Como alternativa se encuentra la adopción de un régimen de tipo de cambio flexible acompañado de un ancla monetaria que frecuentemente es la tasa de crecimiento de algún agregado monetario. No obstante, podría incitar una mayor inercia inflacionaria debido a que un agregado monetario es menos transparente (Calvo y </w:t>
      </w:r>
      <w:proofErr w:type="spellStart"/>
      <w:r w:rsidRPr="00C87270">
        <w:rPr>
          <w:lang w:val="es-PE"/>
        </w:rPr>
        <w:t>Végh</w:t>
      </w:r>
      <w:proofErr w:type="spellEnd"/>
      <w:r w:rsidRPr="00C87270">
        <w:rPr>
          <w:lang w:val="es-PE"/>
        </w:rPr>
        <w:t xml:space="preserve">, 1999). La teoría monetaria da una prioridad a los objetivos de estabilidad y baja tasa de inflación, y casi todos los economistas coinciden en que el uso de la política monetaria para el crecimiento económico generalmente conduce a una mayor inflación, sin impacto real sobre el crecimiento en el largo plazo (neutralidad monetaria); aunque no cuestionan su impacto en el corto plazo (Dimitrijević y </w:t>
      </w:r>
      <w:proofErr w:type="spellStart"/>
      <w:r w:rsidRPr="00C87270">
        <w:rPr>
          <w:lang w:val="es-PE"/>
        </w:rPr>
        <w:t>Lovre</w:t>
      </w:r>
      <w:proofErr w:type="spellEnd"/>
      <w:r w:rsidRPr="00C87270">
        <w:rPr>
          <w:lang w:val="es-PE"/>
        </w:rPr>
        <w:t>, 2013).</w:t>
      </w:r>
    </w:p>
    <w:p w14:paraId="45842BE5" w14:textId="4AE0BFA1" w:rsidR="00C87270" w:rsidRPr="00C87270" w:rsidRDefault="00C87270" w:rsidP="00510A14">
      <w:pPr>
        <w:ind w:firstLine="720"/>
        <w:rPr>
          <w:lang w:val="es-PE"/>
        </w:rPr>
      </w:pPr>
      <w:proofErr w:type="spellStart"/>
      <w:r w:rsidRPr="00C87270">
        <w:rPr>
          <w:lang w:val="es-PE"/>
        </w:rPr>
        <w:t>or</w:t>
      </w:r>
      <w:proofErr w:type="spellEnd"/>
      <w:r w:rsidRPr="00C87270">
        <w:rPr>
          <w:lang w:val="es-PE"/>
        </w:rPr>
        <w:t xml:space="preserve"> lo regular, según menciona </w:t>
      </w:r>
      <w:proofErr w:type="spellStart"/>
      <w:r w:rsidRPr="00C87270">
        <w:rPr>
          <w:lang w:val="es-PE"/>
        </w:rPr>
        <w:t>Valderrabano</w:t>
      </w:r>
      <w:proofErr w:type="spellEnd"/>
      <w:r w:rsidRPr="00C87270">
        <w:rPr>
          <w:lang w:val="es-PE"/>
        </w:rPr>
        <w:t xml:space="preserve"> (1984) una política monetaria expansionista o contraccionista va acompañada de una política fiscal similar. El éxito de su aplicación depende de la cohesión entre ellas.</w:t>
      </w:r>
    </w:p>
    <w:p w14:paraId="134E4A73" w14:textId="77777777" w:rsidR="00C87270" w:rsidRDefault="00C87270" w:rsidP="00510A14">
      <w:pPr>
        <w:ind w:firstLine="720"/>
        <w:rPr>
          <w:lang w:val="es-PE"/>
        </w:rPr>
      </w:pPr>
    </w:p>
    <w:p w14:paraId="7A3B3A38" w14:textId="27EB920A" w:rsidR="00F631A6" w:rsidRDefault="00F631A6" w:rsidP="00510A14">
      <w:pPr>
        <w:ind w:firstLine="720"/>
        <w:rPr>
          <w:lang w:val="es-PE"/>
        </w:rPr>
      </w:pPr>
      <w:r>
        <w:rPr>
          <w:lang w:val="es-PE"/>
        </w:rPr>
        <w:t>ANEXOS:</w:t>
      </w:r>
    </w:p>
    <w:p w14:paraId="49E5E69E" w14:textId="2D2E997C" w:rsidR="00510A14" w:rsidRPr="00510A14" w:rsidRDefault="00510A14" w:rsidP="00510A14">
      <w:pPr>
        <w:ind w:firstLine="720"/>
        <w:rPr>
          <w:lang w:val="es-PE"/>
        </w:rPr>
      </w:pPr>
      <w:r w:rsidRPr="00510A14">
        <w:rPr>
          <w:lang w:val="es-PE"/>
        </w:rPr>
        <w:lastRenderedPageBreak/>
        <w:drawing>
          <wp:inline distT="0" distB="0" distL="0" distR="0" wp14:anchorId="6FC30262" wp14:editId="273F6FBA">
            <wp:extent cx="5687219" cy="4553585"/>
            <wp:effectExtent l="0" t="0" r="8890" b="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6"/>
                    <a:stretch>
                      <a:fillRect/>
                    </a:stretch>
                  </pic:blipFill>
                  <pic:spPr>
                    <a:xfrm>
                      <a:off x="0" y="0"/>
                      <a:ext cx="5687219" cy="4553585"/>
                    </a:xfrm>
                    <a:prstGeom prst="rect">
                      <a:avLst/>
                    </a:prstGeom>
                  </pic:spPr>
                </pic:pic>
              </a:graphicData>
            </a:graphic>
          </wp:inline>
        </w:drawing>
      </w:r>
    </w:p>
    <w:sectPr w:rsidR="00510A14" w:rsidRPr="00510A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49"/>
    <w:rsid w:val="00510A14"/>
    <w:rsid w:val="00C31824"/>
    <w:rsid w:val="00C87270"/>
    <w:rsid w:val="00D76D49"/>
    <w:rsid w:val="00DD51CD"/>
    <w:rsid w:val="00F6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D35F"/>
  <w15:chartTrackingRefBased/>
  <w15:docId w15:val="{54FB8DEE-172C-4419-9125-18C66A2E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468</Words>
  <Characters>2673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Yazmin Abat</dc:creator>
  <cp:keywords/>
  <dc:description/>
  <cp:lastModifiedBy>Yazmin Abat</cp:lastModifiedBy>
  <cp:revision>3</cp:revision>
  <dcterms:created xsi:type="dcterms:W3CDTF">2022-06-09T15:13:00Z</dcterms:created>
  <dcterms:modified xsi:type="dcterms:W3CDTF">2022-06-09T15:57:00Z</dcterms:modified>
</cp:coreProperties>
</file>