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Classification Dataset Description</w:t>
      </w:r>
    </w:p>
    <w:p>
      <w:r>
        <w:t>Machine Learning  |  Exercise 0  |  Group 56</w:t>
      </w:r>
    </w:p>
    <w:p>
      <w:r>
        <w:t>Yazdan ZandiyeVakili, Amir Saadati, Hani Esreb</w:t>
      </w:r>
    </w:p>
    <w:p>
      <w:r>
        <w:t>We selected MembershipWoes (OpenML 44225, version 2) and Dermatology (UCI 33) for their contrasting sizes, measurement types, and classification tasks. Both have missing inputs and require preprocessing [1, 2].</w:t>
      </w:r>
    </w:p>
    <w:p>
      <w:r>
        <w:t>MembershipWoes has 10,362 records and 14 non-target columns: five quantities, six nominal fields, two dates, and one identifier. Dermatology has 366 patients and 34 inputs.</w:t>
      </w:r>
    </w:p>
    <w:p>
      <w:pPr>
        <w:pStyle w:val="Heading1"/>
      </w:pPr>
      <w:r>
        <w:t>MembershipWoes</w:t>
      </w:r>
    </w:p>
    <w:p>
      <w:r>
        <w:t>The binary target has 7,219 INFORCE records (69.67%) and 3,143 CANCELLED records (30.33%). Age at issue ranges from 0 to 92 years (median 46); additional members from 0 to 3. Fees span 0–10,100,000 (median 118,209.28), and observed income 9,996–999,999,996. Currency is unspecified. Four zero ages and terms up to 102 years warrant clarification. Occupation and agent codes are nominal; agent code has 4,317 levels.</w:t>
      </w:r>
    </w:p>
    <w:p>
      <w:pPr>
        <w:keepNext/>
        <w:spacing w:after="40"/>
      </w:pPr>
      <w:r>
        <w:drawing>
          <wp:inline xmlns:a="http://schemas.openxmlformats.org/drawingml/2006/main" xmlns:pic="http://schemas.openxmlformats.org/drawingml/2006/picture">
            <wp:extent cx="6583680" cy="2151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missingness-re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151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1. Missing values among all 10,362 records; labels give percentages and counts.</w:t>
      </w:r>
    </w:p>
    <w:p>
      <w:r>
        <w:t>Missingness affects 8,024 rows (77.44%). Every cancelled membership has an end date; every in-force membership lacks one. Exclude end date and its availability indicator unless prediction timing justifies their use. Removing the unique identifier and end date leaves 12 candidate fields.</w:t>
      </w:r>
    </w:p>
    <w:p>
      <w:pPr>
        <w:keepNext/>
        <w:spacing w:after="40"/>
      </w:pPr>
      <w:r>
        <w:drawing>
          <wp:inline xmlns:a="http://schemas.openxmlformats.org/drawingml/2006/main" xmlns:pic="http://schemas.openxmlformats.org/drawingml/2006/picture">
            <wp:extent cx="6583680" cy="21518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package-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151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2. Cancellation percentages within each package, with cancelled/total counts.</w:t>
      </w:r>
    </w:p>
    <w:p>
      <w:r>
        <w:t>Package rates differ: 16.63% for Type A and 37.48% for Type B. Other group differences could contribute. Future modelling requires suitable category encoding, missing-value handling, and checked transformations or scaling of monetary inputs.</w:t>
      </w:r>
    </w:p>
    <w:p>
      <w:r>
        <w:br w:type="page"/>
      </w:r>
    </w:p>
    <w:p>
      <w:pPr>
        <w:pStyle w:val="Heading1"/>
      </w:pPr>
      <w:r>
        <w:t>Dermatology</w:t>
      </w:r>
    </w:p>
    <w:p>
      <w:r>
        <w:t>The 34 inputs comprise 12 clinical variables and 22 biopsy-based findings. Thirty-two scores have ordinal degrees 0–3 (absent to largest); equal clinical intervals are not established. Family history is binary nominal, age quantitative, and disease codes nominal [2].</w:t>
      </w:r>
    </w:p>
    <w:p>
      <w:r>
        <w:t>Class counts are psoriasis 112 (30.60%), seborrhoeic dermatitis 61 (16.67%), lichen planus 72 (19.67%), pityriasis rosea 49 (13.39%), chronic dermatitis 52 (14.21%), and pityriasis rubra pilaris (PRP) 20 (5.46%). The 5.6-fold largest/smallest imbalance supports stratified evaluation and per-class metrics.</w:t>
      </w:r>
    </w:p>
    <w:p>
      <w:pPr>
        <w:keepNext/>
        <w:spacing w:after="40"/>
      </w:pPr>
      <w:r>
        <w:drawing>
          <wp:inline xmlns:a="http://schemas.openxmlformats.org/drawingml/2006/main" xmlns:pic="http://schemas.openxmlformats.org/drawingml/2006/picture">
            <wp:extent cx="6583680" cy="24473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age-by-disease-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447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3. Observed ages by disease. Boxes show the middle 50% and medians; whiskers use 1.5 × IQR. Eight missing ages are omitted; zero age is retained.</w:t>
      </w:r>
    </w:p>
    <w:p>
      <w:r>
        <w:t>Age is the only incomplete input (8/366, 2.19%). Observed ages span 0–75 (median 35). PRP has median 9.5 years, compared with 34–40 for the other classes. These sample patterns do not establish diagnostic rules.</w:t>
      </w:r>
    </w:p>
    <w:p>
      <w:pPr>
        <w:keepNext/>
        <w:spacing w:after="40"/>
      </w:pPr>
      <w:r>
        <w:drawing>
          <wp:inline xmlns:a="http://schemas.openxmlformats.org/drawingml/2006/main" xmlns:pic="http://schemas.openxmlformats.org/drawingml/2006/picture">
            <wp:extent cx="6583680" cy="2309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ordinal-scores-re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2309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4. First five clinical scores in documented order; each bar includes all 366 patients. Segment labels show rounded percentages of at least 8%.</w:t>
      </w:r>
    </w:p>
    <w:p>
      <w:r>
        <w:t>Scaling degree 2 is most frequent (53.28%); family history is positive in 46 patients (12.57%). No complete duplicate rows occur. Preserve score order and fit any age imputation or scaling only on training folds. Biopsy-dependent inputs limit interpretation as a clinical-only screening task.</w:t>
      </w:r>
    </w:p>
    <w:p>
      <w:pPr>
        <w:pStyle w:val="Heading1"/>
      </w:pPr>
      <w:r>
        <w:t>Sources and reproducibility</w:t>
      </w:r>
    </w:p>
    <w:p>
      <w:pPr>
        <w:spacing w:after="0"/>
      </w:pPr>
      <w:r>
        <w:rPr>
          <w:sz w:val="18"/>
        </w:rPr>
        <w:t>[1] OpenML. MembershipWoes, dataset 44225, version 2. https://www.openml.org/search?type=data&amp;status=active&amp;id=44225</w:t>
        <w:br/>
        <w:t>[2] Ilter, N., &amp; Guvenir, H. (1998). Dermatology [Dataset]. UCI Machine Learning Repository. https://doi.org/10.24432/C5FK5P</w:t>
        <w:br/>
        <w:t>Accessed 24 October 2026. The accompanying notebooks record source fingerprints and package versions, and contain all analysis and plotting code. Figures are copied directly from executed notebook outputs.</w:t>
      </w:r>
    </w:p>
    <w:sectPr w:rsidR="00FC693F" w:rsidRPr="0006063C" w:rsidSect="00034616">
      <w:pgSz w:w="12240" w:h="15840"/>
      <w:pgMar w:top="893" w:right="936" w:bottom="893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7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after="80"/>
    </w:pPr>
    <w:rPr>
      <w:rFonts w:ascii="Arial" w:hAnsi="Arial"/>
      <w:b w:val="0"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Dataset Description</dc:title>
  <dc:subject>Machine Learning Exercise 0</dc:subject>
  <dc:creator>Yazdan ZandiyeVakili; Amir Saadati; Hani Esreb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