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420"/>
      </w:pPr>
      <w:r>
        <w:rPr>
          <w:rFonts w:ascii="宋体" w:hAnsi="宋体" w:eastAsia="宋体"/>
        </w:rPr>
        <w:t>title: "面向乳腺超声病灶分割的挑战自适应语义建模与边界不确定性闭环细化研究" author: "[作者姓名]" date: "2026年7月" lang: zh-CN toc: true toc-depth: 3 number-sections: true ---</w:t>
      </w:r>
    </w:p>
    <w:p>
      <w:pPr>
        <w:pStyle w:val="Heading1"/>
        <w:ind w:firstLine="0"/>
      </w:pPr>
      <w:r>
        <w:t>博士学位论文初稿</w:t>
      </w:r>
    </w:p>
    <w:p>
      <w:pPr>
        <w:ind w:firstLine="420"/>
      </w:pPr>
      <w:r>
        <w:rPr>
          <w:rFonts w:ascii="宋体" w:hAnsi="宋体" w:eastAsia="宋体"/>
        </w:rPr>
        <w:t>论文题目： 面向乳腺超声病灶分割的挑战自适应语义建模与边界不确定性闭环细化研究&lt;br&gt; 作者： [作者姓名]&lt;br&gt; 学号： [学号]&lt;br&gt; 导师： [导师姓名、职称]&lt;br&gt; 培养单位： [学院名称]&lt;br&gt; 学科专业： [学科专业]&lt;br&gt; 提交日期： [提交日期]</w:t>
      </w:r>
    </w:p>
    <w:p>
      <w:pPr>
        <w:ind w:firstLine="0" w:left="454" w:right="454"/>
      </w:pPr>
      <w:r>
        <w:rPr>
          <w:rFonts w:ascii="宋体" w:hAnsi="宋体" w:eastAsia="宋体"/>
          <w:color w:val="505050"/>
        </w:rPr>
        <w:t>稿件状态说明：本稿依据当前 BUSI split 3 的随机种子 41 主实验以及随机种子 7、73 的完整复现实验形成；三个种子均满足两章内部模型排序，已达到最低三种子复核规模，但尚未扩展至更稳健的五种子，也未完成外部数据集和临床读片实验。涉及统计推断的结论均按现有证据强度表述，不将点估计提升等同于普适有效性。</w:t>
      </w:r>
    </w:p>
    <w:p>
      <w:pPr>
        <w:pStyle w:val="Heading1"/>
        <w:ind w:firstLine="0"/>
      </w:pPr>
      <w:r>
        <w:t>摘要</w:t>
      </w:r>
    </w:p>
    <w:p>
      <w:pPr>
        <w:ind w:firstLine="420"/>
      </w:pPr>
      <w:r>
        <w:rPr>
          <w:rFonts w:ascii="宋体" w:hAnsi="宋体" w:eastAsia="宋体"/>
        </w:rPr>
        <w:t>乳腺超声具有无辐射、成本低、实时性强等优势，是乳腺疾病筛查和辅助诊断的重要影像手段。然而，超声成像中的散斑噪声、声影伪影、组织对比度不足以及病灶边界模糊等问题，使自动病灶分割仍面临明显困难。传统 U-Net 依靠编码器—解码器结构和跳跃连接融合多尺度特征，但其固定卷积路径难以根据图像困难类型自适应调整，局部卷积也难以显式建模远距离语义关系。此外，区域重叠损失对小范围边界偏移不够敏感，单一分割头无法区分漏分与误分两类方向相反的残余错误。</w:t>
      </w:r>
    </w:p>
    <w:p>
      <w:pPr>
        <w:ind w:firstLine="420"/>
      </w:pPr>
      <w:r>
        <w:rPr>
          <w:rFonts w:ascii="宋体" w:hAnsi="宋体" w:eastAsia="宋体"/>
        </w:rPr>
        <w:t>针对上述问题，本文以统一 U-Net 为基线，构建由四个模块组成的循序渐进分割框架，并将研究内容组织为两个相互衔接的章节。第一部分面向语义表征，提出三挑战自适应路由模块 TriCAR（模块 A）和通道图关系桥 CGR-Bridge（模块 B）。TriCAR 针对噪声干扰、小病灶信息丢失和模糊边界三类困难设置差异化专家，并通过样本自适应路由完成特征重组；CGR-Bridge 在瓶颈处建立通道关系图，通过全局关系传播增强病灶语义一致性。第二部分面向输出细化，提出边界—距离协同细化模块 BD-CoRefine（模块 C）和不确定性驱动双误差修正模块 UDER（模块 D）。BD-CoRefine 同时学习形态学边界和有符号距离场，以连续几何信息修正粗分割；UDER 从预测熵和多尺度分歧估计不确定性，使用独立的假阴性增补头与假阳性删除头进行非对称纠错。</w:t>
      </w:r>
    </w:p>
    <w:p>
      <w:pPr>
        <w:ind w:firstLine="420"/>
      </w:pPr>
      <w:r>
        <w:rPr>
          <w:rFonts w:ascii="宋体" w:hAnsi="宋体" w:eastAsia="宋体"/>
        </w:rPr>
        <w:t>为保证递进实验的可解释性，本文构建统一参数兼容模型，使 U、UA、UB、UAB、UABC 和 UABCD 六个变体共享基础结构。A、B、C、D 均通过零残差方式接入，新增模块启用时的初始输出与前一级模型逐像素完全一致，实测最大绝对差为 0。全部实验固定使用 BUSI split 3，其中训练集 452 例、验证集 195 例，固定阈值为 0.5，并按照逐病例平均 IoU 选择模型。</w:t>
      </w:r>
    </w:p>
    <w:p>
      <w:pPr>
        <w:ind w:firstLine="420"/>
      </w:pPr>
      <w:r>
        <w:rPr>
          <w:rFonts w:ascii="宋体" w:hAnsi="宋体" w:eastAsia="宋体"/>
        </w:rPr>
        <w:t>实验结果表明，第一部分中 U-Net、UA、UB 和 UAB 的 IoU 分别为 72.445%、73.622%、74.193% 和 74.847%，Dice 分别为 80.718%、81.817%、82.537% 和 82.943%。UAB 在两项指标上均为第一部分最优，并被命名为 UnetAB。第二部分以同一个 UnetAB 检查点为起点，UABC 和 UABCD 的 IoU 分别为 74.932% 和 75.115%，Dice 分别为 83.022% 和 83.480%，形成 UnetAB &lt; UnetAB+C &lt; UnetAB+C+D 的递进关系。最终模型包含约 11.31M 活跃参数，在 RTX 4060 Laptop GPU 上处理单张 256×256 图像的平均前向延迟约为 10.03 ms。</w:t>
      </w:r>
    </w:p>
    <w:p>
      <w:pPr>
        <w:ind w:firstLine="420"/>
      </w:pPr>
      <w:r>
        <w:rPr>
          <w:rFonts w:ascii="宋体" w:hAnsi="宋体" w:eastAsia="宋体"/>
        </w:rPr>
        <w:t>逐病例统计显示，不同模块对困难病例的作用具有明显异质性。B 相对 U-Net 的平均 IoU 增益为 1.748 个百分点，95% Bootstrap 置信区间为 [0.615, 2.994] 个百分点；C 和 D 的病例级 Bootstrap 区间仍跨越零。随机种子 7、73 的完整复现实验均满足全部排序；三个种子的 UABCD 平均 IoU 为 75.128%±0.307%，平均 Dice 为 83.306%±0.223%。数据审计发现 split 3 中存在 24 对高置信跨集合近重复图像，涉及 20 个验证病例；剔除这些病例后，175 例 clean 子集上的三种子 UABCD 为 74.464% IoU 和 82.952% Dice，三种子均值仍保持全部排序，但部分单种子的 C 增益消失。该证据比单次实验更强，却仍不足以支持患者级或外部泛化结论。本文据此提出扩展至五个种子、患者级重划分、外部验证和临床一致性评价等后续研究方向。</w:t>
      </w:r>
    </w:p>
    <w:p>
      <w:pPr>
        <w:ind w:firstLine="420"/>
      </w:pPr>
      <w:r>
        <w:rPr>
          <w:rFonts w:ascii="宋体" w:hAnsi="宋体" w:eastAsia="宋体"/>
        </w:rPr>
        <w:t>关键词： 乳腺超声；医学图像分割；U-Net；自适应路由；图关系推理；边界监督；不确定性估计</w:t>
      </w:r>
    </w:p>
    <w:p>
      <w:pPr>
        <w:pStyle w:val="Heading1"/>
        <w:ind w:firstLine="0"/>
      </w:pPr>
      <w:r>
        <w:t>Abstract</w:t>
      </w:r>
    </w:p>
    <w:p>
      <w:pPr>
        <w:ind w:firstLine="420"/>
      </w:pPr>
      <w:r>
        <w:rPr>
          <w:rFonts w:ascii="宋体" w:hAnsi="宋体" w:eastAsia="宋体"/>
        </w:rPr>
        <w:t>Breast ultrasound is widely used in screening and computer-aided diagnosis because it is radiation-free, inexpensive, and suitable for real-time examination. Nevertheless, automatic lesion segmentation remains difficult due to speckle noise, acoustic artifacts, low tissue contrast, small lesions, and ambiguous boundaries. A conventional U-Net combines multi-scale features through an encoder-decoder architecture, but its fixed convolutional pathway cannot adapt to different image-specific challenges. Region-overlap objectives are also relatively insensitive to small boundary displacements, while a single residual head cannot explicitly distinguish false-negative recovery from false-positive suppression.</w:t>
      </w:r>
    </w:p>
    <w:p>
      <w:pPr>
        <w:ind w:firstLine="420"/>
      </w:pPr>
      <w:r>
        <w:rPr>
          <w:rFonts w:ascii="宋体" w:hAnsi="宋体" w:eastAsia="宋体"/>
        </w:rPr>
        <w:t>This dissertation develops a progressive four-module framework based on a unified U-Net and organizes the study into two connected parts. The first part introduces Tri-Challenge Adaptive Routing (TriCAR, Module A) and a Channel-Graph Relational Bridge (CGR-Bridge, Module B). TriCAR employs specialized experts for noise suppression, small-lesion preservation, and boundary-context modeling. CGR-Bridge constructs a compact channel graph at the bottleneck and propagates long-range semantic evidence. The second part proposes Boundary-Distance Cooperative Refinement (BD-CoRefine, Module C) and Uncertainty-Driven Dual Error Refinement (UDER, Module D). BD-CoRefine jointly predicts morphological boundaries and signed distance fields. UDER estimates uncertainty from predictive entropy and multi-scale disagreement and uses separate heads for false-negative addition and false-positive removal.</w:t>
      </w:r>
    </w:p>
    <w:p>
      <w:pPr>
        <w:ind w:firstLine="420"/>
      </w:pPr>
      <w:r>
        <w:rPr>
          <w:rFonts w:ascii="宋体" w:hAnsi="宋体" w:eastAsia="宋体"/>
        </w:rPr>
        <w:t>A parameter-compatible implementation is established for six variants: U, UA, UB, UAB, UABC, and UABCD. Every newly activated module is identity-initialized, and the maximum absolute output difference between two consecutive stages is exactly zero before fine-tuning. All experiments use BUSI split 3 with 452 training cases and 195 validation cases. Models are selected by mean per-case IoU at a fixed threshold of 0.5.</w:t>
      </w:r>
    </w:p>
    <w:p>
      <w:pPr>
        <w:ind w:firstLine="420"/>
      </w:pPr>
      <w:r>
        <w:rPr>
          <w:rFonts w:ascii="宋体" w:hAnsi="宋体" w:eastAsia="宋体"/>
        </w:rPr>
        <w:t>In Chapter 1, U, UA, UB, and UAB achieve IoU scores of 72.445%, 73.622%, 74.193%, and 74.847%, and Dice scores of 80.718%, 81.817%, 82.537%, and 82.943%, respectively. UAB is therefore denoted as UnetAB. In Chapter 2, UABC and UABCD further improve IoU to 74.932% and 75.115%, and Dice to 83.022% and 83.480%. Complete replications with seeds 7 and 73 preserve every required ordering. Across seeds 7, 41, and 73, UABCD obtains 75.128% +/- 0.307% IoU and 83.306% +/- 0.223% Dice. After excluding 20 validation cases exposed to high-confidence cross-split visual near duplicates, the three-seed UABCD mean remains 74.464% IoU and 82.952% Dice, and the aggregate ordering is preserved, although the incremental effect of C disappears for some individual seeds. The final model contains 11.31M active parameters and requires approximately 10.03 ms per 256×256 image on an RTX 4060 Laptop GPU. These findings support the architectural progression while also motivating five-seed replication, patient-level re-splitting, external validation, and clinical reader studies.</w:t>
      </w:r>
    </w:p>
    <w:p>
      <w:pPr>
        <w:ind w:firstLine="420"/>
      </w:pPr>
      <w:r>
        <w:rPr>
          <w:rFonts w:ascii="宋体" w:hAnsi="宋体" w:eastAsia="宋体"/>
        </w:rPr>
        <w:t>Keywords: breast ultrasound; medical image segmentation; U-Net; adaptive routing; graph reasoning; boundary supervision; uncertainty estimation</w:t>
      </w:r>
    </w:p>
    <w:p>
      <w:pPr>
        <w:pStyle w:val="Heading1"/>
        <w:ind w:firstLine="0"/>
      </w:pPr>
      <w:r>
        <w:t>第1章 绪论</w:t>
      </w:r>
    </w:p>
    <w:p>
      <w:pPr>
        <w:pStyle w:val="Heading2"/>
        <w:ind w:firstLine="0"/>
      </w:pPr>
      <w:r>
        <w:t>1.1 研究背景与意义</w:t>
      </w:r>
    </w:p>
    <w:p>
      <w:pPr>
        <w:ind w:firstLine="420"/>
      </w:pPr>
      <w:r>
        <w:rPr>
          <w:rFonts w:ascii="宋体" w:hAnsi="宋体" w:eastAsia="宋体"/>
        </w:rPr>
        <w:t>乳腺癌是威胁女性健康的重要恶性肿瘤之一。早期发现、准确定位和规范随访能够显著改善患者预后。超声检查对致密型乳腺具有较高实用价值，且便于进行多切面动态观察。病灶轮廓是计算面积、长短径、形状规则度和后续影像组学特征的重要基础，因此稳定的自动分割不仅能够减轻医生逐帧勾画负担，也可为良恶性分类、治疗规划和疗效评估提供标准化输入。</w:t>
      </w:r>
    </w:p>
    <w:p>
      <w:pPr>
        <w:ind w:firstLine="420"/>
      </w:pPr>
      <w:r>
        <w:rPr>
          <w:rFonts w:ascii="宋体" w:hAnsi="宋体" w:eastAsia="宋体"/>
        </w:rPr>
        <w:t>与自然图像不同，乳腺超声图像由相干声波反射形成，散斑既包含组织微结构信息，也表现为显著噪声。探头压力、扫描角度、设备参数和患者个体差异会造成强烈域偏移。病灶内部回声可能与周围腺体接近，后方声影会遮挡真实边界，小病灶在下采样过程中又容易丢失。上述问题使模型不仅需要识别“哪里像病灶”，还需要根据当前病例判断“应当采用何种特征处理方式”“哪些局部证据在全局上彼此一致”“边界应向何处移动”以及“当前错误更可能是漏分还是误分”。</w:t>
      </w:r>
    </w:p>
    <w:p>
      <w:pPr>
        <w:ind w:firstLine="420"/>
      </w:pPr>
      <w:r>
        <w:rPr>
          <w:rFonts w:ascii="宋体" w:hAnsi="宋体" w:eastAsia="宋体"/>
        </w:rPr>
        <w:t>U-Net 通过对称编码—解码结构和跳跃连接成为医学图像分割的重要基线。其优势是结构清晰、数据效率较高、易于嵌入领域模块。然而，直接堆叠注意力、Transformer 或更大编码器并不必然改善小样本超声分割。本文前期实验也发现，ConvNeXt-Tiny U-Net、ResNet101 U-Net 和整图 384×384 训练均未超过经过充分优化的轻量模型。因此，本研究选择围绕任务困难形成一条有因果顺序的模块链，而不是单纯追求网络规模。</w:t>
      </w:r>
    </w:p>
    <w:p>
      <w:pPr>
        <w:pStyle w:val="Heading2"/>
        <w:ind w:firstLine="0"/>
      </w:pPr>
      <w:r>
        <w:t>1.2 关键科学问题</w:t>
      </w:r>
    </w:p>
    <w:p>
      <w:pPr>
        <w:ind w:firstLine="420"/>
      </w:pPr>
      <w:r>
        <w:rPr>
          <w:rFonts w:ascii="宋体" w:hAnsi="宋体" w:eastAsia="宋体"/>
        </w:rPr>
        <w:t>本文聚焦以下四个相互关联的问题：</w:t>
      </w:r>
    </w:p>
    <w:p>
      <w:pPr>
        <w:pStyle w:val="ListNumber"/>
        <w:ind w:firstLine="0"/>
      </w:pPr>
      <w:r>
        <w:rPr>
          <w:rFonts w:ascii="宋体" w:hAnsi="宋体" w:eastAsia="宋体"/>
        </w:rPr>
        <w:t>多挑战耦合问题。 散斑噪声、小病灶和模糊边界需要不同的感受野与滤波特性，固定卷积核难以对所有病例同时最优。</w:t>
      </w:r>
    </w:p>
    <w:p>
      <w:pPr>
        <w:pStyle w:val="ListNumber"/>
        <w:ind w:firstLine="0"/>
      </w:pPr>
      <w:r>
        <w:rPr>
          <w:rFonts w:ascii="宋体" w:hAnsi="宋体" w:eastAsia="宋体"/>
        </w:rPr>
        <w:t>局部—全局语义一致性问题。 局部专家能够增强特定证据，但不同通道和远距离区域之间缺少显式关系约束。</w:t>
      </w:r>
    </w:p>
    <w:p>
      <w:pPr>
        <w:pStyle w:val="ListNumber"/>
        <w:ind w:firstLine="0"/>
      </w:pPr>
      <w:r>
        <w:rPr>
          <w:rFonts w:ascii="宋体" w:hAnsi="宋体" w:eastAsia="宋体"/>
        </w:rPr>
        <w:t>离散区域与连续几何脱节问题。 BCE 和 Dice 主要约束区域重叠，难以描述边界内外方向和像素到轮廓的连续距离。</w:t>
      </w:r>
    </w:p>
    <w:p>
      <w:pPr>
        <w:pStyle w:val="ListNumber"/>
        <w:ind w:firstLine="0"/>
      </w:pPr>
      <w:r>
        <w:rPr>
          <w:rFonts w:ascii="宋体" w:hAnsi="宋体" w:eastAsia="宋体"/>
        </w:rPr>
        <w:t>残余错误非对称问题。 漏分需要增加前景响应，误分需要降低前景响应；单头残差可能产生相互抵消的梯度。</w:t>
      </w:r>
    </w:p>
    <w:p>
      <w:pPr>
        <w:pStyle w:val="Heading2"/>
        <w:ind w:firstLine="0"/>
      </w:pPr>
      <w:r>
        <w:t>1.3 国内外研究现状</w:t>
      </w:r>
    </w:p>
    <w:p>
      <w:pPr>
        <w:pStyle w:val="Heading3"/>
        <w:ind w:firstLine="0"/>
      </w:pPr>
      <w:r>
        <w:t>1.3.1 U-Net 及其多尺度改进</w:t>
      </w:r>
    </w:p>
    <w:p>
      <w:pPr>
        <w:ind w:firstLine="420"/>
      </w:pPr>
      <w:r>
        <w:rPr>
          <w:rFonts w:ascii="宋体" w:hAnsi="宋体" w:eastAsia="宋体"/>
        </w:rPr>
        <w:t>Ronneberger 等提出 U-Net 后，UNet++、U-Net 3+、Attention U-Net 和 nnU-Net 分别从密集跳跃连接、全尺度融合、注意力门控和自动配置等角度扩展了基线。TransUNet 与 Swin-Unet 将 Transformer 引入医学分割，以增强全局建模能力。这些方法证明多尺度融合与长距离依赖的重要性，但在 BUSI 这类小规模数据集上，参数规模、预训练来源和训练稳定性会显著影响最终结果。</w:t>
      </w:r>
    </w:p>
    <w:p>
      <w:pPr>
        <w:pStyle w:val="Heading3"/>
        <w:ind w:firstLine="0"/>
      </w:pPr>
      <w:r>
        <w:t>1.3.2 超声噪声与挑战自适应建模</w:t>
      </w:r>
    </w:p>
    <w:p>
      <w:pPr>
        <w:ind w:firstLine="420"/>
      </w:pPr>
      <w:r>
        <w:rPr>
          <w:rFonts w:ascii="宋体" w:hAnsi="宋体" w:eastAsia="宋体"/>
        </w:rPr>
        <w:t>传统超声去噪包括中值滤波、各向异性扩散、小波阈值和非局部均值等。深度模型则倾向于在特征域内学习抑噪。固定抑噪可能同时损失小病灶边缘，因此更合理的方式是让模型根据样本内容选择噪声抑制、细节保持或上下文聚合路径。混合专家和动态卷积为此提供了方法基础。Sun 等提出的 CAU-Net 按噪声干扰、小肿瘤和模糊边界设置三个完整编码分支，并通过自适应聚合层融合多尺度特征[21]，证明了“按挑战分解再自适应聚合”在乳腺超声分割中的合理性。本文模块 A 沿用这一问题分解，但将三个完整编码器改为共享 U-Net 主干上的轻量专家，并增加零初始化残差门控，以控制参数量并支持严格的渐进初始化。</w:t>
      </w:r>
    </w:p>
    <w:p>
      <w:pPr>
        <w:pStyle w:val="Heading3"/>
        <w:ind w:firstLine="0"/>
      </w:pPr>
      <w:r>
        <w:t>1.3.3 图推理与全局关系建模</w:t>
      </w:r>
    </w:p>
    <w:p>
      <w:pPr>
        <w:ind w:firstLine="420"/>
      </w:pPr>
      <w:r>
        <w:rPr>
          <w:rFonts w:ascii="宋体" w:hAnsi="宋体" w:eastAsia="宋体"/>
        </w:rPr>
        <w:t>非局部网络、自注意力和图卷积均可突破局部卷积的有限感受野。空间自注意力在高分辨率特征上计算开销较大，而通道图可以将语义通道视为紧凑节点，以较低代价传播互补证据。CAU-Net 已在最深层特征上使用图推理模块建模通道相关性[21]，因此“通道图用于乳腺超声”本身不是本文首创。本文模块 B 的贡献边界是：在统一参数兼容网络中实现轻量通道图传播，并用有界、零初始化残差回注瓶颈，使其能够与 A 独立消融并逐级继承权重。</w:t>
      </w:r>
    </w:p>
    <w:p>
      <w:pPr>
        <w:pStyle w:val="Heading3"/>
        <w:ind w:firstLine="0"/>
      </w:pPr>
      <w:r>
        <w:t>1.3.4 边界监督、距离场与不确定性</w:t>
      </w:r>
    </w:p>
    <w:p>
      <w:pPr>
        <w:ind w:firstLine="420"/>
      </w:pPr>
      <w:r>
        <w:rPr>
          <w:rFonts w:ascii="宋体" w:hAnsi="宋体" w:eastAsia="宋体"/>
        </w:rPr>
        <w:t>Boundary Loss、Hausdorff 距离损失和距离变换辅助任务表明，显式几何约束能够补充区域损失。Yang 等提出的 PBNet 通过形态学膨胀/腐蚀提取边界并引导多层特征融合，在 BUSI 与院内数据上使用五折交叉验证和多重比较校正[22]。本文模块 C 不复现 PBNet 的 MGPM/BGM，而是联合预测离散边界与连续有符号距离场，再通过零初始化几何残差修正区域 logits。</w:t>
      </w:r>
    </w:p>
    <w:p>
      <w:pPr>
        <w:ind w:firstLine="420"/>
      </w:pPr>
      <w:r>
        <w:rPr>
          <w:rFonts w:ascii="宋体" w:hAnsi="宋体" w:eastAsia="宋体"/>
        </w:rPr>
        <w:t>另一方面，MC Dropout、深度集成和预测熵常用于医学图像不确定性评估。Zhang 等在 SF-RecSAM 中提出空间—频率融合和不确定性修正，并显式处理假阳性与假阴性[20]。因此，双向错误修正也不是本文从零提出的概念。本文模块 D 的差异在于：面向纯 CNN 的渐进 U-Net，将预测熵与多尺度分歧联合成不确定性门控，并使用相互独立的增补头和删除头执行有符号残差修正。</w:t>
      </w:r>
    </w:p>
    <w:p>
      <w:pPr>
        <w:pStyle w:val="Heading3"/>
        <w:ind w:firstLine="0"/>
      </w:pPr>
      <w:r>
        <w:t>1.3.5 既有工作与本文创新边界</w:t>
      </w:r>
    </w:p>
    <w:p>
      <w:pPr>
        <w:ind w:firstLine="420"/>
      </w:pPr>
      <w:r>
        <w:rPr>
          <w:rFonts w:ascii="宋体" w:hAnsi="宋体" w:eastAsia="宋体"/>
        </w:rPr>
        <w:t>本文的 A—D 不是对已有模块的简单改名。A、B 吸收 CAU-Net 的挑战分解与通道图思想，C 受到边界监督、距离场和 PBNet 的启发，D 受到 SF-RecSAM 双错误修正思想的启发；本文的可辨识贡献是将这些思想重构为“轻量共享主干—参数兼容—零扰动渐进训练”的统一体系，并通过 U、UA、UB、UAB、UABC、UABCD 的固定协议验证每一步增量。相应地，本文不把“三挑战”“通道图”“边界引导”或“假阳性/假阴性双修正”单独宣称为全球首次提出。论文答辩时应将创新表述限定在具体结构、联合机制、零扰动训练协议及其经验证的组合效果，而不能以新名称替代先行工作披露。近期核心文献的出版元数据、来源链接和设计对应关系记录于 thesis_artifacts/literature_evidence.json。</w:t>
      </w:r>
    </w:p>
    <w:p>
      <w:pPr>
        <w:pStyle w:val="Heading2"/>
        <w:ind w:firstLine="0"/>
      </w:pPr>
      <w:r>
        <w:t>1.4 研究内容与技术路线</w:t>
      </w:r>
    </w:p>
    <w:p>
      <w:pPr>
        <w:ind w:firstLine="420"/>
      </w:pPr>
      <w:r>
        <w:rPr>
          <w:rFonts w:ascii="宋体" w:hAnsi="宋体" w:eastAsia="宋体"/>
        </w:rPr>
        <w:t>本文技术路线如图 1-1 所示。</w:t>
      </w:r>
    </w:p>
    <w:p>
      <w:pPr>
        <w:jc w:val="center"/>
      </w:pPr>
      <w:r>
        <w:drawing>
          <wp:inline xmlns:a="http://schemas.openxmlformats.org/drawingml/2006/main" xmlns:pic="http://schemas.openxmlformats.org/drawingml/2006/picture">
            <wp:extent cx="5400000" cy="1216901"/>
            <wp:docPr id="1" name="Picture 1"/>
            <wp:cNvGraphicFramePr>
              <a:graphicFrameLocks noChangeAspect="1"/>
            </wp:cNvGraphicFramePr>
            <a:graphic>
              <a:graphicData uri="http://schemas.openxmlformats.org/drawingml/2006/picture">
                <pic:pic>
                  <pic:nvPicPr>
                    <pic:cNvPr id="0" name="fig01_overall_architecture.png"/>
                    <pic:cNvPicPr/>
                  </pic:nvPicPr>
                  <pic:blipFill>
                    <a:blip r:embed="rId10"/>
                    <a:stretch>
                      <a:fillRect/>
                    </a:stretch>
                  </pic:blipFill>
                  <pic:spPr>
                    <a:xfrm>
                      <a:off x="0" y="0"/>
                      <a:ext cx="5400000" cy="1216901"/>
                    </a:xfrm>
                    <a:prstGeom prst="rect"/>
                  </pic:spPr>
                </pic:pic>
              </a:graphicData>
            </a:graphic>
          </wp:inline>
        </w:drawing>
      </w:r>
    </w:p>
    <w:p>
      <w:pPr>
        <w:jc w:val="center"/>
      </w:pPr>
      <w:r>
        <w:rPr>
          <w:rFonts w:ascii="宋体" w:hAnsi="宋体" w:eastAsia="宋体"/>
          <w:sz w:val="18"/>
        </w:rPr>
        <w:t>总体技术路线</w:t>
      </w:r>
    </w:p>
    <w:p>
      <w:pPr>
        <w:ind w:firstLine="420"/>
      </w:pPr>
      <w:r>
        <w:rPr>
          <w:rFonts w:ascii="宋体" w:hAnsi="宋体" w:eastAsia="宋体"/>
        </w:rPr>
        <w:t>第一章实验部分建立语义表征链：U-Net 编码器首先提取多尺度特征；A 在各编码尺度根据挑战类型进行零扰动自适应路由；B 在瓶颈处建立通道图并进行全局语义传播；解码器融合跳跃特征得到粗分割。第二章实验部分在 UnetAB 上进一步接入 C 和 D：C 从边界及有符号距离恢复连续几何，D 利用不确定性分别执行漏分增补和误分删除。</w:t>
      </w:r>
    </w:p>
    <w:p>
      <w:pPr>
        <w:pStyle w:val="Heading2"/>
        <w:ind w:firstLine="0"/>
      </w:pPr>
      <w:r>
        <w:t>1.5 主要创新点</w:t>
      </w:r>
    </w:p>
    <w:p>
      <w:pPr>
        <w:pStyle w:val="ListNumber"/>
        <w:ind w:firstLine="0"/>
      </w:pPr>
      <w:r>
        <w:rPr>
          <w:rFonts w:ascii="宋体" w:hAnsi="宋体" w:eastAsia="宋体"/>
        </w:rPr>
        <w:t>提出零扰动三挑战自适应路由 TriCAR。模块使用噪声、小病灶和边界专家，通过样本级权重进行动态融合；零初始化输出层保证加入模块时不破坏已训练基线。</w:t>
      </w:r>
    </w:p>
    <w:p>
      <w:pPr>
        <w:pStyle w:val="ListNumber"/>
        <w:ind w:firstLine="0"/>
      </w:pPr>
      <w:r>
        <w:rPr>
          <w:rFonts w:ascii="宋体" w:hAnsi="宋体" w:eastAsia="宋体"/>
        </w:rPr>
        <w:t>提出轻量通道图关系桥 CGR-Bridge。模块以归一化通道特征构图，在 FP32 中完成关系传播，并通过有界残差回注瓶颈特征。</w:t>
      </w:r>
    </w:p>
    <w:p>
      <w:pPr>
        <w:pStyle w:val="ListNumber"/>
        <w:ind w:firstLine="0"/>
      </w:pPr>
      <w:r>
        <w:rPr>
          <w:rFonts w:ascii="宋体" w:hAnsi="宋体" w:eastAsia="宋体"/>
        </w:rPr>
        <w:t>提出边界—距离协同细化 BD-CoRefine。模块联合学习离散边界和连续有符号距离场，通过几何残差修正区域预测。</w:t>
      </w:r>
    </w:p>
    <w:p>
      <w:pPr>
        <w:pStyle w:val="ListNumber"/>
        <w:ind w:firstLine="0"/>
      </w:pPr>
      <w:r>
        <w:rPr>
          <w:rFonts w:ascii="宋体" w:hAnsi="宋体" w:eastAsia="宋体"/>
        </w:rPr>
        <w:t>提出不确定性驱动双误差修正 UDER。模块联合预测熵与多尺度分歧，显式拆分假阴性增补和假阳性删除，形成从语义到几何再到误差的闭环。</w:t>
      </w:r>
    </w:p>
    <w:p>
      <w:pPr>
        <w:pStyle w:val="ListNumber"/>
        <w:ind w:firstLine="0"/>
      </w:pPr>
      <w:r>
        <w:rPr>
          <w:rFonts w:ascii="宋体" w:hAnsi="宋体" w:eastAsia="宋体"/>
        </w:rPr>
        <w:t>建立参数兼容的渐进验证协议。六个模型变体共享状态字典，每次新增模块均经过最大输出差为零的一致性测试，降低因结构重建和随机初始化造成的归因偏差。</w:t>
      </w:r>
    </w:p>
    <w:p>
      <w:pPr>
        <w:pStyle w:val="Heading2"/>
        <w:ind w:firstLine="0"/>
      </w:pPr>
      <w:r>
        <w:t>1.6 论文结构</w:t>
      </w:r>
    </w:p>
    <w:p>
      <w:pPr>
        <w:ind w:firstLine="420"/>
      </w:pPr>
      <w:r>
        <w:rPr>
          <w:rFonts w:ascii="宋体" w:hAnsi="宋体" w:eastAsia="宋体"/>
        </w:rPr>
        <w:t>第 1 章介绍研究背景、现状、科学问题与创新点。第 2 章说明数据集、U-Net 基线、指标、训练协议和数据质量审计。第 3 章研究 A、B 两个语义模块并得到 UnetAB。第 4 章研究 C、D 两个细化模块并得到最终 UABCD。第 5 章开展统计、复杂度、可视化、失败实验与局限性分析。第 6 章总结全文并提出未来工作。</w:t>
      </w:r>
    </w:p>
    <w:p>
      <w:pPr>
        <w:pStyle w:val="Heading1"/>
        <w:ind w:firstLine="0"/>
      </w:pPr>
      <w:r>
        <w:t>第2章 理论基础与实验设计</w:t>
      </w:r>
    </w:p>
    <w:p>
      <w:pPr>
        <w:pStyle w:val="Heading2"/>
        <w:ind w:firstLine="0"/>
      </w:pPr>
      <w:r>
        <w:t>2.1 二值分割形式化</w:t>
      </w:r>
    </w:p>
    <w:p>
      <w:pPr>
        <w:ind w:firstLine="420"/>
      </w:pPr>
      <w:r>
        <w:rPr>
          <w:rFonts w:ascii="宋体" w:hAnsi="宋体" w:eastAsia="宋体"/>
        </w:rPr>
        <w:t>设输入超声图像为 $X\in\mathbb{R}^{3\times H\times W}$，真实掩码为 $Y\in\{0,1\}^{H\times W}$。网络输出像素 logits $Z=f_\theta(X)$，前景概率为：</w:t>
      </w:r>
    </w:p>
    <w:p>
      <w:pPr>
        <w:ind w:firstLine="420"/>
      </w:pPr>
      <w:r>
        <w:rPr>
          <w:rFonts w:ascii="宋体" w:hAnsi="宋体" w:eastAsia="宋体"/>
        </w:rPr>
        <w:t>$$P=\sigma(Z)=\frac{1}{1+\exp(-Z)}.$$</w:t>
      </w:r>
    </w:p>
    <w:p>
      <w:pPr>
        <w:ind w:firstLine="420"/>
      </w:pPr>
      <w:r>
        <w:rPr>
          <w:rFonts w:ascii="宋体" w:hAnsi="宋体" w:eastAsia="宋体"/>
        </w:rPr>
        <w:t>固定阈值 $t=0.5$ 后得到预测掩码 $\hat{Y}=\mathbb{I}(P\ge t)$。本文不根据验证集搜索阈值。</w:t>
      </w:r>
    </w:p>
    <w:p>
      <w:pPr>
        <w:pStyle w:val="Heading2"/>
        <w:ind w:firstLine="0"/>
      </w:pPr>
      <w:r>
        <w:t>2.2 U-Net 基线</w:t>
      </w:r>
    </w:p>
    <w:p>
      <w:pPr>
        <w:ind w:firstLine="420"/>
      </w:pPr>
      <w:r>
        <w:rPr>
          <w:rFonts w:ascii="宋体" w:hAnsi="宋体" w:eastAsia="宋体"/>
        </w:rPr>
        <w:t>本文统一基线保持 U-Net 的五级编码、四级解码和同尺度跳跃连接。局部卷积单元采用残差双卷积实现，以改善 100 轮训练中的梯度传播，但不包含 A、B、C、D 中任何模块。设第 $l$ 级编码输出为 $F_l$，解码过程可表示为：</w:t>
      </w:r>
    </w:p>
    <w:p>
      <w:pPr>
        <w:ind w:firstLine="420"/>
      </w:pPr>
      <w:r>
        <w:rPr>
          <w:rFonts w:ascii="宋体" w:hAnsi="宋体" w:eastAsia="宋体"/>
        </w:rPr>
        <w:t>$$D_l=\phi_l\left([F_l,\operatorname{Up}(D_{l+1})]\right),$$</w:t>
      </w:r>
    </w:p>
    <w:p>
      <w:pPr>
        <w:ind w:firstLine="420"/>
      </w:pPr>
      <w:r>
        <w:rPr>
          <w:rFonts w:ascii="宋体" w:hAnsi="宋体" w:eastAsia="宋体"/>
        </w:rPr>
        <w:t>其中 $[\cdot]$ 表示通道拼接，$\phi_l$ 为残差卷积融合单元。最终通过 $1\times1$ 卷积得到分割 logits。</w:t>
      </w:r>
    </w:p>
    <w:p>
      <w:pPr>
        <w:pStyle w:val="Heading2"/>
        <w:ind w:firstLine="0"/>
      </w:pPr>
      <w:r>
        <w:t>2.3 数据集与固定划分</w:t>
      </w:r>
    </w:p>
    <w:p>
      <w:pPr>
        <w:ind w:firstLine="420"/>
      </w:pPr>
      <w:r>
        <w:rPr>
          <w:rFonts w:ascii="宋体" w:hAnsi="宋体" w:eastAsia="宋体"/>
        </w:rPr>
        <w:t>BUSI 数据集由 Al-Dhabyani 等公开。本文按照项目固定 split 3 使用 647 例含病灶图像，其中训练集 452 例，验证集 195 例。多掩码病例在预处理阶段取并集。所有图像缩放到 256×256，训练增强包括随机翻转、旋转、缩放平移、亮度对比度、Gamma、噪声和轻度模糊。</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vAlign w:val="center"/>
          </w:tcPr>
          <w:p>
            <w:r/>
            <w:r>
              <w:rPr>
                <w:rFonts w:ascii="宋体" w:hAnsi="宋体" w:eastAsia="宋体"/>
                <w:b/>
                <w:sz w:val="18"/>
              </w:rPr>
              <w:t>集合</w:t>
            </w:r>
          </w:p>
        </w:tc>
        <w:tc>
          <w:tcPr>
            <w:tcW w:type="dxa" w:w="3041"/>
            <w:vAlign w:val="center"/>
          </w:tcPr>
          <w:p>
            <w:r/>
            <w:r>
              <w:rPr>
                <w:rFonts w:ascii="宋体" w:hAnsi="宋体" w:eastAsia="宋体"/>
                <w:b/>
                <w:sz w:val="18"/>
              </w:rPr>
              <w:t>病例数</w:t>
            </w:r>
          </w:p>
        </w:tc>
        <w:tc>
          <w:tcPr>
            <w:tcW w:type="dxa" w:w="3041"/>
            <w:vAlign w:val="center"/>
          </w:tcPr>
          <w:p>
            <w:r/>
            <w:r>
              <w:rPr>
                <w:rFonts w:ascii="宋体" w:hAnsi="宋体" w:eastAsia="宋体"/>
                <w:b/>
                <w:sz w:val="18"/>
              </w:rPr>
              <w:t>用途</w:t>
            </w:r>
          </w:p>
        </w:tc>
      </w:tr>
      <w:tr>
        <w:tc>
          <w:tcPr>
            <w:tcW w:type="dxa" w:w="3041"/>
            <w:vAlign w:val="center"/>
          </w:tcPr>
          <w:p>
            <w:r/>
            <w:r>
              <w:rPr>
                <w:rFonts w:ascii="宋体" w:hAnsi="宋体" w:eastAsia="宋体"/>
                <w:b w:val="0"/>
                <w:sz w:val="18"/>
              </w:rPr>
              <w:t>训练集</w:t>
            </w:r>
          </w:p>
        </w:tc>
        <w:tc>
          <w:tcPr>
            <w:tcW w:type="dxa" w:w="3041"/>
            <w:vAlign w:val="center"/>
          </w:tcPr>
          <w:p>
            <w:r/>
            <w:r>
              <w:rPr>
                <w:rFonts w:ascii="宋体" w:hAnsi="宋体" w:eastAsia="宋体"/>
                <w:b w:val="0"/>
                <w:sz w:val="18"/>
              </w:rPr>
              <w:t>452</w:t>
            </w:r>
          </w:p>
        </w:tc>
        <w:tc>
          <w:tcPr>
            <w:tcW w:type="dxa" w:w="3041"/>
            <w:vAlign w:val="center"/>
          </w:tcPr>
          <w:p>
            <w:r/>
            <w:r>
              <w:rPr>
                <w:rFonts w:ascii="宋体" w:hAnsi="宋体" w:eastAsia="宋体"/>
                <w:b w:val="0"/>
                <w:sz w:val="18"/>
              </w:rPr>
              <w:t>参数优化与数据增强</w:t>
            </w:r>
          </w:p>
        </w:tc>
      </w:tr>
      <w:tr>
        <w:tc>
          <w:tcPr>
            <w:tcW w:type="dxa" w:w="3041"/>
            <w:vAlign w:val="center"/>
          </w:tcPr>
          <w:p>
            <w:r/>
            <w:r>
              <w:rPr>
                <w:rFonts w:ascii="宋体" w:hAnsi="宋体" w:eastAsia="宋体"/>
                <w:b w:val="0"/>
                <w:sz w:val="18"/>
              </w:rPr>
              <w:t>验证集</w:t>
            </w:r>
          </w:p>
        </w:tc>
        <w:tc>
          <w:tcPr>
            <w:tcW w:type="dxa" w:w="3041"/>
            <w:vAlign w:val="center"/>
          </w:tcPr>
          <w:p>
            <w:r/>
            <w:r>
              <w:rPr>
                <w:rFonts w:ascii="宋体" w:hAnsi="宋体" w:eastAsia="宋体"/>
                <w:b w:val="0"/>
                <w:sz w:val="18"/>
              </w:rPr>
              <w:t>195</w:t>
            </w:r>
          </w:p>
        </w:tc>
        <w:tc>
          <w:tcPr>
            <w:tcW w:type="dxa" w:w="3041"/>
            <w:vAlign w:val="center"/>
          </w:tcPr>
          <w:p>
            <w:r/>
            <w:r>
              <w:rPr>
                <w:rFonts w:ascii="宋体" w:hAnsi="宋体" w:eastAsia="宋体"/>
                <w:b w:val="0"/>
                <w:sz w:val="18"/>
              </w:rPr>
              <w:t>固定阈值评估与逐病例 IoU 选模</w:t>
            </w:r>
          </w:p>
        </w:tc>
      </w:tr>
    </w:tbl>
    <w:p/>
    <w:p>
      <w:pPr>
        <w:pStyle w:val="Heading2"/>
        <w:ind w:firstLine="0"/>
      </w:pPr>
      <w:r>
        <w:t>2.4 评价指标</w:t>
      </w:r>
    </w:p>
    <w:p>
      <w:pPr>
        <w:ind w:firstLine="420"/>
      </w:pPr>
      <w:r>
        <w:rPr>
          <w:rFonts w:ascii="宋体" w:hAnsi="宋体" w:eastAsia="宋体"/>
        </w:rPr>
        <w:t>只报告 IoU 和 Dice。对单病例有：</w:t>
      </w:r>
    </w:p>
    <w:p>
      <w:pPr>
        <w:ind w:firstLine="420"/>
      </w:pPr>
      <w:r>
        <w:rPr>
          <w:rFonts w:ascii="宋体" w:hAnsi="宋体" w:eastAsia="宋体"/>
        </w:rPr>
        <w:t>$$\operatorname{IoU}=\frac{TP}{TP+FP+FN},$$</w:t>
      </w:r>
    </w:p>
    <w:p>
      <w:pPr>
        <w:ind w:firstLine="420"/>
      </w:pPr>
      <w:r>
        <w:rPr>
          <w:rFonts w:ascii="宋体" w:hAnsi="宋体" w:eastAsia="宋体"/>
        </w:rPr>
        <w:t>$$\operatorname{Dice}=\frac{2TP}{2TP+FP+FN}.$$</w:t>
      </w:r>
    </w:p>
    <w:p>
      <w:pPr>
        <w:ind w:firstLine="420"/>
      </w:pPr>
      <w:r>
        <w:rPr>
          <w:rFonts w:ascii="宋体" w:hAnsi="宋体" w:eastAsia="宋体"/>
        </w:rPr>
        <w:t>最终值为 195 个病例指标的算术平均，而非先累计所有像素再计算。该口径避免大病灶完全主导结果，更符合逐病例临床评价。</w:t>
      </w:r>
    </w:p>
    <w:p>
      <w:pPr>
        <w:pStyle w:val="Heading2"/>
        <w:ind w:firstLine="0"/>
      </w:pPr>
      <w:r>
        <w:t>2.5 损失函数</w:t>
      </w:r>
    </w:p>
    <w:p>
      <w:pPr>
        <w:ind w:firstLine="420"/>
      </w:pPr>
      <w:r>
        <w:rPr>
          <w:rFonts w:ascii="宋体" w:hAnsi="宋体" w:eastAsia="宋体"/>
        </w:rPr>
        <w:t>基础区域损失由 BCE 与软 Dice 组成：</w:t>
      </w:r>
    </w:p>
    <w:p>
      <w:pPr>
        <w:ind w:firstLine="420"/>
      </w:pPr>
      <w:r>
        <w:rPr>
          <w:rFonts w:ascii="宋体" w:hAnsi="宋体" w:eastAsia="宋体"/>
        </w:rPr>
        <w:t>$$\mathcal{L}_{region}=0.5\mathcal{L}_{BCE}+\left(1-\frac{2\sum_iP_iY_i+\epsilon}{\sum_iP_i+\sum_iY_i+\epsilon}\right).$$</w:t>
      </w:r>
    </w:p>
    <w:p>
      <w:pPr>
        <w:ind w:firstLine="420"/>
      </w:pPr>
      <w:r>
        <w:rPr>
          <w:rFonts w:ascii="宋体" w:hAnsi="宋体" w:eastAsia="宋体"/>
        </w:rPr>
        <w:t>引入 C、D 后，总损失为：</w:t>
      </w:r>
    </w:p>
    <w:p>
      <w:pPr>
        <w:ind w:firstLine="420"/>
      </w:pPr>
      <w:r>
        <w:rPr>
          <w:rFonts w:ascii="宋体" w:hAnsi="宋体" w:eastAsia="宋体"/>
        </w:rPr>
        <w:t>$$\mathcal{L}=\mathcal{L}_{region}+\lambda_c\mathcal{L}_{coarse}+\lambda_b\mathcal{L}_{boundary}+\lambda_d\mathcal{L}_{distance}+\lambda_e\mathcal{L}_{dual}+\lambda_s\mathcal{L}_{deep}.$$</w:t>
      </w:r>
    </w:p>
    <w:p>
      <w:pPr>
        <w:ind w:firstLine="420"/>
      </w:pPr>
      <w:r>
        <w:rPr>
          <w:rFonts w:ascii="宋体" w:hAnsi="宋体" w:eastAsia="宋体"/>
        </w:rPr>
        <w:t>本文采用 $\lambda_c=0.05$、$\lambda_b=0.10$、$\lambda_d=0.10$、$\lambda_e=0.10$、$\lambda_s=0.25$。</w:t>
      </w:r>
    </w:p>
    <w:p>
      <w:pPr>
        <w:pStyle w:val="Heading2"/>
        <w:ind w:firstLine="0"/>
      </w:pPr>
      <w:r>
        <w:t>2.6 渐进训练协议</w:t>
      </w:r>
    </w:p>
    <w:p>
      <w:pPr>
        <w:pStyle w:val="ListNumber"/>
        <w:ind w:firstLine="0"/>
      </w:pPr>
      <w:r>
        <w:rPr>
          <w:rFonts w:ascii="宋体" w:hAnsi="宋体" w:eastAsia="宋体"/>
        </w:rPr>
        <w:t>U-Net 基线训练 100 轮并保存最佳检查点。</w:t>
      </w:r>
    </w:p>
    <w:p>
      <w:pPr>
        <w:pStyle w:val="ListNumber"/>
        <w:ind w:firstLine="0"/>
      </w:pPr>
      <w:r>
        <w:rPr>
          <w:rFonts w:ascii="宋体" w:hAnsi="宋体" w:eastAsia="宋体"/>
        </w:rPr>
        <w:t>UA 与 UB 均从同一 U 检查点开始，新增模块学习率为 $10^{-4}$，其余参数学习率为 $2\times10^{-5}$，训练 60 轮。</w:t>
      </w:r>
    </w:p>
    <w:p>
      <w:pPr>
        <w:pStyle w:val="ListNumber"/>
        <w:ind w:firstLine="0"/>
      </w:pPr>
      <w:r>
        <w:rPr>
          <w:rFonts w:ascii="宋体" w:hAnsi="宋体" w:eastAsia="宋体"/>
        </w:rPr>
        <w:t>UAB 从 UB 最佳检查点开始，仅将新启用 A 置于高学习率组，训练 60 轮。</w:t>
      </w:r>
    </w:p>
    <w:p>
      <w:pPr>
        <w:pStyle w:val="ListNumber"/>
        <w:ind w:firstLine="0"/>
      </w:pPr>
      <w:r>
        <w:rPr>
          <w:rFonts w:ascii="宋体" w:hAnsi="宋体" w:eastAsia="宋体"/>
        </w:rPr>
        <w:t>UABC 从 UAB 最佳检查点开始，仅将 C 置于高学习率组，训练 60 轮。</w:t>
      </w:r>
    </w:p>
    <w:p>
      <w:pPr>
        <w:pStyle w:val="ListNumber"/>
        <w:ind w:firstLine="0"/>
      </w:pPr>
      <w:r>
        <w:rPr>
          <w:rFonts w:ascii="宋体" w:hAnsi="宋体" w:eastAsia="宋体"/>
        </w:rPr>
        <w:t>UABCD 从 UABC 最佳检查点开始，仅将 D 置于高学习率组，训练 60 轮。</w:t>
      </w:r>
    </w:p>
    <w:p>
      <w:pPr>
        <w:ind w:firstLine="420"/>
      </w:pPr>
      <w:r>
        <w:rPr>
          <w:rFonts w:ascii="宋体" w:hAnsi="宋体" w:eastAsia="宋体"/>
        </w:rPr>
        <w:t>该协议体现“先语义、后几何、再纠错”的研究假设。需要指出，渐进模型经历了更多阶段性优化，因此该实验主要证明模块链在渐进学习场景中的有效性；后续仍需补充相同总更新步数的计算预算控制。</w:t>
      </w:r>
    </w:p>
    <w:p>
      <w:pPr>
        <w:pStyle w:val="Heading2"/>
        <w:ind w:firstLine="0"/>
      </w:pPr>
      <w:r>
        <w:t>2.7 数据质量与泄漏审计</w:t>
      </w:r>
    </w:p>
    <w:p>
      <w:pPr>
        <w:ind w:firstLine="420"/>
      </w:pPr>
      <w:r>
        <w:rPr>
          <w:rFonts w:ascii="宋体" w:hAnsi="宋体" w:eastAsia="宋体"/>
        </w:rPr>
        <w:t>审计结果表明，训练集与验证集不存在同名重叠，也不存在字节级完全相同图像，但存在 24 对高置信跨集合近重复图像，共涉及 20 个不同验证病例。近重复图像对应掩码的平均 IoU 为 83.261%，范围为 11.752%—93.912%。这意味着 BUSI 同时存在患者级近重复风险和标注不一致。本文保留固定 split 3 以保证实验连续性，同时增加剔除上述 20 个验证病例的三种子敏感性分析；但该分析仍不能把 split 3 视为经患者身份核验的严格独立划分。</w:t>
      </w:r>
    </w:p>
    <w:p>
      <w:pPr>
        <w:pStyle w:val="Heading1"/>
        <w:ind w:firstLine="0"/>
      </w:pPr>
      <w:r>
        <w:t>第3章 挑战自适应语义关系建模</w:t>
      </w:r>
    </w:p>
    <w:p>
      <w:pPr>
        <w:pStyle w:val="Heading2"/>
        <w:ind w:firstLine="0"/>
      </w:pPr>
      <w:r>
        <w:t>3.1 本章研究动机</w:t>
      </w:r>
    </w:p>
    <w:p>
      <w:pPr>
        <w:ind w:firstLine="420"/>
      </w:pPr>
      <w:r>
        <w:rPr>
          <w:rFonts w:ascii="宋体" w:hAnsi="宋体" w:eastAsia="宋体"/>
        </w:rPr>
        <w:t>U-Net 编码器的固定卷积路径对所有病例执行相同操作。对于高噪声图像，模型需要抑制局部随机响应；对于小病灶，过度平滑会损失关键结构；对于模糊边界，更大的上下文感受野又十分必要。将所有目标压入一个卷积核会形成冲突。即使局部特征得到增强，远距离通道之间仍可能缺乏语义一致性。因此，本章按照“局部挑战分流—全局关系聚合”的顺序设计 A 与 B。</w:t>
      </w:r>
    </w:p>
    <w:p>
      <w:pPr>
        <w:pStyle w:val="Heading2"/>
        <w:ind w:firstLine="0"/>
      </w:pPr>
      <w:r>
        <w:t>3.2 模块 A：TriCAR</w:t>
      </w:r>
    </w:p>
    <w:p>
      <w:pPr>
        <w:pStyle w:val="Heading3"/>
        <w:ind w:firstLine="0"/>
      </w:pPr>
      <w:r>
        <w:t>3.2.1 三专家结构</w:t>
      </w:r>
    </w:p>
    <w:p>
      <w:pPr>
        <w:ind w:firstLine="420"/>
      </w:pPr>
      <w:r>
        <w:rPr>
          <w:rFonts w:ascii="宋体" w:hAnsi="宋体" w:eastAsia="宋体"/>
        </w:rPr>
        <w:t>对第 $l$ 级输入特征 $F_l$，定义噪声专家、小病灶专家和边界专家：</w:t>
      </w:r>
    </w:p>
    <w:p>
      <w:pPr>
        <w:ind w:firstLine="420"/>
      </w:pPr>
      <w:r>
        <w:rPr>
          <w:rFonts w:ascii="宋体" w:hAnsi="宋体" w:eastAsia="宋体"/>
        </w:rPr>
        <w:t>$$E_l^n=\phi_l^n(\operatorname{AvgPool}_{3\times3}(F_l)),$$</w:t>
      </w:r>
    </w:p>
    <w:p>
      <w:pPr>
        <w:ind w:firstLine="420"/>
      </w:pPr>
      <w:r>
        <w:rPr>
          <w:rFonts w:ascii="宋体" w:hAnsi="宋体" w:eastAsia="宋体"/>
        </w:rPr>
        <w:t>$$E_l^s=\phi_l^s(F_l),$$</w:t>
      </w:r>
    </w:p>
    <w:p>
      <w:pPr>
        <w:ind w:firstLine="420"/>
      </w:pPr>
      <w:r>
        <w:rPr>
          <w:rFonts w:ascii="宋体" w:hAnsi="宋体" w:eastAsia="宋体"/>
        </w:rPr>
        <w:t>$$E_l^b=\phi_l^b(F_l;d=3),$$</w:t>
      </w:r>
    </w:p>
    <w:p>
      <w:pPr>
        <w:ind w:firstLine="420"/>
      </w:pPr>
      <w:r>
        <w:rPr>
          <w:rFonts w:ascii="宋体" w:hAnsi="宋体" w:eastAsia="宋体"/>
        </w:rPr>
        <w:t>其中 $d=3$ 表示膨胀率。噪声专家先进行局部均值聚合，小病灶专家采用紧凑深度卷积，边界专家通过膨胀卷积扩大上下文。</w:t>
      </w:r>
    </w:p>
    <w:p>
      <w:pPr>
        <w:pStyle w:val="Heading3"/>
        <w:ind w:firstLine="0"/>
      </w:pPr>
      <w:r>
        <w:t>3.2.2 自适应路由</w:t>
      </w:r>
    </w:p>
    <w:p>
      <w:pPr>
        <w:ind w:firstLine="420"/>
      </w:pPr>
      <w:r>
        <w:rPr>
          <w:rFonts w:ascii="宋体" w:hAnsi="宋体" w:eastAsia="宋体"/>
        </w:rPr>
        <w:t>全局池化后由路由器输出三个权重：</w:t>
      </w:r>
    </w:p>
    <w:p>
      <w:pPr>
        <w:ind w:firstLine="420"/>
      </w:pPr>
      <w:r>
        <w:rPr>
          <w:rFonts w:ascii="宋体" w:hAnsi="宋体" w:eastAsia="宋体"/>
        </w:rPr>
        <w:t>$$\boldsymbol{\alpha}_l=\operatorname{Softmax}(g_l(\operatorname{GAP}(F_l))),$$</w:t>
      </w:r>
    </w:p>
    <w:p>
      <w:pPr>
        <w:ind w:firstLine="420"/>
      </w:pPr>
      <w:r>
        <w:rPr>
          <w:rFonts w:ascii="宋体" w:hAnsi="宋体" w:eastAsia="宋体"/>
        </w:rPr>
        <w:t>$$M_l=\alpha_l^nE_l^n+\alpha_l^sE_l^s+\alpha_l^bE_l^b.$$</w:t>
      </w:r>
    </w:p>
    <w:p>
      <w:pPr>
        <w:ind w:firstLine="420"/>
      </w:pPr>
      <w:r>
        <w:rPr>
          <w:rFonts w:ascii="宋体" w:hAnsi="宋体" w:eastAsia="宋体"/>
        </w:rPr>
        <w:t>最终使用零初始化残差进行融合：</w:t>
      </w:r>
    </w:p>
    <w:p>
      <w:pPr>
        <w:ind w:firstLine="420"/>
      </w:pPr>
      <w:r>
        <w:rPr>
          <w:rFonts w:ascii="宋体" w:hAnsi="宋体" w:eastAsia="宋体"/>
        </w:rPr>
        <w:t>$$\tilde{F}_l=F_l+\sigma(s_l)h_l([F_l,M_l]).$$</w:t>
      </w:r>
    </w:p>
    <w:p>
      <w:pPr>
        <w:ind w:firstLine="420"/>
      </w:pPr>
      <w:r>
        <w:rPr>
          <w:rFonts w:ascii="宋体" w:hAnsi="宋体" w:eastAsia="宋体"/>
        </w:rPr>
        <w:t>$h_l$ 的最后一层权重和偏置初始化为零，因此训练开始时 $\tilde{F}_l=F_l$。这使 A 可以无损插入已训练 U-Net。</w:t>
      </w:r>
    </w:p>
    <w:p>
      <w:pPr>
        <w:pStyle w:val="Heading2"/>
        <w:ind w:firstLine="0"/>
      </w:pPr>
      <w:r>
        <w:t>3.3 模块 B：CGR-Bridge</w:t>
      </w:r>
    </w:p>
    <w:p>
      <w:pPr>
        <w:ind w:firstLine="420"/>
      </w:pPr>
      <w:r>
        <w:rPr>
          <w:rFonts w:ascii="宋体" w:hAnsi="宋体" w:eastAsia="宋体"/>
        </w:rPr>
        <w:t>瓶颈特征 $F\in\mathbb{R}^{C\times H\times W}$ 首先降维为 $V\in\mathbb{R}^{C'\times HW}$。归一化后的通道向量构成图节点，邻接矩阵为：</w:t>
      </w:r>
    </w:p>
    <w:p>
      <w:pPr>
        <w:ind w:firstLine="420"/>
      </w:pPr>
      <w:r>
        <w:rPr>
          <w:rFonts w:ascii="宋体" w:hAnsi="宋体" w:eastAsia="宋体"/>
        </w:rPr>
        <w:t>$$A_{ij}=\operatorname{Softmax}_j\left(\frac{\bar{V}_i^T\bar{V}_j}{\sqrt{C'}}\right).$$</w:t>
      </w:r>
    </w:p>
    <w:p>
      <w:pPr>
        <w:ind w:firstLine="420"/>
      </w:pPr>
      <w:r>
        <w:rPr>
          <w:rFonts w:ascii="宋体" w:hAnsi="宋体" w:eastAsia="宋体"/>
        </w:rPr>
        <w:t>关系传播与残差回注为：</w:t>
      </w:r>
    </w:p>
    <w:p>
      <w:pPr>
        <w:ind w:firstLine="420"/>
      </w:pPr>
      <w:r>
        <w:rPr>
          <w:rFonts w:ascii="宋体" w:hAnsi="宋体" w:eastAsia="宋体"/>
        </w:rPr>
        <w:t>$$R=AV,\qquad \tilde{F}=F+\tanh(\gamma)W_pR.$$</w:t>
      </w:r>
    </w:p>
    <w:p>
      <w:pPr>
        <w:ind w:firstLine="420"/>
      </w:pPr>
      <w:r>
        <w:rPr>
          <w:rFonts w:ascii="宋体" w:hAnsi="宋体" w:eastAsia="宋体"/>
        </w:rPr>
        <w:t>$\gamma$ 初始化为零，因此 B 同样满足无扰动接入。图构建使用 FP32，避免半精度归一化和批矩阵乘法造成溢出。</w:t>
      </w:r>
    </w:p>
    <w:p>
      <w:pPr>
        <w:pStyle w:val="Heading2"/>
        <w:ind w:firstLine="0"/>
      </w:pPr>
      <w:r>
        <w:t>3.4 第一章实验结果</w:t>
      </w:r>
    </w:p>
    <w:p>
      <w:pPr>
        <w:jc w:val="center"/>
      </w:pPr>
      <w:r>
        <w:drawing>
          <wp:inline xmlns:a="http://schemas.openxmlformats.org/drawingml/2006/main" xmlns:pic="http://schemas.openxmlformats.org/drawingml/2006/picture">
            <wp:extent cx="5400000" cy="3133333"/>
            <wp:docPr id="2" name="Picture 2"/>
            <wp:cNvGraphicFramePr>
              <a:graphicFrameLocks noChangeAspect="1"/>
            </wp:cNvGraphicFramePr>
            <a:graphic>
              <a:graphicData uri="http://schemas.openxmlformats.org/drawingml/2006/picture">
                <pic:pic>
                  <pic:nvPicPr>
                    <pic:cNvPr id="0" name="fig02_chapter1_ablation.png"/>
                    <pic:cNvPicPr/>
                  </pic:nvPicPr>
                  <pic:blipFill>
                    <a:blip r:embed="rId11"/>
                    <a:stretch>
                      <a:fillRect/>
                    </a:stretch>
                  </pic:blipFill>
                  <pic:spPr>
                    <a:xfrm>
                      <a:off x="0" y="0"/>
                      <a:ext cx="5400000" cy="3133333"/>
                    </a:xfrm>
                    <a:prstGeom prst="rect"/>
                  </pic:spPr>
                </pic:pic>
              </a:graphicData>
            </a:graphic>
          </wp:inline>
        </w:drawing>
      </w:r>
    </w:p>
    <w:p>
      <w:pPr>
        <w:jc w:val="center"/>
      </w:pPr>
      <w:r>
        <w:rPr>
          <w:rFonts w:ascii="宋体" w:hAnsi="宋体" w:eastAsia="宋体"/>
          <w:sz w:val="18"/>
        </w:rPr>
        <w:t>第一章消融结果</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1520"/>
            <w:vAlign w:val="center"/>
          </w:tcPr>
          <w:p>
            <w:r/>
            <w:r>
              <w:rPr>
                <w:rFonts w:ascii="宋体" w:hAnsi="宋体" w:eastAsia="宋体"/>
                <w:b/>
                <w:sz w:val="18"/>
              </w:rPr>
              <w:t>模型</w:t>
            </w:r>
          </w:p>
        </w:tc>
        <w:tc>
          <w:tcPr>
            <w:tcW w:type="dxa" w:w="1520"/>
            <w:vAlign w:val="center"/>
          </w:tcPr>
          <w:p>
            <w:r/>
            <w:r>
              <w:rPr>
                <w:rFonts w:ascii="宋体" w:hAnsi="宋体" w:eastAsia="宋体"/>
                <w:b/>
                <w:sz w:val="18"/>
              </w:rPr>
              <w:t>A</w:t>
            </w:r>
          </w:p>
        </w:tc>
        <w:tc>
          <w:tcPr>
            <w:tcW w:type="dxa" w:w="1520"/>
            <w:vAlign w:val="center"/>
          </w:tcPr>
          <w:p>
            <w:r/>
            <w:r>
              <w:rPr>
                <w:rFonts w:ascii="宋体" w:hAnsi="宋体" w:eastAsia="宋体"/>
                <w:b/>
                <w:sz w:val="18"/>
              </w:rPr>
              <w:t>B</w:t>
            </w:r>
          </w:p>
        </w:tc>
        <w:tc>
          <w:tcPr>
            <w:tcW w:type="dxa" w:w="1520"/>
            <w:vAlign w:val="center"/>
          </w:tcPr>
          <w:p>
            <w:r/>
            <w:r>
              <w:rPr>
                <w:rFonts w:ascii="宋体" w:hAnsi="宋体" w:eastAsia="宋体"/>
                <w:b/>
                <w:sz w:val="18"/>
              </w:rPr>
              <w:t>IoU/%</w:t>
            </w:r>
          </w:p>
        </w:tc>
        <w:tc>
          <w:tcPr>
            <w:tcW w:type="dxa" w:w="1520"/>
            <w:vAlign w:val="center"/>
          </w:tcPr>
          <w:p>
            <w:r/>
            <w:r>
              <w:rPr>
                <w:rFonts w:ascii="宋体" w:hAnsi="宋体" w:eastAsia="宋体"/>
                <w:b/>
                <w:sz w:val="18"/>
              </w:rPr>
              <w:t>Dice/%</w:t>
            </w:r>
          </w:p>
        </w:tc>
        <w:tc>
          <w:tcPr>
            <w:tcW w:type="dxa" w:w="1520"/>
            <w:vAlign w:val="center"/>
          </w:tcPr>
          <w:p>
            <w:r/>
            <w:r>
              <w:rPr>
                <w:rFonts w:ascii="宋体" w:hAnsi="宋体" w:eastAsia="宋体"/>
                <w:b/>
                <w:sz w:val="18"/>
              </w:rPr>
              <w:t>相对 U 的 IoU 增益/百分点</w:t>
            </w:r>
          </w:p>
        </w:tc>
      </w:tr>
      <w:tr>
        <w:tc>
          <w:tcPr>
            <w:tcW w:type="dxa" w:w="1520"/>
            <w:vAlign w:val="center"/>
          </w:tcPr>
          <w:p>
            <w:r/>
            <w:r>
              <w:rPr>
                <w:rFonts w:ascii="宋体" w:hAnsi="宋体" w:eastAsia="宋体"/>
                <w:b w:val="0"/>
                <w:sz w:val="18"/>
              </w:rPr>
              <w:t>U</w:t>
            </w:r>
          </w:p>
        </w:tc>
        <w:tc>
          <w:tcPr>
            <w:tcW w:type="dxa" w:w="1520"/>
            <w:vAlign w:val="center"/>
          </w:tcPr>
          <w:p>
            <w:r/>
            <w:r>
              <w:rPr>
                <w:rFonts w:ascii="宋体" w:hAnsi="宋体" w:eastAsia="宋体"/>
                <w:b w:val="0"/>
                <w:sz w:val="18"/>
              </w:rPr>
            </w:r>
          </w:p>
        </w:tc>
        <w:tc>
          <w:tcPr>
            <w:tcW w:type="dxa" w:w="1520"/>
            <w:vAlign w:val="center"/>
          </w:tcPr>
          <w:p>
            <w:r/>
            <w:r>
              <w:rPr>
                <w:rFonts w:ascii="宋体" w:hAnsi="宋体" w:eastAsia="宋体"/>
                <w:b w:val="0"/>
                <w:sz w:val="18"/>
              </w:rPr>
            </w:r>
          </w:p>
        </w:tc>
        <w:tc>
          <w:tcPr>
            <w:tcW w:type="dxa" w:w="1520"/>
            <w:vAlign w:val="center"/>
          </w:tcPr>
          <w:p>
            <w:r/>
            <w:r>
              <w:rPr>
                <w:rFonts w:ascii="宋体" w:hAnsi="宋体" w:eastAsia="宋体"/>
                <w:b w:val="0"/>
                <w:sz w:val="18"/>
              </w:rPr>
              <w:t>72.445</w:t>
            </w:r>
          </w:p>
        </w:tc>
        <w:tc>
          <w:tcPr>
            <w:tcW w:type="dxa" w:w="1520"/>
            <w:vAlign w:val="center"/>
          </w:tcPr>
          <w:p>
            <w:r/>
            <w:r>
              <w:rPr>
                <w:rFonts w:ascii="宋体" w:hAnsi="宋体" w:eastAsia="宋体"/>
                <w:b w:val="0"/>
                <w:sz w:val="18"/>
              </w:rPr>
              <w:t>80.718</w:t>
            </w:r>
          </w:p>
        </w:tc>
        <w:tc>
          <w:tcPr>
            <w:tcW w:type="dxa" w:w="1520"/>
            <w:vAlign w:val="center"/>
          </w:tcPr>
          <w:p>
            <w:r/>
            <w:r>
              <w:rPr>
                <w:rFonts w:ascii="宋体" w:hAnsi="宋体" w:eastAsia="宋体"/>
                <w:b w:val="0"/>
                <w:sz w:val="18"/>
              </w:rPr>
              <w:t>—</w:t>
            </w:r>
          </w:p>
        </w:tc>
      </w:tr>
      <w:tr>
        <w:tc>
          <w:tcPr>
            <w:tcW w:type="dxa" w:w="1520"/>
            <w:vAlign w:val="center"/>
          </w:tcPr>
          <w:p>
            <w:r/>
            <w:r>
              <w:rPr>
                <w:rFonts w:ascii="宋体" w:hAnsi="宋体" w:eastAsia="宋体"/>
                <w:b w:val="0"/>
                <w:sz w:val="18"/>
              </w:rPr>
              <w:t>UA</w:t>
            </w:r>
          </w:p>
        </w:tc>
        <w:tc>
          <w:tcPr>
            <w:tcW w:type="dxa" w:w="1520"/>
            <w:vAlign w:val="center"/>
          </w:tcPr>
          <w:p>
            <w:r/>
            <w:r>
              <w:rPr>
                <w:rFonts w:ascii="宋体" w:hAnsi="宋体" w:eastAsia="宋体"/>
                <w:b w:val="0"/>
                <w:sz w:val="18"/>
              </w:rPr>
              <w:t>✓</w:t>
            </w:r>
          </w:p>
        </w:tc>
        <w:tc>
          <w:tcPr>
            <w:tcW w:type="dxa" w:w="1520"/>
            <w:vAlign w:val="center"/>
          </w:tcPr>
          <w:p>
            <w:r/>
            <w:r>
              <w:rPr>
                <w:rFonts w:ascii="宋体" w:hAnsi="宋体" w:eastAsia="宋体"/>
                <w:b w:val="0"/>
                <w:sz w:val="18"/>
              </w:rPr>
            </w:r>
          </w:p>
        </w:tc>
        <w:tc>
          <w:tcPr>
            <w:tcW w:type="dxa" w:w="1520"/>
            <w:vAlign w:val="center"/>
          </w:tcPr>
          <w:p>
            <w:r/>
            <w:r>
              <w:rPr>
                <w:rFonts w:ascii="宋体" w:hAnsi="宋体" w:eastAsia="宋体"/>
                <w:b w:val="0"/>
                <w:sz w:val="18"/>
              </w:rPr>
              <w:t>73.622</w:t>
            </w:r>
          </w:p>
        </w:tc>
        <w:tc>
          <w:tcPr>
            <w:tcW w:type="dxa" w:w="1520"/>
            <w:vAlign w:val="center"/>
          </w:tcPr>
          <w:p>
            <w:r/>
            <w:r>
              <w:rPr>
                <w:rFonts w:ascii="宋体" w:hAnsi="宋体" w:eastAsia="宋体"/>
                <w:b w:val="0"/>
                <w:sz w:val="18"/>
              </w:rPr>
              <w:t>81.817</w:t>
            </w:r>
          </w:p>
        </w:tc>
        <w:tc>
          <w:tcPr>
            <w:tcW w:type="dxa" w:w="1520"/>
            <w:vAlign w:val="center"/>
          </w:tcPr>
          <w:p>
            <w:r/>
            <w:r>
              <w:rPr>
                <w:rFonts w:ascii="宋体" w:hAnsi="宋体" w:eastAsia="宋体"/>
                <w:b w:val="0"/>
                <w:sz w:val="18"/>
              </w:rPr>
              <w:t>+1.177</w:t>
            </w:r>
          </w:p>
        </w:tc>
      </w:tr>
      <w:tr>
        <w:tc>
          <w:tcPr>
            <w:tcW w:type="dxa" w:w="1520"/>
            <w:vAlign w:val="center"/>
          </w:tcPr>
          <w:p>
            <w:r/>
            <w:r>
              <w:rPr>
                <w:rFonts w:ascii="宋体" w:hAnsi="宋体" w:eastAsia="宋体"/>
                <w:b w:val="0"/>
                <w:sz w:val="18"/>
              </w:rPr>
              <w:t>UB</w:t>
            </w:r>
          </w:p>
        </w:tc>
        <w:tc>
          <w:tcPr>
            <w:tcW w:type="dxa" w:w="1520"/>
            <w:vAlign w:val="center"/>
          </w:tcPr>
          <w:p>
            <w:r/>
            <w:r>
              <w:rPr>
                <w:rFonts w:ascii="宋体" w:hAnsi="宋体" w:eastAsia="宋体"/>
                <w:b w:val="0"/>
                <w:sz w:val="18"/>
              </w:rPr>
            </w:r>
          </w:p>
        </w:tc>
        <w:tc>
          <w:tcPr>
            <w:tcW w:type="dxa" w:w="1520"/>
            <w:vAlign w:val="center"/>
          </w:tcPr>
          <w:p>
            <w:r/>
            <w:r>
              <w:rPr>
                <w:rFonts w:ascii="宋体" w:hAnsi="宋体" w:eastAsia="宋体"/>
                <w:b w:val="0"/>
                <w:sz w:val="18"/>
              </w:rPr>
              <w:t>✓</w:t>
            </w:r>
          </w:p>
        </w:tc>
        <w:tc>
          <w:tcPr>
            <w:tcW w:type="dxa" w:w="1520"/>
            <w:vAlign w:val="center"/>
          </w:tcPr>
          <w:p>
            <w:r/>
            <w:r>
              <w:rPr>
                <w:rFonts w:ascii="宋体" w:hAnsi="宋体" w:eastAsia="宋体"/>
                <w:b w:val="0"/>
                <w:sz w:val="18"/>
              </w:rPr>
              <w:t>74.193</w:t>
            </w:r>
          </w:p>
        </w:tc>
        <w:tc>
          <w:tcPr>
            <w:tcW w:type="dxa" w:w="1520"/>
            <w:vAlign w:val="center"/>
          </w:tcPr>
          <w:p>
            <w:r/>
            <w:r>
              <w:rPr>
                <w:rFonts w:ascii="宋体" w:hAnsi="宋体" w:eastAsia="宋体"/>
                <w:b w:val="0"/>
                <w:sz w:val="18"/>
              </w:rPr>
              <w:t>82.537</w:t>
            </w:r>
          </w:p>
        </w:tc>
        <w:tc>
          <w:tcPr>
            <w:tcW w:type="dxa" w:w="1520"/>
            <w:vAlign w:val="center"/>
          </w:tcPr>
          <w:p>
            <w:r/>
            <w:r>
              <w:rPr>
                <w:rFonts w:ascii="宋体" w:hAnsi="宋体" w:eastAsia="宋体"/>
                <w:b w:val="0"/>
                <w:sz w:val="18"/>
              </w:rPr>
              <w:t>+1.748</w:t>
            </w:r>
          </w:p>
        </w:tc>
      </w:tr>
      <w:tr>
        <w:tc>
          <w:tcPr>
            <w:tcW w:type="dxa" w:w="1520"/>
            <w:vAlign w:val="center"/>
          </w:tcPr>
          <w:p>
            <w:r/>
            <w:r>
              <w:rPr>
                <w:rFonts w:ascii="宋体" w:hAnsi="宋体" w:eastAsia="宋体"/>
                <w:b w:val="0"/>
                <w:sz w:val="18"/>
              </w:rPr>
              <w:t>UAB（UnetAB）</w:t>
            </w:r>
          </w:p>
        </w:tc>
        <w:tc>
          <w:tcPr>
            <w:tcW w:type="dxa" w:w="1520"/>
            <w:vAlign w:val="center"/>
          </w:tcPr>
          <w:p>
            <w:r/>
            <w:r>
              <w:rPr>
                <w:rFonts w:ascii="宋体" w:hAnsi="宋体" w:eastAsia="宋体"/>
                <w:b w:val="0"/>
                <w:sz w:val="18"/>
              </w:rPr>
              <w:t>✓</w:t>
            </w:r>
          </w:p>
        </w:tc>
        <w:tc>
          <w:tcPr>
            <w:tcW w:type="dxa" w:w="1520"/>
            <w:vAlign w:val="center"/>
          </w:tcPr>
          <w:p>
            <w:r/>
            <w:r>
              <w:rPr>
                <w:rFonts w:ascii="宋体" w:hAnsi="宋体" w:eastAsia="宋体"/>
                <w:b w:val="0"/>
                <w:sz w:val="18"/>
              </w:rPr>
              <w:t>✓</w:t>
            </w:r>
          </w:p>
        </w:tc>
        <w:tc>
          <w:tcPr>
            <w:tcW w:type="dxa" w:w="1520"/>
            <w:vAlign w:val="center"/>
          </w:tcPr>
          <w:p>
            <w:r/>
            <w:r>
              <w:rPr>
                <w:rFonts w:ascii="宋体" w:hAnsi="宋体" w:eastAsia="宋体"/>
                <w:b w:val="0"/>
                <w:sz w:val="18"/>
              </w:rPr>
              <w:t>74.847</w:t>
            </w:r>
          </w:p>
        </w:tc>
        <w:tc>
          <w:tcPr>
            <w:tcW w:type="dxa" w:w="1520"/>
            <w:vAlign w:val="center"/>
          </w:tcPr>
          <w:p>
            <w:r/>
            <w:r>
              <w:rPr>
                <w:rFonts w:ascii="宋体" w:hAnsi="宋体" w:eastAsia="宋体"/>
                <w:b w:val="0"/>
                <w:sz w:val="18"/>
              </w:rPr>
              <w:t>82.943</w:t>
            </w:r>
          </w:p>
        </w:tc>
        <w:tc>
          <w:tcPr>
            <w:tcW w:type="dxa" w:w="1520"/>
            <w:vAlign w:val="center"/>
          </w:tcPr>
          <w:p>
            <w:r/>
            <w:r>
              <w:rPr>
                <w:rFonts w:ascii="宋体" w:hAnsi="宋体" w:eastAsia="宋体"/>
                <w:b w:val="0"/>
                <w:sz w:val="18"/>
              </w:rPr>
              <w:t>+2.402</w:t>
            </w:r>
          </w:p>
        </w:tc>
      </w:tr>
    </w:tbl>
    <w:p/>
    <w:p>
      <w:pPr>
        <w:ind w:firstLine="420"/>
      </w:pPr>
      <w:r>
        <w:rPr>
          <w:rFonts w:ascii="宋体" w:hAnsi="宋体" w:eastAsia="宋体"/>
        </w:rPr>
        <w:t>图 3-1 和表 3-1 表明，两项指标均满足 $U&lt;U+A$、$U&lt;U+B$ 且 $U+A+B$ 最优。A 的增益说明多挑战路由能够改善固定卷积路径；B 的增益更大，说明瓶颈语义关系是当前数据上的主要矛盾。将 A 加入 UB 后，IoU 继续提高 0.655 个百分点，Dice 提高 0.406 个百分点，证明局部挑战适配与全局关系传播具有互补性。</w:t>
      </w:r>
    </w:p>
    <w:p>
      <w:pPr>
        <w:jc w:val="center"/>
      </w:pPr>
      <w:r>
        <w:drawing>
          <wp:inline xmlns:a="http://schemas.openxmlformats.org/drawingml/2006/main" xmlns:pic="http://schemas.openxmlformats.org/drawingml/2006/picture">
            <wp:extent cx="5400000" cy="1972792"/>
            <wp:docPr id="3" name="Picture 3"/>
            <wp:cNvGraphicFramePr>
              <a:graphicFrameLocks noChangeAspect="1"/>
            </wp:cNvGraphicFramePr>
            <a:graphic>
              <a:graphicData uri="http://schemas.openxmlformats.org/drawingml/2006/picture">
                <pic:pic>
                  <pic:nvPicPr>
                    <pic:cNvPr id="0" name="fig03_chapter1_curves.png"/>
                    <pic:cNvPicPr/>
                  </pic:nvPicPr>
                  <pic:blipFill>
                    <a:blip r:embed="rId12"/>
                    <a:stretch>
                      <a:fillRect/>
                    </a:stretch>
                  </pic:blipFill>
                  <pic:spPr>
                    <a:xfrm>
                      <a:off x="0" y="0"/>
                      <a:ext cx="5400000" cy="1972792"/>
                    </a:xfrm>
                    <a:prstGeom prst="rect"/>
                  </pic:spPr>
                </pic:pic>
              </a:graphicData>
            </a:graphic>
          </wp:inline>
        </w:drawing>
      </w:r>
    </w:p>
    <w:p>
      <w:pPr>
        <w:jc w:val="center"/>
      </w:pPr>
      <w:r>
        <w:rPr>
          <w:rFonts w:ascii="宋体" w:hAnsi="宋体" w:eastAsia="宋体"/>
          <w:sz w:val="18"/>
        </w:rPr>
        <w:t>第一章验证曲线</w:t>
      </w:r>
    </w:p>
    <w:p>
      <w:pPr>
        <w:ind w:firstLine="420"/>
      </w:pPr>
      <w:r>
        <w:rPr>
          <w:rFonts w:ascii="宋体" w:hAnsi="宋体" w:eastAsia="宋体"/>
        </w:rPr>
        <w:t>从训练曲线看，UA 在中后期出现较明显波动，最佳轮次为 33；UB 在第 45 轮达到最佳；UAB 在第 41 轮达到峰值。零初始化保证前几轮没有结构性崩溃，但 BUSI 验证集规模有限，单轮波动仍可达到约 1 个百分点，因此必须依靠预先固定的选模规则而不是人工选择展示轮次。</w:t>
      </w:r>
    </w:p>
    <w:p>
      <w:pPr>
        <w:pStyle w:val="Heading2"/>
        <w:ind w:firstLine="0"/>
      </w:pPr>
      <w:r>
        <w:t>3.5 配对统计分析</w:t>
      </w:r>
    </w:p>
    <w:p>
      <w:pPr>
        <w:ind w:firstLine="420"/>
      </w:pPr>
      <w:r>
        <w:rPr>
          <w:rFonts w:ascii="宋体" w:hAnsi="宋体" w:eastAsia="宋体"/>
        </w:rPr>
        <w:t>UA 相对 U 的平均逐病例 IoU 增益为 1.177 个百分点，Bootstrap 95% 置信区间为 [-0.111, 2.509]；100 例提高、93 例下降。UB 相对 U 的增益为 1.748 个百分点，置信区间为 [0.615, 2.994]，103 例提高、89 例下降。UAB 相对 UB 的增益为 0.655 个百分点，置信区间为 [-0.064, 1.502]，99 例提高、93 例下降。</w:t>
      </w:r>
    </w:p>
    <w:p>
      <w:pPr>
        <w:ind w:firstLine="420"/>
      </w:pPr>
      <w:r>
        <w:rPr>
          <w:rFonts w:ascii="宋体" w:hAnsi="宋体" w:eastAsia="宋体"/>
        </w:rPr>
        <w:t>结果说明 B 的独立增益具有更稳定的病例覆盖，A 的贡献更依赖病例类型；A 加入 B 后总体均值达到本章最高，但单病例增益区间仍跨零。种子 7、73 的完整复现实验同样得到 UAB 为本章最优；三个种子达到最低复核规模，但仍共享同一固定划分，因此“对总体病例分布稳定有效”的结论仍需五种子复核和患者级独立划分支持。</w:t>
      </w:r>
    </w:p>
    <w:p>
      <w:pPr>
        <w:pStyle w:val="Heading2"/>
        <w:ind w:firstLine="0"/>
      </w:pPr>
      <w:r>
        <w:t>3.6 本章小结</w:t>
      </w:r>
    </w:p>
    <w:p>
      <w:pPr>
        <w:ind w:firstLine="420"/>
      </w:pPr>
      <w:r>
        <w:rPr>
          <w:rFonts w:ascii="宋体" w:hAnsi="宋体" w:eastAsia="宋体"/>
        </w:rPr>
        <w:t>本章建立了 A 与 B 的逻辑链。A 负责根据局部困难类型组织特征，B 负责将局部证据整合为全局一致语义。统一实验得到 UAB 最优，并将其命名为 UnetAB，作为下一章唯一固定起点。</w:t>
      </w:r>
    </w:p>
    <w:p>
      <w:pPr>
        <w:pStyle w:val="Heading1"/>
        <w:ind w:firstLine="0"/>
      </w:pPr>
      <w:r>
        <w:t>第4章 边界—不确定性闭环细化</w:t>
      </w:r>
    </w:p>
    <w:p>
      <w:pPr>
        <w:pStyle w:val="Heading2"/>
        <w:ind w:firstLine="0"/>
      </w:pPr>
      <w:r>
        <w:t>4.1 本章研究动机</w:t>
      </w:r>
    </w:p>
    <w:p>
      <w:pPr>
        <w:ind w:firstLine="420"/>
      </w:pPr>
      <w:r>
        <w:rPr>
          <w:rFonts w:ascii="宋体" w:hAnsi="宋体" w:eastAsia="宋体"/>
        </w:rPr>
        <w:t>UnetAB 改善了病灶语义定位，但区域监督无法充分描述轮廓的方向与距离。模糊边界附近的少量像素偏移可能对小病灶 IoU 产生较大影响。进一步地，边界修正后仍会存在孤立误分和局部漏分，其修正方向不同。本章先由 C 将离散区域转换为边界与距离几何，再由 D 根据不确定性执行双向纠错。</w:t>
      </w:r>
    </w:p>
    <w:p>
      <w:pPr>
        <w:pStyle w:val="Heading2"/>
        <w:ind w:firstLine="0"/>
      </w:pPr>
      <w:r>
        <w:t>4.2 模块 C：BD-CoRefine</w:t>
      </w:r>
    </w:p>
    <w:p>
      <w:pPr>
        <w:pStyle w:val="Heading3"/>
        <w:ind w:firstLine="0"/>
      </w:pPr>
      <w:r>
        <w:t>4.2.1 边界目标</w:t>
      </w:r>
    </w:p>
    <w:p>
      <w:pPr>
        <w:ind w:firstLine="420"/>
      </w:pPr>
      <w:r>
        <w:rPr>
          <w:rFonts w:ascii="宋体" w:hAnsi="宋体" w:eastAsia="宋体"/>
        </w:rPr>
        <w:t>真实边界由膨胀与腐蚀之差得到：</w:t>
      </w:r>
    </w:p>
    <w:p>
      <w:pPr>
        <w:ind w:firstLine="420"/>
      </w:pPr>
      <w:r>
        <w:rPr>
          <w:rFonts w:ascii="宋体" w:hAnsi="宋体" w:eastAsia="宋体"/>
        </w:rPr>
        <w:t>$$Y_b=\operatorname{Dilate}(Y)-\operatorname{Erode}(Y).$$</w:t>
      </w:r>
    </w:p>
    <w:p>
      <w:pPr>
        <w:ind w:firstLine="420"/>
      </w:pPr>
      <w:r>
        <w:rPr>
          <w:rFonts w:ascii="宋体" w:hAnsi="宋体" w:eastAsia="宋体"/>
        </w:rPr>
        <w:t>边界 BCE 对真实边界像素赋予更高权重，并利用粗分割熵进一步强调模糊区域。</w:t>
      </w:r>
    </w:p>
    <w:p>
      <w:pPr>
        <w:pStyle w:val="Heading3"/>
        <w:ind w:firstLine="0"/>
      </w:pPr>
      <w:r>
        <w:t>4.2.2 有符号距离场</w:t>
      </w:r>
    </w:p>
    <w:p>
      <w:pPr>
        <w:ind w:firstLine="420"/>
      </w:pPr>
      <w:r>
        <w:rPr>
          <w:rFonts w:ascii="宋体" w:hAnsi="宋体" w:eastAsia="宋体"/>
        </w:rPr>
        <w:t>定义归一化有符号距离：</w:t>
      </w:r>
    </w:p>
    <w:p>
      <w:pPr>
        <w:ind w:firstLine="420"/>
      </w:pPr>
      <w:r>
        <w:rPr>
          <w:rFonts w:ascii="宋体" w:hAnsi="宋体" w:eastAsia="宋体"/>
        </w:rPr>
        <w:t>$$Y_d(p)=\frac{d(p,\partial Y)}{\max_q|d(q,\partial Y)|}\begin{cases}+1,&amp;p\in Y\\-1,&amp;p\notin Y.\end{cases}$$</w:t>
      </w:r>
    </w:p>
    <w:p>
      <w:pPr>
        <w:ind w:firstLine="420"/>
      </w:pPr>
      <w:r>
        <w:rPr>
          <w:rFonts w:ascii="宋体" w:hAnsi="宋体" w:eastAsia="宋体"/>
        </w:rPr>
        <w:t>距离分支使用 Smooth L1 损失，使网络获得病灶内外方向和到边界的连续几何信息。</w:t>
      </w:r>
    </w:p>
    <w:p>
      <w:pPr>
        <w:pStyle w:val="Heading3"/>
        <w:ind w:firstLine="0"/>
      </w:pPr>
      <w:r>
        <w:t>4.2.3 几何残差</w:t>
      </w:r>
    </w:p>
    <w:p>
      <w:pPr>
        <w:ind w:firstLine="420"/>
      </w:pPr>
      <w:r>
        <w:rPr>
          <w:rFonts w:ascii="宋体" w:hAnsi="宋体" w:eastAsia="宋体"/>
        </w:rPr>
        <w:t>将解码特征、边界概率和距离预测拼接后生成修正量：</w:t>
      </w:r>
    </w:p>
    <w:p>
      <w:pPr>
        <w:ind w:firstLine="420"/>
      </w:pPr>
      <w:r>
        <w:rPr>
          <w:rFonts w:ascii="宋体" w:hAnsi="宋体" w:eastAsia="宋体"/>
        </w:rPr>
        <w:t>$$Z_C=Z_{AB}+\sigma(s_C)h_C([D_0,\sigma(B),S]).$$</w:t>
      </w:r>
    </w:p>
    <w:p>
      <w:pPr>
        <w:ind w:firstLine="420"/>
      </w:pPr>
      <w:r>
        <w:rPr>
          <w:rFonts w:ascii="宋体" w:hAnsi="宋体" w:eastAsia="宋体"/>
        </w:rPr>
        <w:t>$h_C$ 的输出层零初始化，因此 UABC 的初始分割与 UnetAB 完全一致。</w:t>
      </w:r>
    </w:p>
    <w:p>
      <w:pPr>
        <w:pStyle w:val="Heading2"/>
        <w:ind w:firstLine="0"/>
      </w:pPr>
      <w:r>
        <w:t>4.3 模块 D：UDER</w:t>
      </w:r>
    </w:p>
    <w:p>
      <w:pPr>
        <w:pStyle w:val="Heading3"/>
        <w:ind w:firstLine="0"/>
      </w:pPr>
      <w:r>
        <w:t>4.3.1 不确定性估计</w:t>
      </w:r>
    </w:p>
    <w:p>
      <w:pPr>
        <w:ind w:firstLine="420"/>
      </w:pPr>
      <w:r>
        <w:rPr>
          <w:rFonts w:ascii="宋体" w:hAnsi="宋体" w:eastAsia="宋体"/>
        </w:rPr>
        <w:t>粗分割熵为：</w:t>
      </w:r>
    </w:p>
    <w:p>
      <w:pPr>
        <w:ind w:firstLine="420"/>
      </w:pPr>
      <w:r>
        <w:rPr>
          <w:rFonts w:ascii="宋体" w:hAnsi="宋体" w:eastAsia="宋体"/>
        </w:rPr>
        <w:t>$$H(P)=-P\log P-(1-P)\log(1-P).$$</w:t>
      </w:r>
    </w:p>
    <w:p>
      <w:pPr>
        <w:ind w:firstLine="420"/>
      </w:pPr>
      <w:r>
        <w:rPr>
          <w:rFonts w:ascii="宋体" w:hAnsi="宋体" w:eastAsia="宋体"/>
        </w:rPr>
        <w:t>将主输出与多尺度辅助输出上采样后计算标准差 $V(P)$，最终不确定性为：</w:t>
      </w:r>
    </w:p>
    <w:p>
      <w:pPr>
        <w:ind w:firstLine="420"/>
      </w:pPr>
      <w:r>
        <w:rPr>
          <w:rFonts w:ascii="宋体" w:hAnsi="宋体" w:eastAsia="宋体"/>
        </w:rPr>
        <w:t>$$U=\operatorname{clip}(0.7H(P)+0.3V(P),0,1).$$</w:t>
      </w:r>
    </w:p>
    <w:p>
      <w:pPr>
        <w:ind w:firstLine="420"/>
      </w:pPr>
      <w:r>
        <w:rPr>
          <w:rFonts w:ascii="宋体" w:hAnsi="宋体" w:eastAsia="宋体"/>
        </w:rPr>
        <w:t>熵反映单输出置信度，尺度分歧反映不同语义层级之间的不一致，两者具有互补性。</w:t>
      </w:r>
    </w:p>
    <w:p>
      <w:pPr>
        <w:pStyle w:val="Heading3"/>
        <w:ind w:firstLine="0"/>
      </w:pPr>
      <w:r>
        <w:t>4.3.2 双误差修正</w:t>
      </w:r>
    </w:p>
    <w:p>
      <w:pPr>
        <w:ind w:firstLine="420"/>
      </w:pPr>
      <w:r>
        <w:rPr>
          <w:rFonts w:ascii="宋体" w:hAnsi="宋体" w:eastAsia="宋体"/>
        </w:rPr>
        <w:t>UDER 预测假阴性响应 $R_{FN}$ 和假阳性响应 $R_{FP}$：</w:t>
      </w:r>
    </w:p>
    <w:p>
      <w:pPr>
        <w:ind w:firstLine="420"/>
      </w:pPr>
      <w:r>
        <w:rPr>
          <w:rFonts w:ascii="宋体" w:hAnsi="宋体" w:eastAsia="宋体"/>
        </w:rPr>
        <w:t>$$Z_D=Z_C+\eta U\left(\sigma(R_{FN})-\sigma(R_{FP})\right).$$</w:t>
      </w:r>
    </w:p>
    <w:p>
      <w:pPr>
        <w:ind w:firstLine="420"/>
      </w:pPr>
      <w:r>
        <w:rPr>
          <w:rFonts w:ascii="宋体" w:hAnsi="宋体" w:eastAsia="宋体"/>
        </w:rPr>
        <w:t>其中 $R_{FN}$ 对应需要补充的病灶证据，$R_{FP}$ 对应需要删除的错误前景。两个输出头均零初始化，使初始差值为零。</w:t>
      </w:r>
    </w:p>
    <w:p>
      <w:pPr>
        <w:pStyle w:val="Heading2"/>
        <w:ind w:firstLine="0"/>
      </w:pPr>
      <w:r>
        <w:t>4.4 第二章实验结果</w:t>
      </w:r>
    </w:p>
    <w:p>
      <w:pPr>
        <w:jc w:val="center"/>
      </w:pPr>
      <w:r>
        <w:drawing>
          <wp:inline xmlns:a="http://schemas.openxmlformats.org/drawingml/2006/main" xmlns:pic="http://schemas.openxmlformats.org/drawingml/2006/picture">
            <wp:extent cx="5400000" cy="3133333"/>
            <wp:docPr id="4" name="Picture 4"/>
            <wp:cNvGraphicFramePr>
              <a:graphicFrameLocks noChangeAspect="1"/>
            </wp:cNvGraphicFramePr>
            <a:graphic>
              <a:graphicData uri="http://schemas.openxmlformats.org/drawingml/2006/picture">
                <pic:pic>
                  <pic:nvPicPr>
                    <pic:cNvPr id="0" name="fig04_chapter2_ablation.png"/>
                    <pic:cNvPicPr/>
                  </pic:nvPicPr>
                  <pic:blipFill>
                    <a:blip r:embed="rId13"/>
                    <a:stretch>
                      <a:fillRect/>
                    </a:stretch>
                  </pic:blipFill>
                  <pic:spPr>
                    <a:xfrm>
                      <a:off x="0" y="0"/>
                      <a:ext cx="5400000" cy="3133333"/>
                    </a:xfrm>
                    <a:prstGeom prst="rect"/>
                  </pic:spPr>
                </pic:pic>
              </a:graphicData>
            </a:graphic>
          </wp:inline>
        </w:drawing>
      </w:r>
    </w:p>
    <w:p>
      <w:pPr>
        <w:jc w:val="center"/>
      </w:pPr>
      <w:r>
        <w:rPr>
          <w:rFonts w:ascii="宋体" w:hAnsi="宋体" w:eastAsia="宋体"/>
          <w:sz w:val="18"/>
        </w:rPr>
        <w:t>第二章递进结果</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1520"/>
            <w:vAlign w:val="center"/>
          </w:tcPr>
          <w:p>
            <w:r/>
            <w:r>
              <w:rPr>
                <w:rFonts w:ascii="宋体" w:hAnsi="宋体" w:eastAsia="宋体"/>
                <w:b/>
                <w:sz w:val="18"/>
              </w:rPr>
              <w:t>模型</w:t>
            </w:r>
          </w:p>
        </w:tc>
        <w:tc>
          <w:tcPr>
            <w:tcW w:type="dxa" w:w="1520"/>
            <w:vAlign w:val="center"/>
          </w:tcPr>
          <w:p>
            <w:r/>
            <w:r>
              <w:rPr>
                <w:rFonts w:ascii="宋体" w:hAnsi="宋体" w:eastAsia="宋体"/>
                <w:b/>
                <w:sz w:val="18"/>
              </w:rPr>
              <w:t>C</w:t>
            </w:r>
          </w:p>
        </w:tc>
        <w:tc>
          <w:tcPr>
            <w:tcW w:type="dxa" w:w="1520"/>
            <w:vAlign w:val="center"/>
          </w:tcPr>
          <w:p>
            <w:r/>
            <w:r>
              <w:rPr>
                <w:rFonts w:ascii="宋体" w:hAnsi="宋体" w:eastAsia="宋体"/>
                <w:b/>
                <w:sz w:val="18"/>
              </w:rPr>
              <w:t>D</w:t>
            </w:r>
          </w:p>
        </w:tc>
        <w:tc>
          <w:tcPr>
            <w:tcW w:type="dxa" w:w="1520"/>
            <w:vAlign w:val="center"/>
          </w:tcPr>
          <w:p>
            <w:r/>
            <w:r>
              <w:rPr>
                <w:rFonts w:ascii="宋体" w:hAnsi="宋体" w:eastAsia="宋体"/>
                <w:b/>
                <w:sz w:val="18"/>
              </w:rPr>
              <w:t>IoU/%</w:t>
            </w:r>
          </w:p>
        </w:tc>
        <w:tc>
          <w:tcPr>
            <w:tcW w:type="dxa" w:w="1520"/>
            <w:vAlign w:val="center"/>
          </w:tcPr>
          <w:p>
            <w:r/>
            <w:r>
              <w:rPr>
                <w:rFonts w:ascii="宋体" w:hAnsi="宋体" w:eastAsia="宋体"/>
                <w:b/>
                <w:sz w:val="18"/>
              </w:rPr>
              <w:t>Dice/%</w:t>
            </w:r>
          </w:p>
        </w:tc>
        <w:tc>
          <w:tcPr>
            <w:tcW w:type="dxa" w:w="1520"/>
            <w:vAlign w:val="center"/>
          </w:tcPr>
          <w:p>
            <w:r/>
            <w:r>
              <w:rPr>
                <w:rFonts w:ascii="宋体" w:hAnsi="宋体" w:eastAsia="宋体"/>
                <w:b/>
                <w:sz w:val="18"/>
              </w:rPr>
              <w:t>相对前级 IoU 增益/百分点</w:t>
            </w:r>
          </w:p>
        </w:tc>
      </w:tr>
      <w:tr>
        <w:tc>
          <w:tcPr>
            <w:tcW w:type="dxa" w:w="1520"/>
            <w:vAlign w:val="center"/>
          </w:tcPr>
          <w:p>
            <w:r/>
            <w:r>
              <w:rPr>
                <w:rFonts w:ascii="宋体" w:hAnsi="宋体" w:eastAsia="宋体"/>
                <w:b w:val="0"/>
                <w:sz w:val="18"/>
              </w:rPr>
              <w:t>UnetAB</w:t>
            </w:r>
          </w:p>
        </w:tc>
        <w:tc>
          <w:tcPr>
            <w:tcW w:type="dxa" w:w="1520"/>
            <w:vAlign w:val="center"/>
          </w:tcPr>
          <w:p>
            <w:r/>
            <w:r>
              <w:rPr>
                <w:rFonts w:ascii="宋体" w:hAnsi="宋体" w:eastAsia="宋体"/>
                <w:b w:val="0"/>
                <w:sz w:val="18"/>
              </w:rPr>
            </w:r>
          </w:p>
        </w:tc>
        <w:tc>
          <w:tcPr>
            <w:tcW w:type="dxa" w:w="1520"/>
            <w:vAlign w:val="center"/>
          </w:tcPr>
          <w:p>
            <w:r/>
            <w:r>
              <w:rPr>
                <w:rFonts w:ascii="宋体" w:hAnsi="宋体" w:eastAsia="宋体"/>
                <w:b w:val="0"/>
                <w:sz w:val="18"/>
              </w:rPr>
            </w:r>
          </w:p>
        </w:tc>
        <w:tc>
          <w:tcPr>
            <w:tcW w:type="dxa" w:w="1520"/>
            <w:vAlign w:val="center"/>
          </w:tcPr>
          <w:p>
            <w:r/>
            <w:r>
              <w:rPr>
                <w:rFonts w:ascii="宋体" w:hAnsi="宋体" w:eastAsia="宋体"/>
                <w:b w:val="0"/>
                <w:sz w:val="18"/>
              </w:rPr>
              <w:t>74.847</w:t>
            </w:r>
          </w:p>
        </w:tc>
        <w:tc>
          <w:tcPr>
            <w:tcW w:type="dxa" w:w="1520"/>
            <w:vAlign w:val="center"/>
          </w:tcPr>
          <w:p>
            <w:r/>
            <w:r>
              <w:rPr>
                <w:rFonts w:ascii="宋体" w:hAnsi="宋体" w:eastAsia="宋体"/>
                <w:b w:val="0"/>
                <w:sz w:val="18"/>
              </w:rPr>
              <w:t>82.943</w:t>
            </w:r>
          </w:p>
        </w:tc>
        <w:tc>
          <w:tcPr>
            <w:tcW w:type="dxa" w:w="1520"/>
            <w:vAlign w:val="center"/>
          </w:tcPr>
          <w:p>
            <w:r/>
            <w:r>
              <w:rPr>
                <w:rFonts w:ascii="宋体" w:hAnsi="宋体" w:eastAsia="宋体"/>
                <w:b w:val="0"/>
                <w:sz w:val="18"/>
              </w:rPr>
              <w:t>—</w:t>
            </w:r>
          </w:p>
        </w:tc>
      </w:tr>
      <w:tr>
        <w:tc>
          <w:tcPr>
            <w:tcW w:type="dxa" w:w="1520"/>
            <w:vAlign w:val="center"/>
          </w:tcPr>
          <w:p>
            <w:r/>
            <w:r>
              <w:rPr>
                <w:rFonts w:ascii="宋体" w:hAnsi="宋体" w:eastAsia="宋体"/>
                <w:b w:val="0"/>
                <w:sz w:val="18"/>
              </w:rPr>
              <w:t>UnetAB+C</w:t>
            </w:r>
          </w:p>
        </w:tc>
        <w:tc>
          <w:tcPr>
            <w:tcW w:type="dxa" w:w="1520"/>
            <w:vAlign w:val="center"/>
          </w:tcPr>
          <w:p>
            <w:r/>
            <w:r>
              <w:rPr>
                <w:rFonts w:ascii="宋体" w:hAnsi="宋体" w:eastAsia="宋体"/>
                <w:b w:val="0"/>
                <w:sz w:val="18"/>
              </w:rPr>
              <w:t>✓</w:t>
            </w:r>
          </w:p>
        </w:tc>
        <w:tc>
          <w:tcPr>
            <w:tcW w:type="dxa" w:w="1520"/>
            <w:vAlign w:val="center"/>
          </w:tcPr>
          <w:p>
            <w:r/>
            <w:r>
              <w:rPr>
                <w:rFonts w:ascii="宋体" w:hAnsi="宋体" w:eastAsia="宋体"/>
                <w:b w:val="0"/>
                <w:sz w:val="18"/>
              </w:rPr>
            </w:r>
          </w:p>
        </w:tc>
        <w:tc>
          <w:tcPr>
            <w:tcW w:type="dxa" w:w="1520"/>
            <w:vAlign w:val="center"/>
          </w:tcPr>
          <w:p>
            <w:r/>
            <w:r>
              <w:rPr>
                <w:rFonts w:ascii="宋体" w:hAnsi="宋体" w:eastAsia="宋体"/>
                <w:b w:val="0"/>
                <w:sz w:val="18"/>
              </w:rPr>
              <w:t>74.932</w:t>
            </w:r>
          </w:p>
        </w:tc>
        <w:tc>
          <w:tcPr>
            <w:tcW w:type="dxa" w:w="1520"/>
            <w:vAlign w:val="center"/>
          </w:tcPr>
          <w:p>
            <w:r/>
            <w:r>
              <w:rPr>
                <w:rFonts w:ascii="宋体" w:hAnsi="宋体" w:eastAsia="宋体"/>
                <w:b w:val="0"/>
                <w:sz w:val="18"/>
              </w:rPr>
              <w:t>83.022</w:t>
            </w:r>
          </w:p>
        </w:tc>
        <w:tc>
          <w:tcPr>
            <w:tcW w:type="dxa" w:w="1520"/>
            <w:vAlign w:val="center"/>
          </w:tcPr>
          <w:p>
            <w:r/>
            <w:r>
              <w:rPr>
                <w:rFonts w:ascii="宋体" w:hAnsi="宋体" w:eastAsia="宋体"/>
                <w:b w:val="0"/>
                <w:sz w:val="18"/>
              </w:rPr>
              <w:t>+0.085</w:t>
            </w:r>
          </w:p>
        </w:tc>
      </w:tr>
      <w:tr>
        <w:tc>
          <w:tcPr>
            <w:tcW w:type="dxa" w:w="1520"/>
            <w:vAlign w:val="center"/>
          </w:tcPr>
          <w:p>
            <w:r/>
            <w:r>
              <w:rPr>
                <w:rFonts w:ascii="宋体" w:hAnsi="宋体" w:eastAsia="宋体"/>
                <w:b w:val="0"/>
                <w:sz w:val="18"/>
              </w:rPr>
              <w:t>UnetAB+C+D</w:t>
            </w:r>
          </w:p>
        </w:tc>
        <w:tc>
          <w:tcPr>
            <w:tcW w:type="dxa" w:w="1520"/>
            <w:vAlign w:val="center"/>
          </w:tcPr>
          <w:p>
            <w:r/>
            <w:r>
              <w:rPr>
                <w:rFonts w:ascii="宋体" w:hAnsi="宋体" w:eastAsia="宋体"/>
                <w:b w:val="0"/>
                <w:sz w:val="18"/>
              </w:rPr>
              <w:t>✓</w:t>
            </w:r>
          </w:p>
        </w:tc>
        <w:tc>
          <w:tcPr>
            <w:tcW w:type="dxa" w:w="1520"/>
            <w:vAlign w:val="center"/>
          </w:tcPr>
          <w:p>
            <w:r/>
            <w:r>
              <w:rPr>
                <w:rFonts w:ascii="宋体" w:hAnsi="宋体" w:eastAsia="宋体"/>
                <w:b w:val="0"/>
                <w:sz w:val="18"/>
              </w:rPr>
              <w:t>✓</w:t>
            </w:r>
          </w:p>
        </w:tc>
        <w:tc>
          <w:tcPr>
            <w:tcW w:type="dxa" w:w="1520"/>
            <w:vAlign w:val="center"/>
          </w:tcPr>
          <w:p>
            <w:r/>
            <w:r>
              <w:rPr>
                <w:rFonts w:ascii="宋体" w:hAnsi="宋体" w:eastAsia="宋体"/>
                <w:b w:val="0"/>
                <w:sz w:val="18"/>
              </w:rPr>
              <w:t>75.115</w:t>
            </w:r>
          </w:p>
        </w:tc>
        <w:tc>
          <w:tcPr>
            <w:tcW w:type="dxa" w:w="1520"/>
            <w:vAlign w:val="center"/>
          </w:tcPr>
          <w:p>
            <w:r/>
            <w:r>
              <w:rPr>
                <w:rFonts w:ascii="宋体" w:hAnsi="宋体" w:eastAsia="宋体"/>
                <w:b w:val="0"/>
                <w:sz w:val="18"/>
              </w:rPr>
              <w:t>83.480</w:t>
            </w:r>
          </w:p>
        </w:tc>
        <w:tc>
          <w:tcPr>
            <w:tcW w:type="dxa" w:w="1520"/>
            <w:vAlign w:val="center"/>
          </w:tcPr>
          <w:p>
            <w:r/>
            <w:r>
              <w:rPr>
                <w:rFonts w:ascii="宋体" w:hAnsi="宋体" w:eastAsia="宋体"/>
                <w:b w:val="0"/>
                <w:sz w:val="18"/>
              </w:rPr>
              <w:t>+0.183</w:t>
            </w:r>
          </w:p>
        </w:tc>
      </w:tr>
    </w:tbl>
    <w:p/>
    <w:p>
      <w:pPr>
        <w:ind w:firstLine="420"/>
      </w:pPr>
      <w:r>
        <w:rPr>
          <w:rFonts w:ascii="宋体" w:hAnsi="宋体" w:eastAsia="宋体"/>
        </w:rPr>
        <w:t>结果满足 $UnetAB&lt;UnetAB+C&lt;UnetAB+C+D$，最终模型在 IoU 和 Dice 上均为第二章最优。C 带来的平均增益较小，表明 UnetAB 已完成主要区域定位，C 主要对边界像素进行微调。D 的 Dice 增益大于 IoU 增益，说明其对预测区域整体重合程度具有更明显影响。</w:t>
      </w:r>
    </w:p>
    <w:p>
      <w:pPr>
        <w:jc w:val="center"/>
      </w:pPr>
      <w:r>
        <w:drawing>
          <wp:inline xmlns:a="http://schemas.openxmlformats.org/drawingml/2006/main" xmlns:pic="http://schemas.openxmlformats.org/drawingml/2006/picture">
            <wp:extent cx="5400000" cy="1972792"/>
            <wp:docPr id="5" name="Picture 5"/>
            <wp:cNvGraphicFramePr>
              <a:graphicFrameLocks noChangeAspect="1"/>
            </wp:cNvGraphicFramePr>
            <a:graphic>
              <a:graphicData uri="http://schemas.openxmlformats.org/drawingml/2006/picture">
                <pic:pic>
                  <pic:nvPicPr>
                    <pic:cNvPr id="0" name="fig05_chapter2_curves.png"/>
                    <pic:cNvPicPr/>
                  </pic:nvPicPr>
                  <pic:blipFill>
                    <a:blip r:embed="rId14"/>
                    <a:stretch>
                      <a:fillRect/>
                    </a:stretch>
                  </pic:blipFill>
                  <pic:spPr>
                    <a:xfrm>
                      <a:off x="0" y="0"/>
                      <a:ext cx="5400000" cy="1972792"/>
                    </a:xfrm>
                    <a:prstGeom prst="rect"/>
                  </pic:spPr>
                </pic:pic>
              </a:graphicData>
            </a:graphic>
          </wp:inline>
        </w:drawing>
      </w:r>
    </w:p>
    <w:p>
      <w:pPr>
        <w:jc w:val="center"/>
      </w:pPr>
      <w:r>
        <w:rPr>
          <w:rFonts w:ascii="宋体" w:hAnsi="宋体" w:eastAsia="宋体"/>
          <w:sz w:val="18"/>
        </w:rPr>
        <w:t>第二章验证曲线</w:t>
      </w:r>
    </w:p>
    <w:p>
      <w:pPr>
        <w:ind w:firstLine="420"/>
      </w:pPr>
      <w:r>
        <w:rPr>
          <w:rFonts w:ascii="宋体" w:hAnsi="宋体" w:eastAsia="宋体"/>
        </w:rPr>
        <w:t>UABC 在第 37 轮达到最佳，UABCD 在第 8 轮达到最佳。D 的最优点出现较早，随后验证性能下降，说明误差纠正分支学习速度快于基础语义网络，且继续联合优化可能过拟合少数不确定区域。后续可采用阶段冻结、更小的 D 学习率或基于验证耐心的预注册早停策略。</w:t>
      </w:r>
    </w:p>
    <w:p>
      <w:pPr>
        <w:pStyle w:val="Heading2"/>
        <w:ind w:firstLine="0"/>
      </w:pPr>
      <w:r>
        <w:t>4.5 逐病例增益与统计解释</w:t>
      </w:r>
    </w:p>
    <w:p>
      <w:pPr>
        <w:jc w:val="center"/>
      </w:pPr>
      <w:r>
        <w:drawing>
          <wp:inline xmlns:a="http://schemas.openxmlformats.org/drawingml/2006/main" xmlns:pic="http://schemas.openxmlformats.org/drawingml/2006/picture">
            <wp:extent cx="5400000" cy="2132773"/>
            <wp:docPr id="6" name="Picture 6"/>
            <wp:cNvGraphicFramePr>
              <a:graphicFrameLocks noChangeAspect="1"/>
            </wp:cNvGraphicFramePr>
            <a:graphic>
              <a:graphicData uri="http://schemas.openxmlformats.org/drawingml/2006/picture">
                <pic:pic>
                  <pic:nvPicPr>
                    <pic:cNvPr id="0" name="fig06_case_distribution.png"/>
                    <pic:cNvPicPr/>
                  </pic:nvPicPr>
                  <pic:blipFill>
                    <a:blip r:embed="rId15"/>
                    <a:stretch>
                      <a:fillRect/>
                    </a:stretch>
                  </pic:blipFill>
                  <pic:spPr>
                    <a:xfrm>
                      <a:off x="0" y="0"/>
                      <a:ext cx="5400000" cy="2132773"/>
                    </a:xfrm>
                    <a:prstGeom prst="rect"/>
                  </pic:spPr>
                </pic:pic>
              </a:graphicData>
            </a:graphic>
          </wp:inline>
        </w:drawing>
      </w:r>
    </w:p>
    <w:p>
      <w:pPr>
        <w:jc w:val="center"/>
      </w:pPr>
      <w:r>
        <w:rPr>
          <w:rFonts w:ascii="宋体" w:hAnsi="宋体" w:eastAsia="宋体"/>
          <w:sz w:val="18"/>
        </w:rPr>
        <w:t>逐病例指标分布</w:t>
      </w:r>
    </w:p>
    <w:p>
      <w:pPr>
        <w:jc w:val="center"/>
      </w:pPr>
      <w:r>
        <w:drawing>
          <wp:inline xmlns:a="http://schemas.openxmlformats.org/drawingml/2006/main" xmlns:pic="http://schemas.openxmlformats.org/drawingml/2006/picture">
            <wp:extent cx="5400000" cy="2853689"/>
            <wp:docPr id="7" name="Picture 7"/>
            <wp:cNvGraphicFramePr>
              <a:graphicFrameLocks noChangeAspect="1"/>
            </wp:cNvGraphicFramePr>
            <a:graphic>
              <a:graphicData uri="http://schemas.openxmlformats.org/drawingml/2006/picture">
                <pic:pic>
                  <pic:nvPicPr>
                    <pic:cNvPr id="0" name="fig07_paired_module_delta.png"/>
                    <pic:cNvPicPr/>
                  </pic:nvPicPr>
                  <pic:blipFill>
                    <a:blip r:embed="rId16"/>
                    <a:stretch>
                      <a:fillRect/>
                    </a:stretch>
                  </pic:blipFill>
                  <pic:spPr>
                    <a:xfrm>
                      <a:off x="0" y="0"/>
                      <a:ext cx="5400000" cy="2853689"/>
                    </a:xfrm>
                    <a:prstGeom prst="rect"/>
                  </pic:spPr>
                </pic:pic>
              </a:graphicData>
            </a:graphic>
          </wp:inline>
        </w:drawing>
      </w:r>
    </w:p>
    <w:p>
      <w:pPr>
        <w:jc w:val="center"/>
      </w:pPr>
      <w:r>
        <w:rPr>
          <w:rFonts w:ascii="宋体" w:hAnsi="宋体" w:eastAsia="宋体"/>
          <w:sz w:val="18"/>
        </w:rPr>
        <w:t>模块配对增益分布</w:t>
      </w:r>
    </w:p>
    <w:p>
      <w:pPr>
        <w:ind w:firstLine="420"/>
      </w:pPr>
      <w:r>
        <w:rPr>
          <w:rFonts w:ascii="宋体" w:hAnsi="宋体" w:eastAsia="宋体"/>
        </w:rPr>
        <w:t>UABC 相对 UAB 的平均 IoU 增益为 0.085 个百分点，111 例改善、82 例下降；尽管均值置信区间跨零，其单侧 Wilcoxon 检验反映多数小幅正向变化。UABCD 相对 UABC 的平均 IoU 增益为 0.183 个百分点，但仅 85 例改善、108 例下降，单侧 Wilcoxon 检验不支持“多数病例提升”。这意味着 D 的均值收益主要由少数大幅修正病例贡献，而不是所有病例一致变好。</w:t>
      </w:r>
    </w:p>
    <w:p>
      <w:pPr>
        <w:ind w:firstLine="420"/>
      </w:pPr>
      <w:r>
        <w:rPr>
          <w:rFonts w:ascii="宋体" w:hAnsi="宋体" w:eastAsia="宋体"/>
        </w:rPr>
        <w:t>上述现象与 D 的设计目标一致：UDER 只在高不确定区域产生有效残差，对多数已经正确的病例应接近恒等映射；但当前实现仍会使部分病例轻度退化。论文据此将 D 的结论限定为“提高固定验证集平均点估计并满足递进排序”，不宣称其已获得稳定群体效应。</w:t>
      </w:r>
    </w:p>
    <w:p>
      <w:pPr>
        <w:pStyle w:val="Heading2"/>
        <w:ind w:firstLine="0"/>
      </w:pPr>
      <w:r>
        <w:t>4.6 定性结果</w:t>
      </w:r>
    </w:p>
    <w:p>
      <w:pPr>
        <w:jc w:val="center"/>
      </w:pPr>
      <w:r>
        <w:drawing>
          <wp:inline xmlns:a="http://schemas.openxmlformats.org/drawingml/2006/main" xmlns:pic="http://schemas.openxmlformats.org/drawingml/2006/picture">
            <wp:extent cx="5400000" cy="4147860"/>
            <wp:docPr id="8" name="Picture 8"/>
            <wp:cNvGraphicFramePr>
              <a:graphicFrameLocks noChangeAspect="1"/>
            </wp:cNvGraphicFramePr>
            <a:graphic>
              <a:graphicData uri="http://schemas.openxmlformats.org/drawingml/2006/picture">
                <pic:pic>
                  <pic:nvPicPr>
                    <pic:cNvPr id="0" name="fig08_qualitative_comparison.png"/>
                    <pic:cNvPicPr/>
                  </pic:nvPicPr>
                  <pic:blipFill>
                    <a:blip r:embed="rId17"/>
                    <a:stretch>
                      <a:fillRect/>
                    </a:stretch>
                  </pic:blipFill>
                  <pic:spPr>
                    <a:xfrm>
                      <a:off x="0" y="0"/>
                      <a:ext cx="5400000" cy="4147860"/>
                    </a:xfrm>
                    <a:prstGeom prst="rect"/>
                  </pic:spPr>
                </pic:pic>
              </a:graphicData>
            </a:graphic>
          </wp:inline>
        </w:drawing>
      </w:r>
    </w:p>
    <w:p>
      <w:pPr>
        <w:jc w:val="center"/>
      </w:pPr>
      <w:r>
        <w:rPr>
          <w:rFonts w:ascii="宋体" w:hAnsi="宋体" w:eastAsia="宋体"/>
          <w:sz w:val="18"/>
        </w:rPr>
        <w:t>典型病例分割对比</w:t>
      </w:r>
    </w:p>
    <w:p>
      <w:pPr>
        <w:ind w:firstLine="420"/>
      </w:pPr>
      <w:r>
        <w:rPr>
          <w:rFonts w:ascii="宋体" w:hAnsi="宋体" w:eastAsia="宋体"/>
        </w:rPr>
        <w:t>图 4-5 第一行病例中，基础 U-Net 在真实小病灶之外产生大面积远端假阳性，UnetAB 成功删除该区域，说明 A+B 对全局语义一致性的改善具有直观意义。第二行展示高质量稳定病例，四个阶段均能准确勾画低回声病灶，C+D 只进行轻微边界调整。第三行病例在所有模型中均完全漏检，反映当前框架对部分高回声、低对比或标注异常病例仍缺乏召回能力。第四行病例的 IoU 超过 95%，说明模型在边界清晰、形态规则病灶上已接近标注轮廓。</w:t>
      </w:r>
    </w:p>
    <w:p>
      <w:pPr>
        <w:pStyle w:val="Heading2"/>
        <w:ind w:firstLine="0"/>
      </w:pPr>
      <w:r>
        <w:t>4.7 本章小结</w:t>
      </w:r>
    </w:p>
    <w:p>
      <w:pPr>
        <w:ind w:firstLine="420"/>
      </w:pPr>
      <w:r>
        <w:rPr>
          <w:rFonts w:ascii="宋体" w:hAnsi="宋体" w:eastAsia="宋体"/>
        </w:rPr>
        <w:t>本章在固定 UnetAB 上依次加入 C 与 D，建立从区域语义、边界距离到不确定性纠错的闭环。两项指标均形成严格递增关系，UABCD 为最终模型。逐病例分析同时表明，C、D 的收益尚不稳定，后续工作应针对完全漏检病例和 D 引起的轻度退化开展专门研究。</w:t>
      </w:r>
    </w:p>
    <w:p>
      <w:pPr>
        <w:pStyle w:val="Heading1"/>
        <w:ind w:firstLine="0"/>
      </w:pPr>
      <w:r>
        <w:t>第5章 综合实验与讨论</w:t>
      </w:r>
    </w:p>
    <w:p>
      <w:pPr>
        <w:pStyle w:val="Heading2"/>
        <w:ind w:firstLine="0"/>
      </w:pPr>
      <w:r>
        <w:t>5.1 模型复杂度</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2280"/>
            <w:vAlign w:val="center"/>
          </w:tcPr>
          <w:p>
            <w:r/>
            <w:r>
              <w:rPr>
                <w:rFonts w:ascii="宋体" w:hAnsi="宋体" w:eastAsia="宋体"/>
                <w:b/>
                <w:sz w:val="18"/>
              </w:rPr>
              <w:t>模型</w:t>
            </w:r>
          </w:p>
        </w:tc>
        <w:tc>
          <w:tcPr>
            <w:tcW w:type="dxa" w:w="2280"/>
            <w:vAlign w:val="center"/>
          </w:tcPr>
          <w:p>
            <w:r/>
            <w:r>
              <w:rPr>
                <w:rFonts w:ascii="宋体" w:hAnsi="宋体" w:eastAsia="宋体"/>
                <w:b/>
                <w:sz w:val="18"/>
              </w:rPr>
              <w:t>活跃参数/M</w:t>
            </w:r>
          </w:p>
        </w:tc>
        <w:tc>
          <w:tcPr>
            <w:tcW w:type="dxa" w:w="2280"/>
            <w:vAlign w:val="center"/>
          </w:tcPr>
          <w:p>
            <w:r/>
            <w:r>
              <w:rPr>
                <w:rFonts w:ascii="宋体" w:hAnsi="宋体" w:eastAsia="宋体"/>
                <w:b/>
                <w:sz w:val="18"/>
              </w:rPr>
              <w:t>256×256 GMACs</w:t>
            </w:r>
          </w:p>
        </w:tc>
        <w:tc>
          <w:tcPr>
            <w:tcW w:type="dxa" w:w="2280"/>
            <w:vAlign w:val="center"/>
          </w:tcPr>
          <w:p>
            <w:r/>
            <w:r>
              <w:rPr>
                <w:rFonts w:ascii="宋体" w:hAnsi="宋体" w:eastAsia="宋体"/>
                <w:b/>
                <w:sz w:val="18"/>
              </w:rPr>
              <w:t>单张延迟/ms</w:t>
            </w:r>
          </w:p>
        </w:tc>
      </w:tr>
      <w:tr>
        <w:tc>
          <w:tcPr>
            <w:tcW w:type="dxa" w:w="2280"/>
            <w:vAlign w:val="center"/>
          </w:tcPr>
          <w:p>
            <w:r/>
            <w:r>
              <w:rPr>
                <w:rFonts w:ascii="宋体" w:hAnsi="宋体" w:eastAsia="宋体"/>
                <w:b w:val="0"/>
                <w:sz w:val="18"/>
              </w:rPr>
              <w:t>U</w:t>
            </w:r>
          </w:p>
        </w:tc>
        <w:tc>
          <w:tcPr>
            <w:tcW w:type="dxa" w:w="2280"/>
            <w:vAlign w:val="center"/>
          </w:tcPr>
          <w:p>
            <w:r/>
            <w:r>
              <w:rPr>
                <w:rFonts w:ascii="宋体" w:hAnsi="宋体" w:eastAsia="宋体"/>
                <w:b w:val="0"/>
                <w:sz w:val="18"/>
              </w:rPr>
              <w:t>8.985</w:t>
            </w:r>
          </w:p>
        </w:tc>
        <w:tc>
          <w:tcPr>
            <w:tcW w:type="dxa" w:w="2280"/>
            <w:vAlign w:val="center"/>
          </w:tcPr>
          <w:p>
            <w:r/>
            <w:r>
              <w:rPr>
                <w:rFonts w:ascii="宋体" w:hAnsi="宋体" w:eastAsia="宋体"/>
                <w:b w:val="0"/>
                <w:sz w:val="18"/>
              </w:rPr>
              <w:t>17.155</w:t>
            </w:r>
          </w:p>
        </w:tc>
        <w:tc>
          <w:tcPr>
            <w:tcW w:type="dxa" w:w="2280"/>
            <w:vAlign w:val="center"/>
          </w:tcPr>
          <w:p>
            <w:r/>
            <w:r>
              <w:rPr>
                <w:rFonts w:ascii="宋体" w:hAnsi="宋体" w:eastAsia="宋体"/>
                <w:b w:val="0"/>
                <w:sz w:val="18"/>
              </w:rPr>
              <w:t>5.38</w:t>
            </w:r>
          </w:p>
        </w:tc>
      </w:tr>
      <w:tr>
        <w:tc>
          <w:tcPr>
            <w:tcW w:type="dxa" w:w="2280"/>
            <w:vAlign w:val="center"/>
          </w:tcPr>
          <w:p>
            <w:r/>
            <w:r>
              <w:rPr>
                <w:rFonts w:ascii="宋体" w:hAnsi="宋体" w:eastAsia="宋体"/>
                <w:b w:val="0"/>
                <w:sz w:val="18"/>
              </w:rPr>
              <w:t>UA</w:t>
            </w:r>
          </w:p>
        </w:tc>
        <w:tc>
          <w:tcPr>
            <w:tcW w:type="dxa" w:w="2280"/>
            <w:vAlign w:val="center"/>
          </w:tcPr>
          <w:p>
            <w:r/>
            <w:r>
              <w:rPr>
                <w:rFonts w:ascii="宋体" w:hAnsi="宋体" w:eastAsia="宋体"/>
                <w:b w:val="0"/>
                <w:sz w:val="18"/>
              </w:rPr>
              <w:t>11.210</w:t>
            </w:r>
          </w:p>
        </w:tc>
        <w:tc>
          <w:tcPr>
            <w:tcW w:type="dxa" w:w="2280"/>
            <w:vAlign w:val="center"/>
          </w:tcPr>
          <w:p>
            <w:r/>
            <w:r>
              <w:rPr>
                <w:rFonts w:ascii="宋体" w:hAnsi="宋体" w:eastAsia="宋体"/>
                <w:b w:val="0"/>
                <w:sz w:val="18"/>
              </w:rPr>
              <w:t>19.400</w:t>
            </w:r>
          </w:p>
        </w:tc>
        <w:tc>
          <w:tcPr>
            <w:tcW w:type="dxa" w:w="2280"/>
            <w:vAlign w:val="center"/>
          </w:tcPr>
          <w:p>
            <w:r/>
            <w:r>
              <w:rPr>
                <w:rFonts w:ascii="宋体" w:hAnsi="宋体" w:eastAsia="宋体"/>
                <w:b w:val="0"/>
                <w:sz w:val="18"/>
              </w:rPr>
              <w:t>8.80</w:t>
            </w:r>
          </w:p>
        </w:tc>
      </w:tr>
      <w:tr>
        <w:tc>
          <w:tcPr>
            <w:tcW w:type="dxa" w:w="2280"/>
            <w:vAlign w:val="center"/>
          </w:tcPr>
          <w:p>
            <w:r/>
            <w:r>
              <w:rPr>
                <w:rFonts w:ascii="宋体" w:hAnsi="宋体" w:eastAsia="宋体"/>
                <w:b w:val="0"/>
                <w:sz w:val="18"/>
              </w:rPr>
              <w:t>UB</w:t>
            </w:r>
          </w:p>
        </w:tc>
        <w:tc>
          <w:tcPr>
            <w:tcW w:type="dxa" w:w="2280"/>
            <w:vAlign w:val="center"/>
          </w:tcPr>
          <w:p>
            <w:r/>
            <w:r>
              <w:rPr>
                <w:rFonts w:ascii="宋体" w:hAnsi="宋体" w:eastAsia="宋体"/>
                <w:b w:val="0"/>
                <w:sz w:val="18"/>
              </w:rPr>
              <w:t>9.052</w:t>
            </w:r>
          </w:p>
        </w:tc>
        <w:tc>
          <w:tcPr>
            <w:tcW w:type="dxa" w:w="2280"/>
            <w:vAlign w:val="center"/>
          </w:tcPr>
          <w:p>
            <w:r/>
            <w:r>
              <w:rPr>
                <w:rFonts w:ascii="宋体" w:hAnsi="宋体" w:eastAsia="宋体"/>
                <w:b w:val="0"/>
                <w:sz w:val="18"/>
              </w:rPr>
              <w:t>17.173</w:t>
            </w:r>
          </w:p>
        </w:tc>
        <w:tc>
          <w:tcPr>
            <w:tcW w:type="dxa" w:w="2280"/>
            <w:vAlign w:val="center"/>
          </w:tcPr>
          <w:p>
            <w:r/>
            <w:r>
              <w:rPr>
                <w:rFonts w:ascii="宋体" w:hAnsi="宋体" w:eastAsia="宋体"/>
                <w:b w:val="0"/>
                <w:sz w:val="18"/>
              </w:rPr>
              <w:t>5.35</w:t>
            </w:r>
          </w:p>
        </w:tc>
      </w:tr>
      <w:tr>
        <w:tc>
          <w:tcPr>
            <w:tcW w:type="dxa" w:w="2280"/>
            <w:vAlign w:val="center"/>
          </w:tcPr>
          <w:p>
            <w:r/>
            <w:r>
              <w:rPr>
                <w:rFonts w:ascii="宋体" w:hAnsi="宋体" w:eastAsia="宋体"/>
                <w:b w:val="0"/>
                <w:sz w:val="18"/>
              </w:rPr>
              <w:t>UAB</w:t>
            </w:r>
          </w:p>
        </w:tc>
        <w:tc>
          <w:tcPr>
            <w:tcW w:type="dxa" w:w="2280"/>
            <w:vAlign w:val="center"/>
          </w:tcPr>
          <w:p>
            <w:r/>
            <w:r>
              <w:rPr>
                <w:rFonts w:ascii="宋体" w:hAnsi="宋体" w:eastAsia="宋体"/>
                <w:b w:val="0"/>
                <w:sz w:val="18"/>
              </w:rPr>
              <w:t>11.277</w:t>
            </w:r>
          </w:p>
        </w:tc>
        <w:tc>
          <w:tcPr>
            <w:tcW w:type="dxa" w:w="2280"/>
            <w:vAlign w:val="center"/>
          </w:tcPr>
          <w:p>
            <w:r/>
            <w:r>
              <w:rPr>
                <w:rFonts w:ascii="宋体" w:hAnsi="宋体" w:eastAsia="宋体"/>
                <w:b w:val="0"/>
                <w:sz w:val="18"/>
              </w:rPr>
              <w:t>19.417</w:t>
            </w:r>
          </w:p>
        </w:tc>
        <w:tc>
          <w:tcPr>
            <w:tcW w:type="dxa" w:w="2280"/>
            <w:vAlign w:val="center"/>
          </w:tcPr>
          <w:p>
            <w:r/>
            <w:r>
              <w:rPr>
                <w:rFonts w:ascii="宋体" w:hAnsi="宋体" w:eastAsia="宋体"/>
                <w:b w:val="0"/>
                <w:sz w:val="18"/>
              </w:rPr>
              <w:t>8.91</w:t>
            </w:r>
          </w:p>
        </w:tc>
      </w:tr>
      <w:tr>
        <w:tc>
          <w:tcPr>
            <w:tcW w:type="dxa" w:w="2280"/>
            <w:vAlign w:val="center"/>
          </w:tcPr>
          <w:p>
            <w:r/>
            <w:r>
              <w:rPr>
                <w:rFonts w:ascii="宋体" w:hAnsi="宋体" w:eastAsia="宋体"/>
                <w:b w:val="0"/>
                <w:sz w:val="18"/>
              </w:rPr>
              <w:t>UABC</w:t>
            </w:r>
          </w:p>
        </w:tc>
        <w:tc>
          <w:tcPr>
            <w:tcW w:type="dxa" w:w="2280"/>
            <w:vAlign w:val="center"/>
          </w:tcPr>
          <w:p>
            <w:r/>
            <w:r>
              <w:rPr>
                <w:rFonts w:ascii="宋体" w:hAnsi="宋体" w:eastAsia="宋体"/>
                <w:b w:val="0"/>
                <w:sz w:val="18"/>
              </w:rPr>
              <w:t>11.287</w:t>
            </w:r>
          </w:p>
        </w:tc>
        <w:tc>
          <w:tcPr>
            <w:tcW w:type="dxa" w:w="2280"/>
            <w:vAlign w:val="center"/>
          </w:tcPr>
          <w:p>
            <w:r/>
            <w:r>
              <w:rPr>
                <w:rFonts w:ascii="宋体" w:hAnsi="宋体" w:eastAsia="宋体"/>
                <w:b w:val="0"/>
                <w:sz w:val="18"/>
              </w:rPr>
              <w:t>20.074</w:t>
            </w:r>
          </w:p>
        </w:tc>
        <w:tc>
          <w:tcPr>
            <w:tcW w:type="dxa" w:w="2280"/>
            <w:vAlign w:val="center"/>
          </w:tcPr>
          <w:p>
            <w:r/>
            <w:r>
              <w:rPr>
                <w:rFonts w:ascii="宋体" w:hAnsi="宋体" w:eastAsia="宋体"/>
                <w:b w:val="0"/>
                <w:sz w:val="18"/>
              </w:rPr>
              <w:t>9.26</w:t>
            </w:r>
          </w:p>
        </w:tc>
      </w:tr>
      <w:tr>
        <w:tc>
          <w:tcPr>
            <w:tcW w:type="dxa" w:w="2280"/>
            <w:vAlign w:val="center"/>
          </w:tcPr>
          <w:p>
            <w:r/>
            <w:r>
              <w:rPr>
                <w:rFonts w:ascii="宋体" w:hAnsi="宋体" w:eastAsia="宋体"/>
                <w:b w:val="0"/>
                <w:sz w:val="18"/>
              </w:rPr>
              <w:t>UABCD</w:t>
            </w:r>
          </w:p>
        </w:tc>
        <w:tc>
          <w:tcPr>
            <w:tcW w:type="dxa" w:w="2280"/>
            <w:vAlign w:val="center"/>
          </w:tcPr>
          <w:p>
            <w:r/>
            <w:r>
              <w:rPr>
                <w:rFonts w:ascii="宋体" w:hAnsi="宋体" w:eastAsia="宋体"/>
                <w:b w:val="0"/>
                <w:sz w:val="18"/>
              </w:rPr>
              <w:t>11.307</w:t>
            </w:r>
          </w:p>
        </w:tc>
        <w:tc>
          <w:tcPr>
            <w:tcW w:type="dxa" w:w="2280"/>
            <w:vAlign w:val="center"/>
          </w:tcPr>
          <w:p>
            <w:r/>
            <w:r>
              <w:rPr>
                <w:rFonts w:ascii="宋体" w:hAnsi="宋体" w:eastAsia="宋体"/>
                <w:b w:val="0"/>
                <w:sz w:val="18"/>
              </w:rPr>
              <w:t>21.399</w:t>
            </w:r>
          </w:p>
        </w:tc>
        <w:tc>
          <w:tcPr>
            <w:tcW w:type="dxa" w:w="2280"/>
            <w:vAlign w:val="center"/>
          </w:tcPr>
          <w:p>
            <w:r/>
            <w:r>
              <w:rPr>
                <w:rFonts w:ascii="宋体" w:hAnsi="宋体" w:eastAsia="宋体"/>
                <w:b w:val="0"/>
                <w:sz w:val="18"/>
              </w:rPr>
              <w:t>10.03</w:t>
            </w:r>
          </w:p>
        </w:tc>
      </w:tr>
    </w:tbl>
    <w:p/>
    <w:p>
      <w:pPr>
        <w:ind w:firstLine="420"/>
      </w:pPr>
      <w:r>
        <w:rPr>
          <w:rFonts w:ascii="宋体" w:hAnsi="宋体" w:eastAsia="宋体"/>
        </w:rPr>
        <w:t>B 仅增加约 0.067M 参数，几乎不增加延迟，却产生第一章最稳定的独立增益。A 增加约 2.225M 参数和 3.4 ms 延迟，是主要额外开销。C、D 合计仅增加约 0.030M 参数，但由于全分辨率分支和多尺度辅助预测，计算量增加约 1.98 GMACs。最终模型仍可达到约 99 次/秒的理论单张前向速度，具备接近实时应用的潜力。这里的延迟不包含磁盘读取、预处理和可视化。</w:t>
      </w:r>
    </w:p>
    <w:p>
      <w:pPr>
        <w:pStyle w:val="Heading2"/>
        <w:ind w:firstLine="0"/>
      </w:pPr>
      <w:r>
        <w:t>5.2 与替代主干和失败路线的比较</w:t>
      </w:r>
    </w:p>
    <w:p>
      <w:pPr>
        <w:ind w:firstLine="420"/>
      </w:pPr>
      <w:r>
        <w:rPr>
          <w:rFonts w:ascii="宋体" w:hAnsi="宋体" w:eastAsia="宋体"/>
        </w:rPr>
        <w:t>前期实验系统测试了更大或更新的编码器。ConvNeXt-Tiny U-Net 的 IoU/Dice 为 76.793%/84.744%，ResNet101 U-Net 为 77.149%/84.817%，说明自然图像预训练主干可以提高绝对指标，但它们不直接提供 A-D 的递进归因。整图 384×384 且冻结编码器 BN 的 ResNet50 实验仅达到 75.614%/83.605%，说明直接提高输入分辨率会造成尺度偏移。水平翻转测试时增强与最大连通域后处理均造成下降，表明模型错误不是简单的离散噪点问题。</w:t>
      </w:r>
    </w:p>
    <w:p>
      <w:pPr>
        <w:ind w:firstLine="420"/>
      </w:pPr>
      <w:r>
        <w:rPr>
          <w:rFonts w:ascii="宋体" w:hAnsi="宋体" w:eastAsia="宋体"/>
        </w:rPr>
        <w:t>此外，早期 C、D 从随机初始化训练时均未超过控制组；只有建立稳定语义模型并采用零扰动渐进训练后才获得正向点估计。这支持本文的核心逻辑：几何与不确定性细化依赖可靠语义起点，模块顺序不是任意排列。</w:t>
      </w:r>
    </w:p>
    <w:p>
      <w:pPr>
        <w:pStyle w:val="Heading2"/>
        <w:ind w:firstLine="0"/>
      </w:pPr>
      <w:r>
        <w:t>5.3 随机种子复现实验</w:t>
      </w:r>
    </w:p>
    <w:p>
      <w:pPr>
        <w:ind w:firstLine="420"/>
      </w:pPr>
      <w:r>
        <w:rPr>
          <w:rFonts w:ascii="宋体" w:hAnsi="宋体" w:eastAsia="宋体"/>
        </w:rPr>
        <w:t>为检验排序是否仅由随机种子 41 偶然产生，本文在完全相同的 BUSI split 3、阈值 0.5、图像尺寸、损失和每阶段 60 epoch 协议下，以随机种子 7、73 重复 UA、UB、UAB、UABC 和 UABCD 的全部训练与独立评估。U-Net 起点保持相同，随机种子改变数据打乱、增强采样和新增参数的优化轨迹。训练脚本在 epoch 0 先评估并保存零扰动模型，保证后续微调若全程退化不会错误丢弃前级检查点。</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vAlign w:val="center"/>
          </w:tcPr>
          <w:p>
            <w:r/>
            <w:r>
              <w:rPr>
                <w:rFonts w:ascii="宋体" w:hAnsi="宋体" w:eastAsia="宋体"/>
                <w:b/>
                <w:sz w:val="18"/>
              </w:rPr>
              <w:t>模型</w:t>
            </w:r>
          </w:p>
        </w:tc>
        <w:tc>
          <w:tcPr>
            <w:tcW w:type="dxa" w:w="3041"/>
            <w:vAlign w:val="center"/>
          </w:tcPr>
          <w:p>
            <w:r/>
            <w:r>
              <w:rPr>
                <w:rFonts w:ascii="宋体" w:hAnsi="宋体" w:eastAsia="宋体"/>
                <w:b/>
                <w:sz w:val="18"/>
              </w:rPr>
              <w:t>三种子 IoU（均值±标准差）</w:t>
            </w:r>
          </w:p>
        </w:tc>
        <w:tc>
          <w:tcPr>
            <w:tcW w:type="dxa" w:w="3041"/>
            <w:vAlign w:val="center"/>
          </w:tcPr>
          <w:p>
            <w:r/>
            <w:r>
              <w:rPr>
                <w:rFonts w:ascii="宋体" w:hAnsi="宋体" w:eastAsia="宋体"/>
                <w:b/>
                <w:sz w:val="18"/>
              </w:rPr>
              <w:t>三种子 Dice（均值±标准差）</w:t>
            </w:r>
          </w:p>
        </w:tc>
      </w:tr>
      <w:tr>
        <w:tc>
          <w:tcPr>
            <w:tcW w:type="dxa" w:w="3041"/>
            <w:vAlign w:val="center"/>
          </w:tcPr>
          <w:p>
            <w:r/>
            <w:r>
              <w:rPr>
                <w:rFonts w:ascii="宋体" w:hAnsi="宋体" w:eastAsia="宋体"/>
                <w:b w:val="0"/>
                <w:sz w:val="18"/>
              </w:rPr>
              <w:t>U</w:t>
            </w:r>
          </w:p>
        </w:tc>
        <w:tc>
          <w:tcPr>
            <w:tcW w:type="dxa" w:w="3041"/>
            <w:vAlign w:val="center"/>
          </w:tcPr>
          <w:p>
            <w:r/>
            <w:r>
              <w:rPr>
                <w:rFonts w:ascii="宋体" w:hAnsi="宋体" w:eastAsia="宋体"/>
                <w:b w:val="0"/>
                <w:sz w:val="18"/>
              </w:rPr>
              <w:t>72.445±0.000</w:t>
            </w:r>
          </w:p>
        </w:tc>
        <w:tc>
          <w:tcPr>
            <w:tcW w:type="dxa" w:w="3041"/>
            <w:vAlign w:val="center"/>
          </w:tcPr>
          <w:p>
            <w:r/>
            <w:r>
              <w:rPr>
                <w:rFonts w:ascii="宋体" w:hAnsi="宋体" w:eastAsia="宋体"/>
                <w:b w:val="0"/>
                <w:sz w:val="18"/>
              </w:rPr>
              <w:t>80.718±0.000</w:t>
            </w:r>
          </w:p>
        </w:tc>
      </w:tr>
      <w:tr>
        <w:tc>
          <w:tcPr>
            <w:tcW w:type="dxa" w:w="3041"/>
            <w:vAlign w:val="center"/>
          </w:tcPr>
          <w:p>
            <w:r/>
            <w:r>
              <w:rPr>
                <w:rFonts w:ascii="宋体" w:hAnsi="宋体" w:eastAsia="宋体"/>
                <w:b w:val="0"/>
                <w:sz w:val="18"/>
              </w:rPr>
              <w:t>UA</w:t>
            </w:r>
          </w:p>
        </w:tc>
        <w:tc>
          <w:tcPr>
            <w:tcW w:type="dxa" w:w="3041"/>
            <w:vAlign w:val="center"/>
          </w:tcPr>
          <w:p>
            <w:r/>
            <w:r>
              <w:rPr>
                <w:rFonts w:ascii="宋体" w:hAnsi="宋体" w:eastAsia="宋体"/>
                <w:b w:val="0"/>
                <w:sz w:val="18"/>
              </w:rPr>
              <w:t>73.835±0.306</w:t>
            </w:r>
          </w:p>
        </w:tc>
        <w:tc>
          <w:tcPr>
            <w:tcW w:type="dxa" w:w="3041"/>
            <w:vAlign w:val="center"/>
          </w:tcPr>
          <w:p>
            <w:r/>
            <w:r>
              <w:rPr>
                <w:rFonts w:ascii="宋体" w:hAnsi="宋体" w:eastAsia="宋体"/>
                <w:b w:val="0"/>
                <w:sz w:val="18"/>
              </w:rPr>
              <w:t>81.947±0.269</w:t>
            </w:r>
          </w:p>
        </w:tc>
      </w:tr>
      <w:tr>
        <w:tc>
          <w:tcPr>
            <w:tcW w:type="dxa" w:w="3041"/>
            <w:vAlign w:val="center"/>
          </w:tcPr>
          <w:p>
            <w:r/>
            <w:r>
              <w:rPr>
                <w:rFonts w:ascii="宋体" w:hAnsi="宋体" w:eastAsia="宋体"/>
                <w:b w:val="0"/>
                <w:sz w:val="18"/>
              </w:rPr>
              <w:t>UB</w:t>
            </w:r>
          </w:p>
        </w:tc>
        <w:tc>
          <w:tcPr>
            <w:tcW w:type="dxa" w:w="3041"/>
            <w:vAlign w:val="center"/>
          </w:tcPr>
          <w:p>
            <w:r/>
            <w:r>
              <w:rPr>
                <w:rFonts w:ascii="宋体" w:hAnsi="宋体" w:eastAsia="宋体"/>
                <w:b w:val="0"/>
                <w:sz w:val="18"/>
              </w:rPr>
              <w:t>74.009±0.197</w:t>
            </w:r>
          </w:p>
        </w:tc>
        <w:tc>
          <w:tcPr>
            <w:tcW w:type="dxa" w:w="3041"/>
            <w:vAlign w:val="center"/>
          </w:tcPr>
          <w:p>
            <w:r/>
            <w:r>
              <w:rPr>
                <w:rFonts w:ascii="宋体" w:hAnsi="宋体" w:eastAsia="宋体"/>
                <w:b w:val="0"/>
                <w:sz w:val="18"/>
              </w:rPr>
              <w:t>82.356±0.178</w:t>
            </w:r>
          </w:p>
        </w:tc>
      </w:tr>
      <w:tr>
        <w:tc>
          <w:tcPr>
            <w:tcW w:type="dxa" w:w="3041"/>
            <w:vAlign w:val="center"/>
          </w:tcPr>
          <w:p>
            <w:r/>
            <w:r>
              <w:rPr>
                <w:rFonts w:ascii="宋体" w:hAnsi="宋体" w:eastAsia="宋体"/>
                <w:b w:val="0"/>
                <w:sz w:val="18"/>
              </w:rPr>
              <w:t>UAB / UnetAB</w:t>
            </w:r>
          </w:p>
        </w:tc>
        <w:tc>
          <w:tcPr>
            <w:tcW w:type="dxa" w:w="3041"/>
            <w:vAlign w:val="center"/>
          </w:tcPr>
          <w:p>
            <w:r/>
            <w:r>
              <w:rPr>
                <w:rFonts w:ascii="宋体" w:hAnsi="宋体" w:eastAsia="宋体"/>
                <w:b w:val="0"/>
                <w:sz w:val="18"/>
              </w:rPr>
              <w:t>74.617±0.218</w:t>
            </w:r>
          </w:p>
        </w:tc>
        <w:tc>
          <w:tcPr>
            <w:tcW w:type="dxa" w:w="3041"/>
            <w:vAlign w:val="center"/>
          </w:tcPr>
          <w:p>
            <w:r/>
            <w:r>
              <w:rPr>
                <w:rFonts w:ascii="宋体" w:hAnsi="宋体" w:eastAsia="宋体"/>
                <w:b w:val="0"/>
                <w:sz w:val="18"/>
              </w:rPr>
              <w:t>82.826±0.103</w:t>
            </w:r>
          </w:p>
        </w:tc>
      </w:tr>
      <w:tr>
        <w:tc>
          <w:tcPr>
            <w:tcW w:type="dxa" w:w="3041"/>
            <w:vAlign w:val="center"/>
          </w:tcPr>
          <w:p>
            <w:r/>
            <w:r>
              <w:rPr>
                <w:rFonts w:ascii="宋体" w:hAnsi="宋体" w:eastAsia="宋体"/>
                <w:b w:val="0"/>
                <w:sz w:val="18"/>
              </w:rPr>
              <w:t>UABC</w:t>
            </w:r>
          </w:p>
        </w:tc>
        <w:tc>
          <w:tcPr>
            <w:tcW w:type="dxa" w:w="3041"/>
            <w:vAlign w:val="center"/>
          </w:tcPr>
          <w:p>
            <w:r/>
            <w:r>
              <w:rPr>
                <w:rFonts w:ascii="宋体" w:hAnsi="宋体" w:eastAsia="宋体"/>
                <w:b w:val="0"/>
                <w:sz w:val="18"/>
              </w:rPr>
              <w:t>74.797±0.265</w:t>
            </w:r>
          </w:p>
        </w:tc>
        <w:tc>
          <w:tcPr>
            <w:tcW w:type="dxa" w:w="3041"/>
            <w:vAlign w:val="center"/>
          </w:tcPr>
          <w:p>
            <w:r/>
            <w:r>
              <w:rPr>
                <w:rFonts w:ascii="宋体" w:hAnsi="宋体" w:eastAsia="宋体"/>
                <w:b w:val="0"/>
                <w:sz w:val="18"/>
              </w:rPr>
              <w:t>82.958±0.172</w:t>
            </w:r>
          </w:p>
        </w:tc>
      </w:tr>
      <w:tr>
        <w:tc>
          <w:tcPr>
            <w:tcW w:type="dxa" w:w="3041"/>
            <w:vAlign w:val="center"/>
          </w:tcPr>
          <w:p>
            <w:r/>
            <w:r>
              <w:rPr>
                <w:rFonts w:ascii="宋体" w:hAnsi="宋体" w:eastAsia="宋体"/>
                <w:b w:val="0"/>
                <w:sz w:val="18"/>
              </w:rPr>
              <w:t>UABCD</w:t>
            </w:r>
          </w:p>
        </w:tc>
        <w:tc>
          <w:tcPr>
            <w:tcW w:type="dxa" w:w="3041"/>
            <w:vAlign w:val="center"/>
          </w:tcPr>
          <w:p>
            <w:r/>
            <w:r>
              <w:rPr>
                <w:rFonts w:ascii="宋体" w:hAnsi="宋体" w:eastAsia="宋体"/>
                <w:b w:val="0"/>
                <w:sz w:val="18"/>
              </w:rPr>
              <w:t>75.128±0.307</w:t>
            </w:r>
          </w:p>
        </w:tc>
        <w:tc>
          <w:tcPr>
            <w:tcW w:type="dxa" w:w="3041"/>
            <w:vAlign w:val="center"/>
          </w:tcPr>
          <w:p>
            <w:r/>
            <w:r>
              <w:rPr>
                <w:rFonts w:ascii="宋体" w:hAnsi="宋体" w:eastAsia="宋体"/>
                <w:b w:val="0"/>
                <w:sz w:val="18"/>
              </w:rPr>
              <w:t>83.306±0.223</w:t>
            </w:r>
          </w:p>
        </w:tc>
      </w:tr>
    </w:tbl>
    <w:p/>
    <w:p>
      <w:pPr>
        <w:jc w:val="center"/>
      </w:pPr>
      <w:r>
        <w:drawing>
          <wp:inline xmlns:a="http://schemas.openxmlformats.org/drawingml/2006/main" xmlns:pic="http://schemas.openxmlformats.org/drawingml/2006/picture">
            <wp:extent cx="5400000" cy="2163416"/>
            <wp:docPr id="9" name="Picture 9"/>
            <wp:cNvGraphicFramePr>
              <a:graphicFrameLocks noChangeAspect="1"/>
            </wp:cNvGraphicFramePr>
            <a:graphic>
              <a:graphicData uri="http://schemas.openxmlformats.org/drawingml/2006/picture">
                <pic:pic>
                  <pic:nvPicPr>
                    <pic:cNvPr id="0" name="fig09_multiseed_replication.png"/>
                    <pic:cNvPicPr/>
                  </pic:nvPicPr>
                  <pic:blipFill>
                    <a:blip r:embed="rId18"/>
                    <a:stretch>
                      <a:fillRect/>
                    </a:stretch>
                  </pic:blipFill>
                  <pic:spPr>
                    <a:xfrm>
                      <a:off x="0" y="0"/>
                      <a:ext cx="5400000" cy="2163416"/>
                    </a:xfrm>
                    <a:prstGeom prst="rect"/>
                  </pic:spPr>
                </pic:pic>
              </a:graphicData>
            </a:graphic>
          </wp:inline>
        </w:drawing>
      </w:r>
    </w:p>
    <w:p>
      <w:pPr>
        <w:jc w:val="center"/>
      </w:pPr>
      <w:r>
        <w:rPr>
          <w:rFonts w:ascii="宋体" w:hAnsi="宋体" w:eastAsia="宋体"/>
          <w:sz w:val="18"/>
        </w:rPr>
        <w:t>三随机种子复现实验</w:t>
      </w:r>
    </w:p>
    <w:p>
      <w:pPr>
        <w:ind w:firstLine="420"/>
      </w:pPr>
      <w:r>
        <w:rPr>
          <w:rFonts w:ascii="宋体" w:hAnsi="宋体" w:eastAsia="宋体"/>
        </w:rPr>
        <w:t>三个完整种子分别通过四项排序检查：第一章 UAB 的 IoU、Dice 均高于 U、UA、UB；第二章满足 UAB&lt;UABC&lt;UABCD 的 IoU、Dice 严格递增。C 的三种子平均增益为 IoU 0.180 和 Dice 0.132 个百分点，仍是整条链中增益最小的一步；D 的平均增益扩大到 IoU 0.331 和 Dice 0.348 个百分点。三种子结果达到最低复核规模并增强了“排序可复现”的证据，但仍不足以替代五种子实验、独立患者划分或外部验证。</w:t>
      </w:r>
    </w:p>
    <w:p>
      <w:pPr>
        <w:pStyle w:val="Heading3"/>
        <w:ind w:firstLine="0"/>
      </w:pPr>
      <w:r>
        <w:t>5.3.1 去近重复验证敏感性分析</w:t>
      </w:r>
    </w:p>
    <w:p>
      <w:pPr>
        <w:ind w:firstLine="420"/>
      </w:pPr>
      <w:r>
        <w:rPr>
          <w:rFonts w:ascii="宋体" w:hAnsi="宋体" w:eastAsia="宋体"/>
        </w:rPr>
        <w:t>为评估排序是否由跨集合视觉近重复病例驱动，本文依据感知哈希距离不超过 4 且 64×64 归一化缩略图相关系数不低于 0.98 的预设规则，识别 24 对高置信跨集合近重复图像，并从验证统计中剔除涉及的 20 个不同病例。该操作不改变训练集、不重新训练模型、不调整阈值，只在原 195 例验证集之外形成 175 例 clean 敏感性子集。</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2280"/>
            <w:vAlign w:val="center"/>
          </w:tcPr>
          <w:p>
            <w:r/>
            <w:r>
              <w:rPr>
                <w:rFonts w:ascii="宋体" w:hAnsi="宋体" w:eastAsia="宋体"/>
                <w:b/>
                <w:sz w:val="18"/>
              </w:rPr>
              <w:t>模型</w:t>
            </w:r>
          </w:p>
        </w:tc>
        <w:tc>
          <w:tcPr>
            <w:tcW w:type="dxa" w:w="2280"/>
            <w:vAlign w:val="center"/>
          </w:tcPr>
          <w:p>
            <w:r/>
            <w:r>
              <w:rPr>
                <w:rFonts w:ascii="宋体" w:hAnsi="宋体" w:eastAsia="宋体"/>
                <w:b/>
                <w:sz w:val="18"/>
              </w:rPr>
              <w:t>完整集 IoU/Dice（%）</w:t>
            </w:r>
          </w:p>
        </w:tc>
        <w:tc>
          <w:tcPr>
            <w:tcW w:type="dxa" w:w="2280"/>
            <w:vAlign w:val="center"/>
          </w:tcPr>
          <w:p>
            <w:r/>
            <w:r>
              <w:rPr>
                <w:rFonts w:ascii="宋体" w:hAnsi="宋体" w:eastAsia="宋体"/>
                <w:b/>
                <w:sz w:val="18"/>
              </w:rPr>
              <w:t>clean 子集 IoU/Dice（%）</w:t>
            </w:r>
          </w:p>
        </w:tc>
        <w:tc>
          <w:tcPr>
            <w:tcW w:type="dxa" w:w="2280"/>
            <w:vAlign w:val="center"/>
          </w:tcPr>
          <w:p>
            <w:r/>
            <w:r>
              <w:rPr>
                <w:rFonts w:ascii="宋体" w:hAnsi="宋体" w:eastAsia="宋体"/>
                <w:b/>
                <w:sz w:val="18"/>
              </w:rPr>
              <w:t>近重复暴露子集 IoU/Dice（%）</w:t>
            </w:r>
          </w:p>
        </w:tc>
      </w:tr>
      <w:tr>
        <w:tc>
          <w:tcPr>
            <w:tcW w:type="dxa" w:w="2280"/>
            <w:vAlign w:val="center"/>
          </w:tcPr>
          <w:p>
            <w:r/>
            <w:r>
              <w:rPr>
                <w:rFonts w:ascii="宋体" w:hAnsi="宋体" w:eastAsia="宋体"/>
                <w:b w:val="0"/>
                <w:sz w:val="18"/>
              </w:rPr>
              <w:t>U</w:t>
            </w:r>
          </w:p>
        </w:tc>
        <w:tc>
          <w:tcPr>
            <w:tcW w:type="dxa" w:w="2280"/>
            <w:vAlign w:val="center"/>
          </w:tcPr>
          <w:p>
            <w:r/>
            <w:r>
              <w:rPr>
                <w:rFonts w:ascii="宋体" w:hAnsi="宋体" w:eastAsia="宋体"/>
                <w:b w:val="0"/>
                <w:sz w:val="18"/>
              </w:rPr>
              <w:t>72.445 / 80.718</w:t>
            </w:r>
          </w:p>
        </w:tc>
        <w:tc>
          <w:tcPr>
            <w:tcW w:type="dxa" w:w="2280"/>
            <w:vAlign w:val="center"/>
          </w:tcPr>
          <w:p>
            <w:r/>
            <w:r>
              <w:rPr>
                <w:rFonts w:ascii="宋体" w:hAnsi="宋体" w:eastAsia="宋体"/>
                <w:b w:val="0"/>
                <w:sz w:val="18"/>
              </w:rPr>
              <w:t>71.634 / 80.250</w:t>
            </w:r>
          </w:p>
        </w:tc>
        <w:tc>
          <w:tcPr>
            <w:tcW w:type="dxa" w:w="2280"/>
            <w:vAlign w:val="center"/>
          </w:tcPr>
          <w:p>
            <w:r/>
            <w:r>
              <w:rPr>
                <w:rFonts w:ascii="宋体" w:hAnsi="宋体" w:eastAsia="宋体"/>
                <w:b w:val="0"/>
                <w:sz w:val="18"/>
              </w:rPr>
              <w:t>79.542 / 84.814</w:t>
            </w:r>
          </w:p>
        </w:tc>
      </w:tr>
      <w:tr>
        <w:tc>
          <w:tcPr>
            <w:tcW w:type="dxa" w:w="2280"/>
            <w:vAlign w:val="center"/>
          </w:tcPr>
          <w:p>
            <w:r/>
            <w:r>
              <w:rPr>
                <w:rFonts w:ascii="宋体" w:hAnsi="宋体" w:eastAsia="宋体"/>
                <w:b w:val="0"/>
                <w:sz w:val="18"/>
              </w:rPr>
              <w:t>UA</w:t>
            </w:r>
          </w:p>
        </w:tc>
        <w:tc>
          <w:tcPr>
            <w:tcW w:type="dxa" w:w="2280"/>
            <w:vAlign w:val="center"/>
          </w:tcPr>
          <w:p>
            <w:r/>
            <w:r>
              <w:rPr>
                <w:rFonts w:ascii="宋体" w:hAnsi="宋体" w:eastAsia="宋体"/>
                <w:b w:val="0"/>
                <w:sz w:val="18"/>
              </w:rPr>
              <w:t>73.835 / 81.947</w:t>
            </w:r>
          </w:p>
        </w:tc>
        <w:tc>
          <w:tcPr>
            <w:tcW w:type="dxa" w:w="2280"/>
            <w:vAlign w:val="center"/>
          </w:tcPr>
          <w:p>
            <w:r/>
            <w:r>
              <w:rPr>
                <w:rFonts w:ascii="宋体" w:hAnsi="宋体" w:eastAsia="宋体"/>
                <w:b w:val="0"/>
                <w:sz w:val="18"/>
              </w:rPr>
              <w:t>73.169 / 81.600</w:t>
            </w:r>
          </w:p>
        </w:tc>
        <w:tc>
          <w:tcPr>
            <w:tcW w:type="dxa" w:w="2280"/>
            <w:vAlign w:val="center"/>
          </w:tcPr>
          <w:p>
            <w:r/>
            <w:r>
              <w:rPr>
                <w:rFonts w:ascii="宋体" w:hAnsi="宋体" w:eastAsia="宋体"/>
                <w:b w:val="0"/>
                <w:sz w:val="18"/>
              </w:rPr>
              <w:t>79.655 / 84.976</w:t>
            </w:r>
          </w:p>
        </w:tc>
      </w:tr>
      <w:tr>
        <w:tc>
          <w:tcPr>
            <w:tcW w:type="dxa" w:w="2280"/>
            <w:vAlign w:val="center"/>
          </w:tcPr>
          <w:p>
            <w:r/>
            <w:r>
              <w:rPr>
                <w:rFonts w:ascii="宋体" w:hAnsi="宋体" w:eastAsia="宋体"/>
                <w:b w:val="0"/>
                <w:sz w:val="18"/>
              </w:rPr>
              <w:t>UB</w:t>
            </w:r>
          </w:p>
        </w:tc>
        <w:tc>
          <w:tcPr>
            <w:tcW w:type="dxa" w:w="2280"/>
            <w:vAlign w:val="center"/>
          </w:tcPr>
          <w:p>
            <w:r/>
            <w:r>
              <w:rPr>
                <w:rFonts w:ascii="宋体" w:hAnsi="宋体" w:eastAsia="宋体"/>
                <w:b w:val="0"/>
                <w:sz w:val="18"/>
              </w:rPr>
              <w:t>74.009 / 82.356</w:t>
            </w:r>
          </w:p>
        </w:tc>
        <w:tc>
          <w:tcPr>
            <w:tcW w:type="dxa" w:w="2280"/>
            <w:vAlign w:val="center"/>
          </w:tcPr>
          <w:p>
            <w:r/>
            <w:r>
              <w:rPr>
                <w:rFonts w:ascii="宋体" w:hAnsi="宋体" w:eastAsia="宋体"/>
                <w:b w:val="0"/>
                <w:sz w:val="18"/>
              </w:rPr>
              <w:t>73.366 / 82.059</w:t>
            </w:r>
          </w:p>
        </w:tc>
        <w:tc>
          <w:tcPr>
            <w:tcW w:type="dxa" w:w="2280"/>
            <w:vAlign w:val="center"/>
          </w:tcPr>
          <w:p>
            <w:r/>
            <w:r>
              <w:rPr>
                <w:rFonts w:ascii="宋体" w:hAnsi="宋体" w:eastAsia="宋体"/>
                <w:b w:val="0"/>
                <w:sz w:val="18"/>
              </w:rPr>
              <w:t>79.641 / 84.955</w:t>
            </w:r>
          </w:p>
        </w:tc>
      </w:tr>
      <w:tr>
        <w:tc>
          <w:tcPr>
            <w:tcW w:type="dxa" w:w="2280"/>
            <w:vAlign w:val="center"/>
          </w:tcPr>
          <w:p>
            <w:r/>
            <w:r>
              <w:rPr>
                <w:rFonts w:ascii="宋体" w:hAnsi="宋体" w:eastAsia="宋体"/>
                <w:b w:val="0"/>
                <w:sz w:val="18"/>
              </w:rPr>
              <w:t>UAB</w:t>
            </w:r>
          </w:p>
        </w:tc>
        <w:tc>
          <w:tcPr>
            <w:tcW w:type="dxa" w:w="2280"/>
            <w:vAlign w:val="center"/>
          </w:tcPr>
          <w:p>
            <w:r/>
            <w:r>
              <w:rPr>
                <w:rFonts w:ascii="宋体" w:hAnsi="宋体" w:eastAsia="宋体"/>
                <w:b w:val="0"/>
                <w:sz w:val="18"/>
              </w:rPr>
              <w:t>74.617 / 82.826</w:t>
            </w:r>
          </w:p>
        </w:tc>
        <w:tc>
          <w:tcPr>
            <w:tcW w:type="dxa" w:w="2280"/>
            <w:vAlign w:val="center"/>
          </w:tcPr>
          <w:p>
            <w:r/>
            <w:r>
              <w:rPr>
                <w:rFonts w:ascii="宋体" w:hAnsi="宋体" w:eastAsia="宋体"/>
                <w:b w:val="0"/>
                <w:sz w:val="18"/>
              </w:rPr>
              <w:t>74.009 / 82.553</w:t>
            </w:r>
          </w:p>
        </w:tc>
        <w:tc>
          <w:tcPr>
            <w:tcW w:type="dxa" w:w="2280"/>
            <w:vAlign w:val="center"/>
          </w:tcPr>
          <w:p>
            <w:r/>
            <w:r>
              <w:rPr>
                <w:rFonts w:ascii="宋体" w:hAnsi="宋体" w:eastAsia="宋体"/>
                <w:b w:val="0"/>
                <w:sz w:val="18"/>
              </w:rPr>
              <w:t>79.931 / 85.220</w:t>
            </w:r>
          </w:p>
        </w:tc>
      </w:tr>
      <w:tr>
        <w:tc>
          <w:tcPr>
            <w:tcW w:type="dxa" w:w="2280"/>
            <w:vAlign w:val="center"/>
          </w:tcPr>
          <w:p>
            <w:r/>
            <w:r>
              <w:rPr>
                <w:rFonts w:ascii="宋体" w:hAnsi="宋体" w:eastAsia="宋体"/>
                <w:b w:val="0"/>
                <w:sz w:val="18"/>
              </w:rPr>
              <w:t>UABC</w:t>
            </w:r>
          </w:p>
        </w:tc>
        <w:tc>
          <w:tcPr>
            <w:tcW w:type="dxa" w:w="2280"/>
            <w:vAlign w:val="center"/>
          </w:tcPr>
          <w:p>
            <w:r/>
            <w:r>
              <w:rPr>
                <w:rFonts w:ascii="宋体" w:hAnsi="宋体" w:eastAsia="宋体"/>
                <w:b w:val="0"/>
                <w:sz w:val="18"/>
              </w:rPr>
              <w:t>74.797 / 82.958</w:t>
            </w:r>
          </w:p>
        </w:tc>
        <w:tc>
          <w:tcPr>
            <w:tcW w:type="dxa" w:w="2280"/>
            <w:vAlign w:val="center"/>
          </w:tcPr>
          <w:p>
            <w:r/>
            <w:r>
              <w:rPr>
                <w:rFonts w:ascii="宋体" w:hAnsi="宋体" w:eastAsia="宋体"/>
                <w:b w:val="0"/>
                <w:sz w:val="18"/>
              </w:rPr>
              <w:t>74.122 / 82.588</w:t>
            </w:r>
          </w:p>
        </w:tc>
        <w:tc>
          <w:tcPr>
            <w:tcW w:type="dxa" w:w="2280"/>
            <w:vAlign w:val="center"/>
          </w:tcPr>
          <w:p>
            <w:r/>
            <w:r>
              <w:rPr>
                <w:rFonts w:ascii="宋体" w:hAnsi="宋体" w:eastAsia="宋体"/>
                <w:b w:val="0"/>
                <w:sz w:val="18"/>
              </w:rPr>
              <w:t>80.696 / 86.193</w:t>
            </w:r>
          </w:p>
        </w:tc>
      </w:tr>
      <w:tr>
        <w:tc>
          <w:tcPr>
            <w:tcW w:type="dxa" w:w="2280"/>
            <w:vAlign w:val="center"/>
          </w:tcPr>
          <w:p>
            <w:r/>
            <w:r>
              <w:rPr>
                <w:rFonts w:ascii="宋体" w:hAnsi="宋体" w:eastAsia="宋体"/>
                <w:b w:val="0"/>
                <w:sz w:val="18"/>
              </w:rPr>
              <w:t>UABCD</w:t>
            </w:r>
          </w:p>
        </w:tc>
        <w:tc>
          <w:tcPr>
            <w:tcW w:type="dxa" w:w="2280"/>
            <w:vAlign w:val="center"/>
          </w:tcPr>
          <w:p>
            <w:r/>
            <w:r>
              <w:rPr>
                <w:rFonts w:ascii="宋体" w:hAnsi="宋体" w:eastAsia="宋体"/>
                <w:b w:val="0"/>
                <w:sz w:val="18"/>
              </w:rPr>
              <w:t>75.128 / 83.306</w:t>
            </w:r>
          </w:p>
        </w:tc>
        <w:tc>
          <w:tcPr>
            <w:tcW w:type="dxa" w:w="2280"/>
            <w:vAlign w:val="center"/>
          </w:tcPr>
          <w:p>
            <w:r/>
            <w:r>
              <w:rPr>
                <w:rFonts w:ascii="宋体" w:hAnsi="宋体" w:eastAsia="宋体"/>
                <w:b w:val="0"/>
                <w:sz w:val="18"/>
              </w:rPr>
              <w:t>74.464 / 82.952</w:t>
            </w:r>
          </w:p>
        </w:tc>
        <w:tc>
          <w:tcPr>
            <w:tcW w:type="dxa" w:w="2280"/>
            <w:vAlign w:val="center"/>
          </w:tcPr>
          <w:p>
            <w:r/>
            <w:r>
              <w:rPr>
                <w:rFonts w:ascii="宋体" w:hAnsi="宋体" w:eastAsia="宋体"/>
                <w:b w:val="0"/>
                <w:sz w:val="18"/>
              </w:rPr>
              <w:t>80.935 / 86.399</w:t>
            </w:r>
          </w:p>
        </w:tc>
      </w:tr>
    </w:tbl>
    <w:p/>
    <w:p>
      <w:pPr>
        <w:jc w:val="center"/>
      </w:pPr>
      <w:r>
        <w:drawing>
          <wp:inline xmlns:a="http://schemas.openxmlformats.org/drawingml/2006/main" xmlns:pic="http://schemas.openxmlformats.org/drawingml/2006/picture">
            <wp:extent cx="5400000" cy="2164557"/>
            <wp:docPr id="10" name="Picture 10"/>
            <wp:cNvGraphicFramePr>
              <a:graphicFrameLocks noChangeAspect="1"/>
            </wp:cNvGraphicFramePr>
            <a:graphic>
              <a:graphicData uri="http://schemas.openxmlformats.org/drawingml/2006/picture">
                <pic:pic>
                  <pic:nvPicPr>
                    <pic:cNvPr id="0" name="fig10_deduplicated_sensitivity.png"/>
                    <pic:cNvPicPr/>
                  </pic:nvPicPr>
                  <pic:blipFill>
                    <a:blip r:embed="rId19"/>
                    <a:stretch>
                      <a:fillRect/>
                    </a:stretch>
                  </pic:blipFill>
                  <pic:spPr>
                    <a:xfrm>
                      <a:off x="0" y="0"/>
                      <a:ext cx="5400000" cy="2164557"/>
                    </a:xfrm>
                    <a:prstGeom prst="rect"/>
                  </pic:spPr>
                </pic:pic>
              </a:graphicData>
            </a:graphic>
          </wp:inline>
        </w:drawing>
      </w:r>
    </w:p>
    <w:p>
      <w:pPr>
        <w:jc w:val="center"/>
      </w:pPr>
      <w:r>
        <w:rPr>
          <w:rFonts w:ascii="宋体" w:hAnsi="宋体" w:eastAsia="宋体"/>
          <w:sz w:val="18"/>
        </w:rPr>
        <w:t>去近重复验证敏感性分析</w:t>
      </w:r>
    </w:p>
    <w:p>
      <w:pPr>
        <w:ind w:firstLine="420"/>
      </w:pPr>
      <w:r>
        <w:rPr>
          <w:rFonts w:ascii="宋体" w:hAnsi="宋体" w:eastAsia="宋体"/>
        </w:rPr>
        <w:t>三种子均值在完整集、clean 子集和近重复暴露子集上均满足第一章 UAB 最优以及第二章 UAB&lt;UABC&lt;UABCD 的 IoU、Dice 严格排序，说明总体递进关系并非仅由近重复病例产生。然而，近重复暴露子集明显更容易：U-Net 的 IoU 比 clean 子集高 7.908 个百分点，UABCD 高 6.471 个百分点；完整验证集的绝对值因此可能受到一定乐观偏移。更重要的是，逐种子检查显示 seed 7 的 UABC 在 clean 子集上相对 UAB 的 IoU、Dice 均轻微下降，seed 41 的 UABC Dice 也轻微下降，只有 seed 73 完整保序。这一反例进一步确认 C 是最不稳定的增量模块。故本文只将该结果解释为“三种子平均排序对近重复剔除具有稳健性”，不将其替代患者级重新划分和重新训练。</w:t>
      </w:r>
    </w:p>
    <w:p>
      <w:pPr>
        <w:pStyle w:val="Heading2"/>
        <w:ind w:firstLine="0"/>
      </w:pPr>
      <w:r>
        <w:t>5.4 统计效应与实际效应</w:t>
      </w:r>
    </w:p>
    <w:p>
      <w:pPr>
        <w:ind w:firstLine="420"/>
      </w:pPr>
      <w:r>
        <w:rPr>
          <w:rFonts w:ascii="宋体" w:hAnsi="宋体" w:eastAsia="宋体"/>
        </w:rPr>
        <w:t>本文区分三类“有效”：</w:t>
      </w:r>
    </w:p>
    <w:p>
      <w:pPr>
        <w:pStyle w:val="ListNumber"/>
        <w:ind w:firstLine="0"/>
      </w:pPr>
      <w:r>
        <w:rPr>
          <w:rFonts w:ascii="宋体" w:hAnsi="宋体" w:eastAsia="宋体"/>
        </w:rPr>
        <w:t>排序有效： 预先规定的聚合 IoU、Dice 排序成立。当前两章均满足。</w:t>
      </w:r>
    </w:p>
    <w:p>
      <w:pPr>
        <w:pStyle w:val="ListNumber"/>
        <w:ind w:firstLine="0"/>
      </w:pPr>
      <w:r>
        <w:rPr>
          <w:rFonts w:ascii="宋体" w:hAnsi="宋体" w:eastAsia="宋体"/>
        </w:rPr>
        <w:t>病例分布有效： 配对检验和置信区间支持多数病例受益。B 相对 U 的证据较强，A、C、D 较弱。</w:t>
      </w:r>
    </w:p>
    <w:p>
      <w:pPr>
        <w:pStyle w:val="ListNumber"/>
        <w:ind w:firstLine="0"/>
      </w:pPr>
      <w:r>
        <w:rPr>
          <w:rFonts w:ascii="宋体" w:hAnsi="宋体" w:eastAsia="宋体"/>
        </w:rPr>
        <w:t>外部泛化有效： 在患者级独立外部数据和多设备场景中保持收益。当前尚未验证。</w:t>
      </w:r>
    </w:p>
    <w:p>
      <w:pPr>
        <w:ind w:firstLine="420"/>
      </w:pPr>
      <w:r>
        <w:rPr>
          <w:rFonts w:ascii="宋体" w:hAnsi="宋体" w:eastAsia="宋体"/>
        </w:rPr>
        <w:t>这种分层表述避免将单次最优结果扩大为临床普适结论。本文已完成三个随机种子并报告均值与标准差；博士论文终稿仍应扩展至五个种子，对每个模型使用相同总更新步数，并在基于患者身份重建的划分和外部数据集上重复验证。</w:t>
      </w:r>
    </w:p>
    <w:p>
      <w:pPr>
        <w:pStyle w:val="Heading2"/>
        <w:ind w:firstLine="0"/>
      </w:pPr>
      <w:r>
        <w:t>5.5 数据标注上限与误差来源</w:t>
      </w:r>
    </w:p>
    <w:p>
      <w:pPr>
        <w:ind w:firstLine="420"/>
      </w:pPr>
      <w:r>
        <w:rPr>
          <w:rFonts w:ascii="宋体" w:hAnsi="宋体" w:eastAsia="宋体"/>
        </w:rPr>
        <w:t>近重复图像间掩码 IoU 最低仅 11.752%，说明同质图像可能对应差异很大的轮廓。此类标签噪声会同时影响模型训练、验证排序和统计检验。完全漏检病例可能来自以下因素：</w:t>
      </w:r>
    </w:p>
    <w:p>
      <w:pPr>
        <w:pStyle w:val="ListBullet"/>
        <w:ind w:firstLine="0"/>
      </w:pPr>
      <w:r>
        <w:rPr>
          <w:rFonts w:ascii="宋体" w:hAnsi="宋体" w:eastAsia="宋体"/>
        </w:rPr>
        <w:t>病灶回声与周围组织高度相似；</w:t>
      </w:r>
    </w:p>
    <w:p>
      <w:pPr>
        <w:pStyle w:val="ListBullet"/>
        <w:ind w:firstLine="0"/>
      </w:pPr>
      <w:r>
        <w:rPr>
          <w:rFonts w:ascii="宋体" w:hAnsi="宋体" w:eastAsia="宋体"/>
        </w:rPr>
        <w:t>图像包含多个疑似区域，而标注只覆盖一个目标；</w:t>
      </w:r>
    </w:p>
    <w:p>
      <w:pPr>
        <w:pStyle w:val="ListBullet"/>
        <w:ind w:firstLine="0"/>
      </w:pPr>
      <w:r>
        <w:rPr>
          <w:rFonts w:ascii="宋体" w:hAnsi="宋体" w:eastAsia="宋体"/>
        </w:rPr>
        <w:t>近重复图像标注标准不一致；</w:t>
      </w:r>
    </w:p>
    <w:p>
      <w:pPr>
        <w:pStyle w:val="ListBullet"/>
        <w:ind w:firstLine="0"/>
      </w:pPr>
      <w:r>
        <w:rPr>
          <w:rFonts w:ascii="宋体" w:hAnsi="宋体" w:eastAsia="宋体"/>
        </w:rPr>
        <w:t>缩放到 256×256 后小病灶结构损失；</w:t>
      </w:r>
    </w:p>
    <w:p>
      <w:pPr>
        <w:pStyle w:val="ListBullet"/>
        <w:ind w:firstLine="0"/>
      </w:pPr>
      <w:r>
        <w:rPr>
          <w:rFonts w:ascii="宋体" w:hAnsi="宋体" w:eastAsia="宋体"/>
        </w:rPr>
        <w:t>模型训练集缺少相似困难模式。</w:t>
      </w:r>
    </w:p>
    <w:p>
      <w:pPr>
        <w:ind w:firstLine="420"/>
      </w:pPr>
      <w:r>
        <w:rPr>
          <w:rFonts w:ascii="宋体" w:hAnsi="宋体" w:eastAsia="宋体"/>
        </w:rPr>
        <w:t>未来应由至少两名高年资超声医师独立复核困难病例，使用 STAPLE 或共识标注构建更可靠金标准，并将标注者间差异纳入不确定性建模。</w:t>
      </w:r>
    </w:p>
    <w:p>
      <w:pPr>
        <w:pStyle w:val="Heading2"/>
        <w:ind w:firstLine="0"/>
      </w:pPr>
      <w:r>
        <w:t>5.6 临床转化讨论</w:t>
      </w:r>
    </w:p>
    <w:p>
      <w:pPr>
        <w:ind w:firstLine="420"/>
      </w:pPr>
      <w:r>
        <w:rPr>
          <w:rFonts w:ascii="宋体" w:hAnsi="宋体" w:eastAsia="宋体"/>
        </w:rPr>
        <w:t>模型输出不能直接替代临床诊断。合理应用方式包括：自动生成初始轮廓供医生修订、批量计算病灶尺寸、辅助随访同一病灶的变化，以及为分类模型提供标准化 ROI。UDER 的不确定性图可进一步作为人工复核提示，但其校准性尚未通过期望校准误差或决策曲线验证。</w:t>
      </w:r>
    </w:p>
    <w:p>
      <w:pPr>
        <w:ind w:firstLine="420"/>
      </w:pPr>
      <w:r>
        <w:rPr>
          <w:rFonts w:ascii="宋体" w:hAnsi="宋体" w:eastAsia="宋体"/>
        </w:rPr>
        <w:t>临床部署还需考虑设备域偏移、灰度动态范围、探头频率、隐私保护、失败检测和推理可追溯性。对完全漏检病例，系统必须具备拒绝机制，而不能仅输出空掩码。</w:t>
      </w:r>
    </w:p>
    <w:p>
      <w:pPr>
        <w:pStyle w:val="Heading2"/>
        <w:ind w:firstLine="0"/>
      </w:pPr>
      <w:r>
        <w:t>5.7 研究局限性</w:t>
      </w:r>
    </w:p>
    <w:p>
      <w:pPr>
        <w:pStyle w:val="ListNumber"/>
        <w:ind w:firstLine="0"/>
      </w:pPr>
      <w:r>
        <w:rPr>
          <w:rFonts w:ascii="宋体" w:hAnsi="宋体" w:eastAsia="宋体"/>
        </w:rPr>
        <w:t>当前核心递进实验只使用 BUSI split 3；虽已完成随机种子 7、41、73 的复核，但三个种子对训练方差的估计仍较粗糙。</w:t>
      </w:r>
    </w:p>
    <w:p>
      <w:pPr>
        <w:pStyle w:val="ListNumber"/>
        <w:ind w:firstLine="0"/>
      </w:pPr>
      <w:r>
        <w:rPr>
          <w:rFonts w:ascii="宋体" w:hAnsi="宋体" w:eastAsia="宋体"/>
        </w:rPr>
        <w:t>数据划分不是经过患者标识核验的患者级独立划分；去除 20 个近重复暴露验证病例后，三种子均值保持排序，但个别种子的 C 增益消失。</w:t>
      </w:r>
    </w:p>
    <w:p>
      <w:pPr>
        <w:pStyle w:val="ListNumber"/>
        <w:ind w:firstLine="0"/>
      </w:pPr>
      <w:r>
        <w:rPr>
          <w:rFonts w:ascii="宋体" w:hAnsi="宋体" w:eastAsia="宋体"/>
        </w:rPr>
        <w:t>渐进模型经历更多优化阶段，尚缺少严格相同总计算预算控制。</w:t>
      </w:r>
    </w:p>
    <w:p>
      <w:pPr>
        <w:pStyle w:val="ListNumber"/>
        <w:ind w:firstLine="0"/>
      </w:pPr>
      <w:r>
        <w:rPr>
          <w:rFonts w:ascii="宋体" w:hAnsi="宋体" w:eastAsia="宋体"/>
        </w:rPr>
        <w:t>C、D 的增益较小，Bootstrap 区间跨零；D 在多数病例上并非正向变化。</w:t>
      </w:r>
    </w:p>
    <w:p>
      <w:pPr>
        <w:pStyle w:val="ListNumber"/>
        <w:ind w:firstLine="0"/>
      </w:pPr>
      <w:r>
        <w:rPr>
          <w:rFonts w:ascii="宋体" w:hAnsi="宋体" w:eastAsia="宋体"/>
        </w:rPr>
        <w:t>未在 Dataset B、UDIAT、私有多中心数据或视频序列上外部验证。</w:t>
      </w:r>
    </w:p>
    <w:p>
      <w:pPr>
        <w:pStyle w:val="ListNumber"/>
        <w:ind w:firstLine="0"/>
      </w:pPr>
      <w:r>
        <w:rPr>
          <w:rFonts w:ascii="宋体" w:hAnsi="宋体" w:eastAsia="宋体"/>
        </w:rPr>
        <w:t>未开展医生读片、轮廓修订时间和临床决策获益实验。</w:t>
      </w:r>
    </w:p>
    <w:p>
      <w:pPr>
        <w:pStyle w:val="ListNumber"/>
        <w:ind w:firstLine="0"/>
      </w:pPr>
      <w:r>
        <w:rPr>
          <w:rFonts w:ascii="宋体" w:hAnsi="宋体" w:eastAsia="宋体"/>
        </w:rPr>
        <w:t>当前论文初稿的文献综述需在正式提交前按学校格式进一步扩充并逐条核验元数据。</w:t>
      </w:r>
    </w:p>
    <w:p>
      <w:pPr>
        <w:pStyle w:val="Heading2"/>
        <w:ind w:firstLine="0"/>
      </w:pPr>
      <w:r>
        <w:t>5.8 可复现性</w:t>
      </w:r>
    </w:p>
    <w:p>
      <w:pPr>
        <w:ind w:firstLine="420"/>
      </w:pPr>
      <w:r>
        <w:rPr>
          <w:rFonts w:ascii="宋体" w:hAnsi="宋体" w:eastAsia="宋体"/>
        </w:rPr>
        <w:t>代码、BUSI 预处理数据、固定划分、训练脚本、评估脚本和最佳阶段结果保存在项目仓库中。模型只使用固定 0.5 阈值，选模依据为逐病例平均 IoU。核心训练入口为 train_thesis_stages.py，评估入口为 evaluate_thesis_stages.py，制图入口为 generate_thesis_artifacts.py，复杂度入口为 benchmark_thesis_models.py。reproducibility_manifest.py 对 split 文件、647 例图像与掩码、六个阶段权重和评估配置生成 SHA-256 清单，以便发现数据或模型被无意替换；该清单只证明当前本地产物完整性，不替代多随机种子和外部验证。</w:t>
      </w:r>
    </w:p>
    <w:p>
      <w:pPr>
        <w:pStyle w:val="Heading1"/>
        <w:ind w:firstLine="0"/>
      </w:pPr>
      <w:r>
        <w:t>第6章 总结与展望</w:t>
      </w:r>
    </w:p>
    <w:p>
      <w:pPr>
        <w:pStyle w:val="Heading2"/>
        <w:ind w:firstLine="0"/>
      </w:pPr>
      <w:r>
        <w:t>6.1 全文总结</w:t>
      </w:r>
    </w:p>
    <w:p>
      <w:pPr>
        <w:ind w:firstLine="420"/>
      </w:pPr>
      <w:r>
        <w:rPr>
          <w:rFonts w:ascii="宋体" w:hAnsi="宋体" w:eastAsia="宋体"/>
        </w:rPr>
        <w:t>本文围绕乳腺超声分割中的多挑战耦合、全局关系缺失、边界几何不足和残余错误非对称问题，提出由 A—D 构成的渐进框架。第一章通过 TriCAR 和 CGR-Bridge 建立局部挑战适配与全局语义一致性，得到本章最优 UnetAB。第二章通过 BD-CoRefine 和 UDER 将语义输出进一步转换为边界—距离几何并执行双向误差修正，得到最终 UABCD。</w:t>
      </w:r>
    </w:p>
    <w:p>
      <w:pPr>
        <w:ind w:firstLine="420"/>
      </w:pPr>
      <w:r>
        <w:rPr>
          <w:rFonts w:ascii="宋体" w:hAnsi="宋体" w:eastAsia="宋体"/>
        </w:rPr>
        <w:t>统一 split 3 实验表明，第一章 U、UA、UB、UAB 的 IoU 为 72.445%、73.622%、74.193%、74.847%，Dice 为 80.718%、81.817%、82.537%、82.943%；第二章 UAB、UABC、UABCD 的 IoU 为 74.847%、74.932%、75.115%，Dice 为 82.943%、83.022%、83.480%。因此，当前实验已经满足两章预设的严格排序关系。</w:t>
      </w:r>
    </w:p>
    <w:p>
      <w:pPr>
        <w:ind w:firstLine="420"/>
      </w:pPr>
      <w:r>
        <w:rPr>
          <w:rFonts w:ascii="宋体" w:hAnsi="宋体" w:eastAsia="宋体"/>
        </w:rPr>
        <w:t>本文的另一项重要结论是：模型点估计排序成立并不意味着模块在所有病例上稳定有效。逐病例统计、置信区间和失败案例揭示了收益异质性，尤其是 D 的均值提升主要来自部分大幅修正病例。该发现为后续研究提供了比单一排行榜数值更具体的问题定义。</w:t>
      </w:r>
    </w:p>
    <w:p>
      <w:pPr>
        <w:pStyle w:val="Heading2"/>
        <w:ind w:firstLine="0"/>
      </w:pPr>
      <w:r>
        <w:t>6.2 未来工作</w:t>
      </w:r>
    </w:p>
    <w:p>
      <w:pPr>
        <w:pStyle w:val="ListNumber"/>
        <w:ind w:firstLine="0"/>
      </w:pPr>
      <w:r>
        <w:rPr>
          <w:rFonts w:ascii="宋体" w:hAnsi="宋体" w:eastAsia="宋体"/>
        </w:rPr>
        <w:t>扩展多随机种子与等预算验证。 当前已完成 3 个种子；终稿应扩展至 5 个种子，对全部变体执行相同总更新步数，采用分层 Bootstrap 或混合效应模型分析模块贡献。</w:t>
      </w:r>
    </w:p>
    <w:p>
      <w:pPr>
        <w:pStyle w:val="ListNumber"/>
        <w:ind w:firstLine="0"/>
      </w:pPr>
      <w:r>
        <w:rPr>
          <w:rFonts w:ascii="宋体" w:hAnsi="宋体" w:eastAsia="宋体"/>
        </w:rPr>
        <w:t>患者级去重与外部验证。 基于患者身份重建划分，并在 UDIAT、Dataset B 和多中心私有数据上验证。</w:t>
      </w:r>
    </w:p>
    <w:p>
      <w:pPr>
        <w:pStyle w:val="ListNumber"/>
        <w:ind w:firstLine="0"/>
      </w:pPr>
      <w:r>
        <w:rPr>
          <w:rFonts w:ascii="宋体" w:hAnsi="宋体" w:eastAsia="宋体"/>
        </w:rPr>
        <w:t>局部高分辨率级联。 使用粗分割定位 ROI，再对局部区域进行高分辨率细化，避免整图尺度偏移。</w:t>
      </w:r>
    </w:p>
    <w:p>
      <w:pPr>
        <w:pStyle w:val="ListNumber"/>
        <w:ind w:firstLine="0"/>
      </w:pPr>
      <w:r>
        <w:rPr>
          <w:rFonts w:ascii="宋体" w:hAnsi="宋体" w:eastAsia="宋体"/>
        </w:rPr>
        <w:t>不确定性校准。 引入温度缩放、深度集成或证据学习，验证不确定性与真实错误的相关性。</w:t>
      </w:r>
    </w:p>
    <w:p>
      <w:pPr>
        <w:pStyle w:val="ListNumber"/>
        <w:ind w:firstLine="0"/>
      </w:pPr>
      <w:r>
        <w:rPr>
          <w:rFonts w:ascii="宋体" w:hAnsi="宋体" w:eastAsia="宋体"/>
        </w:rPr>
        <w:t>拓扑与多病灶建模。 对完全漏检、多病灶和断裂轮廓设计存在性检测与拓扑约束。</w:t>
      </w:r>
    </w:p>
    <w:p>
      <w:pPr>
        <w:pStyle w:val="ListNumber"/>
        <w:ind w:firstLine="0"/>
      </w:pPr>
      <w:r>
        <w:rPr>
          <w:rFonts w:ascii="宋体" w:hAnsi="宋体" w:eastAsia="宋体"/>
        </w:rPr>
        <w:t>临床人机协同。 评价自动轮廓对医生修订时间、重复性和诊断决策的真实影响。</w:t>
      </w:r>
    </w:p>
    <w:p>
      <w:pPr>
        <w:pStyle w:val="Heading1"/>
        <w:ind w:firstLine="0"/>
      </w:pPr>
      <w:r>
        <w:t>参考文献</w:t>
      </w:r>
    </w:p>
    <w:p>
      <w:pPr>
        <w:ind w:firstLine="420"/>
      </w:pPr>
      <w:r>
        <w:rPr>
          <w:rFonts w:ascii="宋体" w:hAnsi="宋体" w:eastAsia="宋体"/>
        </w:rPr>
        <w:t>[1] Ronneberger O, Fischer P, Brox T. U-Net: Convolutional Networks for Biomedical Image Segmentation. MICCAI, 2015.</w:t>
      </w:r>
    </w:p>
    <w:p>
      <w:pPr>
        <w:ind w:firstLine="420"/>
      </w:pPr>
      <w:r>
        <w:rPr>
          <w:rFonts w:ascii="宋体" w:hAnsi="宋体" w:eastAsia="宋体"/>
        </w:rPr>
        <w:t>[2] Oktay O, Schlemper J, Folgoc L L, et al. Attention U-Net: Learning Where to Look for the Pancreas. arXiv:1804.03999, 2018.</w:t>
      </w:r>
    </w:p>
    <w:p>
      <w:pPr>
        <w:ind w:firstLine="420"/>
      </w:pPr>
      <w:r>
        <w:rPr>
          <w:rFonts w:ascii="宋体" w:hAnsi="宋体" w:eastAsia="宋体"/>
        </w:rPr>
        <w:t>[3] Zhou Z, Rahman Siddiquee M M, Tajbakhsh N, Liang J. UNet++: A Nested U-Net Architecture for Medical Image Segmentation. DLMIA, 2018.</w:t>
      </w:r>
    </w:p>
    <w:p>
      <w:pPr>
        <w:ind w:firstLine="420"/>
      </w:pPr>
      <w:r>
        <w:rPr>
          <w:rFonts w:ascii="宋体" w:hAnsi="宋体" w:eastAsia="宋体"/>
        </w:rPr>
        <w:t>[4] Huang H, Lin L, Tong R, et al. UNet 3+: A Full-Scale Connected UNet for Medical Image Segmentation. ICASSP, 2020.</w:t>
      </w:r>
    </w:p>
    <w:p>
      <w:pPr>
        <w:ind w:firstLine="420"/>
      </w:pPr>
      <w:r>
        <w:rPr>
          <w:rFonts w:ascii="宋体" w:hAnsi="宋体" w:eastAsia="宋体"/>
        </w:rPr>
        <w:t>[5] Isensee F, Jaeger P F, Kohl S A A, Petersen J, Maier-Hein K H. nnU-Net: a self-configuring method for deep learning-based biomedical image segmentation. Nature Methods, 2021, 18: 203-211.</w:t>
      </w:r>
    </w:p>
    <w:p>
      <w:pPr>
        <w:ind w:firstLine="420"/>
      </w:pPr>
      <w:r>
        <w:rPr>
          <w:rFonts w:ascii="宋体" w:hAnsi="宋体" w:eastAsia="宋体"/>
        </w:rPr>
        <w:t>[6] Chen J, Lu Y, Yu Q, et al. TransUNet: Transformers Make Strong Encoders for Medical Image Segmentation. arXiv:2102.04306, 2021.</w:t>
      </w:r>
    </w:p>
    <w:p>
      <w:pPr>
        <w:ind w:firstLine="420"/>
      </w:pPr>
      <w:r>
        <w:rPr>
          <w:rFonts w:ascii="宋体" w:hAnsi="宋体" w:eastAsia="宋体"/>
        </w:rPr>
        <w:t>[7] Cao H, Wang Y, Chen J, et al. Swin-Unet: Unet-like Pure Transformer for Medical Image Segmentation. ECCV Workshops, 2022.</w:t>
      </w:r>
    </w:p>
    <w:p>
      <w:pPr>
        <w:ind w:firstLine="420"/>
      </w:pPr>
      <w:r>
        <w:rPr>
          <w:rFonts w:ascii="宋体" w:hAnsi="宋体" w:eastAsia="宋体"/>
        </w:rPr>
        <w:t>[8] Al-Dhabyani W, Gomaa M, Khaled H, Fahmy A. Dataset of breast ultrasound images. Data in Brief, 2020, 28: 104863.</w:t>
      </w:r>
    </w:p>
    <w:p>
      <w:pPr>
        <w:ind w:firstLine="420"/>
      </w:pPr>
      <w:r>
        <w:rPr>
          <w:rFonts w:ascii="宋体" w:hAnsi="宋体" w:eastAsia="宋体"/>
        </w:rPr>
        <w:t>[9] Hu J, Shen L, Sun G. Squeeze-and-Excitation Networks. CVPR, 2018.</w:t>
      </w:r>
    </w:p>
    <w:p>
      <w:pPr>
        <w:ind w:firstLine="420"/>
      </w:pPr>
      <w:r>
        <w:rPr>
          <w:rFonts w:ascii="宋体" w:hAnsi="宋体" w:eastAsia="宋体"/>
        </w:rPr>
        <w:t>[10] Woo S, Park J, Lee J Y, Kweon I S. CBAM: Convolutional Block Attention Module. ECCV, 2018.</w:t>
      </w:r>
    </w:p>
    <w:p>
      <w:pPr>
        <w:ind w:firstLine="420"/>
      </w:pPr>
      <w:r>
        <w:rPr>
          <w:rFonts w:ascii="宋体" w:hAnsi="宋体" w:eastAsia="宋体"/>
        </w:rPr>
        <w:t>[11] Wang X, Girshick R, Gupta A, He K. Non-local Neural Networks. CVPR, 2018.</w:t>
      </w:r>
    </w:p>
    <w:p>
      <w:pPr>
        <w:ind w:firstLine="420"/>
      </w:pPr>
      <w:r>
        <w:rPr>
          <w:rFonts w:ascii="宋体" w:hAnsi="宋体" w:eastAsia="宋体"/>
        </w:rPr>
        <w:t>[12] Kipf T N, Welling M. Semi-Supervised Classification with Graph Convolutional Networks. ICLR, 2017.</w:t>
      </w:r>
    </w:p>
    <w:p>
      <w:pPr>
        <w:ind w:firstLine="420"/>
      </w:pPr>
      <w:r>
        <w:rPr>
          <w:rFonts w:ascii="宋体" w:hAnsi="宋体" w:eastAsia="宋体"/>
        </w:rPr>
        <w:t>[13] Kervadec H, Bouchtiba J, Desrosiers C, et al. Boundary Loss for Highly Unbalanced Segmentation. MIDL, 2019.</w:t>
      </w:r>
    </w:p>
    <w:p>
      <w:pPr>
        <w:ind w:firstLine="420"/>
      </w:pPr>
      <w:r>
        <w:rPr>
          <w:rFonts w:ascii="宋体" w:hAnsi="宋体" w:eastAsia="宋体"/>
        </w:rPr>
        <w:t>[14] Karimi D, Salcudean S E. Reducing the Hausdorff Distance in Medical Image Segmentation with Convolutional Neural Networks. IEEE Transactions on Medical Imaging, 2020, 39(2): 499-513.</w:t>
      </w:r>
    </w:p>
    <w:p>
      <w:pPr>
        <w:ind w:firstLine="420"/>
      </w:pPr>
      <w:r>
        <w:rPr>
          <w:rFonts w:ascii="宋体" w:hAnsi="宋体" w:eastAsia="宋体"/>
        </w:rPr>
        <w:t>[15] Gal Y, Ghahramani Z. Dropout as a Bayesian Approximation: Representing Model Uncertainty in Deep Learning. ICML, 2016.</w:t>
      </w:r>
    </w:p>
    <w:p>
      <w:pPr>
        <w:ind w:firstLine="420"/>
      </w:pPr>
      <w:r>
        <w:rPr>
          <w:rFonts w:ascii="宋体" w:hAnsi="宋体" w:eastAsia="宋体"/>
        </w:rPr>
        <w:t>[16] Lakshminarayanan B, Pritzel A, Blundell C. Simple and Scalable Predictive Uncertainty Estimation using Deep Ensembles. NeurIPS, 2017.</w:t>
      </w:r>
    </w:p>
    <w:p>
      <w:pPr>
        <w:ind w:firstLine="420"/>
      </w:pPr>
      <w:r>
        <w:rPr>
          <w:rFonts w:ascii="宋体" w:hAnsi="宋体" w:eastAsia="宋体"/>
        </w:rPr>
        <w:t>[17] Kendall A, Gal Y. What Uncertainties Do We Need in Bayesian Deep Learning for Computer Vision? NeurIPS, 2017.</w:t>
      </w:r>
    </w:p>
    <w:p>
      <w:pPr>
        <w:ind w:firstLine="420"/>
      </w:pPr>
      <w:r>
        <w:rPr>
          <w:rFonts w:ascii="宋体" w:hAnsi="宋体" w:eastAsia="宋体"/>
        </w:rPr>
        <w:t>[18] Kirillov A, Mintun E, Ravi N, et al. Segment Anything. ICCV, 2023.</w:t>
      </w:r>
    </w:p>
    <w:p>
      <w:pPr>
        <w:ind w:firstLine="420"/>
      </w:pPr>
      <w:r>
        <w:rPr>
          <w:rFonts w:ascii="宋体" w:hAnsi="宋体" w:eastAsia="宋体"/>
        </w:rPr>
        <w:t>[19] Ma J, He Y, Li F, et al. Segment anything in medical images. Nature Communications, 2024, 15: 654.</w:t>
      </w:r>
    </w:p>
    <w:p>
      <w:pPr>
        <w:ind w:firstLine="420"/>
      </w:pPr>
      <w:r>
        <w:rPr>
          <w:rFonts w:ascii="宋体" w:hAnsi="宋体" w:eastAsia="宋体"/>
        </w:rPr>
        <w:t>[20] Zhang W, Wu H, Qin J. Domesticating SAM for Breast Ultrasound Image Segmentation via Spatial-Frequency Fusion and Uncertainty Correction. European Conference on Computer Vision, 2024: 20-37. DOI: 10.1007/978-3-031-73337-6_2.</w:t>
      </w:r>
    </w:p>
    <w:p>
      <w:pPr>
        <w:ind w:firstLine="420"/>
      </w:pPr>
      <w:r>
        <w:rPr>
          <w:rFonts w:ascii="宋体" w:hAnsi="宋体" w:eastAsia="宋体"/>
        </w:rPr>
        <w:t>[21] Sun D, Dong C, Yan Y, Jiang B, Duan Y, Tu Z, Zhang C. Challenge-aware U-net for breast lesion segmentation in ultrasound images. Pattern Recognition, 2025, 168: 111851. DOI: 10.1016/j.patcog.2025.111851.</w:t>
      </w:r>
    </w:p>
    <w:p>
      <w:pPr>
        <w:ind w:firstLine="420"/>
      </w:pPr>
      <w:r>
        <w:rPr>
          <w:rFonts w:ascii="宋体" w:hAnsi="宋体" w:eastAsia="宋体"/>
        </w:rPr>
        <w:t>[22] Yang X, Zhang J, Ou Y, Chen Q, Wang L, Wang L. Multilevel perception boundary-guided network for breast lesion segmentation in ultrasound images. Medical Physics, 2025, 52(5): 3117-3134. DOI: 10.1002/mp.17647.</w:t>
      </w:r>
    </w:p>
    <w:p>
      <w:pPr>
        <w:ind w:firstLine="420"/>
      </w:pPr>
      <w:r>
        <w:rPr>
          <w:rFonts w:ascii="宋体" w:hAnsi="宋体" w:eastAsia="宋体"/>
        </w:rPr>
        <w:t>[23] Pawłowska A, Karwat P, Żołek N. Letter to the Editor. Re: “Dataset of breast ultrasound images by W. Al-Dhabyani, M. Gomaa, H. Khaled &amp; A. Fahmy, Data in Brief, 2020, 28, 104863”. Data in Brief, 2023, 48: 109247. DOI: 10.1016/j.dib.2023.109247.</w:t>
      </w:r>
    </w:p>
    <w:p>
      <w:pPr>
        <w:ind w:firstLine="420"/>
      </w:pPr>
      <w:r>
        <w:rPr>
          <w:rFonts w:ascii="宋体" w:hAnsi="宋体" w:eastAsia="宋体"/>
        </w:rPr>
        <w:t>[24] Loshchilov I, Hutter F. Decoupled Weight Decay Regularization. ICLR, 2019.</w:t>
      </w:r>
    </w:p>
    <w:p>
      <w:pPr>
        <w:ind w:firstLine="420"/>
      </w:pPr>
      <w:r>
        <w:rPr>
          <w:rFonts w:ascii="宋体" w:hAnsi="宋体" w:eastAsia="宋体"/>
        </w:rPr>
        <w:t>[25] Lin T Y, Goyal P, Girshick R, He K, Dollar P. Focal Loss for Dense Object Detection. ICCV, 2017.</w:t>
      </w:r>
    </w:p>
    <w:p>
      <w:pPr>
        <w:ind w:firstLine="420"/>
      </w:pPr>
      <w:r>
        <w:rPr>
          <w:rFonts w:ascii="宋体" w:hAnsi="宋体" w:eastAsia="宋体"/>
        </w:rPr>
        <w:t>[26] Milletari F, Navab N, Ahmadi S A. V-Net: Fully Convolutional Neural Networks for Volumetric Medical Image Segmentation. 3DV, 2016.</w:t>
      </w:r>
    </w:p>
    <w:p>
      <w:pPr>
        <w:ind w:firstLine="420"/>
      </w:pPr>
      <w:r>
        <w:rPr>
          <w:rFonts w:ascii="宋体" w:hAnsi="宋体" w:eastAsia="宋体"/>
        </w:rPr>
        <w:t>[27] Sudre C H, Li W, Vercauteren T, Ourselin S, Cardoso M J. Generalised Dice Overlap as a Deep Learning Loss Function for Highly Unbalanced Segmentations. DLMIA, 2017.</w:t>
      </w:r>
    </w:p>
    <w:p>
      <w:pPr>
        <w:ind w:firstLine="420"/>
      </w:pPr>
      <w:r>
        <w:rPr>
          <w:rFonts w:ascii="宋体" w:hAnsi="宋体" w:eastAsia="宋体"/>
        </w:rPr>
        <w:t>[28] Efron B, Tibshirani R J. An Introduction to the Bootstrap. Chapman &amp; Hall/CRC, 1993.</w:t>
      </w:r>
    </w:p>
    <w:p>
      <w:pPr>
        <w:ind w:firstLine="420"/>
      </w:pPr>
      <w:r>
        <w:rPr>
          <w:rFonts w:ascii="宋体" w:hAnsi="宋体" w:eastAsia="宋体"/>
        </w:rPr>
        <w:t>[29] Wilcoxon F. Individual Comparisons by Ranking Methods. Biometrics Bulletin, 1945, 1(6): 80-83.</w:t>
      </w:r>
    </w:p>
    <w:p>
      <w:pPr>
        <w:ind w:firstLine="420"/>
      </w:pPr>
      <w:r>
        <w:rPr>
          <w:rFonts w:ascii="宋体" w:hAnsi="宋体" w:eastAsia="宋体"/>
        </w:rPr>
        <w:t>[30] Lundberg S M, Lee S I. A Unified Approach to Interpreting Model Predictions. NeurIPS, 2017.</w:t>
      </w:r>
    </w:p>
    <w:p>
      <w:pPr>
        <w:pStyle w:val="Heading1"/>
        <w:ind w:firstLine="0"/>
      </w:pPr>
      <w:r>
        <w:t>附录 A 关键复现实验命令</w:t>
      </w:r>
    </w:p>
    <w:p>
      <w:pPr>
        <w:ind w:left="340" w:firstLine="0"/>
      </w:pPr>
      <w:r>
        <w:rPr>
          <w:rFonts w:ascii="Consolas" w:hAnsi="Consolas"/>
          <w:sz w:val="17"/>
        </w:rPr>
        <w:t># 第一章：UA</w:t>
        <w:br/>
        <w:t>E:\anaconda3\envs\my_pytorch\python.exe train_thesis_stages.py `</w:t>
        <w:br/>
        <w:t xml:space="preserve">  --variant UA `</w:t>
        <w:br/>
        <w:t xml:space="preserve">  --init_checkpoint .\runs\busi_opt_ch1\screen100_A0\best_model.pth `</w:t>
        <w:br/>
        <w:t xml:space="preserve">  --new_module A `</w:t>
        <w:br/>
        <w:t xml:space="preserve">  --output_dir .\runs\thesis_ch1\UA_seed41_e60 `</w:t>
        <w:br/>
        <w:t xml:space="preserve">  --epochs 60 --seed 41</w:t>
        <w:br/>
        <w:br/>
        <w:t># 第一章：UB</w:t>
        <w:br/>
        <w:t>E:\anaconda3\envs\my_pytorch\python.exe train_thesis_stages.py `</w:t>
        <w:br/>
        <w:t xml:space="preserve">  --variant UB `</w:t>
        <w:br/>
        <w:t xml:space="preserve">  --init_checkpoint .\runs\busi_opt_ch1\screen100_A0\best_model.pth `</w:t>
        <w:br/>
        <w:t xml:space="preserve">  --new_module B `</w:t>
        <w:br/>
        <w:t xml:space="preserve">  --output_dir .\runs\thesis_ch1\UB_seed41_e60 `</w:t>
        <w:br/>
        <w:t xml:space="preserve">  --epochs 60 --seed 41</w:t>
        <w:br/>
        <w:br/>
        <w:t># 第一章：UAB / UnetAB</w:t>
        <w:br/>
        <w:t>E:\anaconda3\envs\my_pytorch\python.exe train_thesis_stages.py `</w:t>
        <w:br/>
        <w:t xml:space="preserve">  --variant UAB `</w:t>
        <w:br/>
        <w:t xml:space="preserve">  --init_checkpoint .\runs\thesis_ch1\UB_seed41_e60\best_model.pth `</w:t>
        <w:br/>
        <w:t xml:space="preserve">  --new_module A `</w:t>
        <w:br/>
        <w:t xml:space="preserve">  --output_dir .\runs\thesis_ch1\UAB_seed41_e60 `</w:t>
        <w:br/>
        <w:t xml:space="preserve">  --epochs 60 --seed 41</w:t>
        <w:br/>
        <w:br/>
        <w:t># 第二章：UABC</w:t>
        <w:br/>
        <w:t>E:\anaconda3\envs\my_pytorch\python.exe train_thesis_stages.py `</w:t>
        <w:br/>
        <w:t xml:space="preserve">  --variant UABC `</w:t>
        <w:br/>
        <w:t xml:space="preserve">  --init_checkpoint .\runs\thesis_ch1\UAB_seed41_e60\best_model.pth `</w:t>
        <w:br/>
        <w:t xml:space="preserve">  --new_module C `</w:t>
        <w:br/>
        <w:t xml:space="preserve">  --output_dir .\runs\thesis_ch2\UABC_seed41_e60 `</w:t>
        <w:br/>
        <w:t xml:space="preserve">  --epochs 60 --seed 41</w:t>
        <w:br/>
        <w:br/>
        <w:t># 第二章：UABCD</w:t>
        <w:br/>
        <w:t>E:\anaconda3\envs\my_pytorch\python.exe train_thesis_stages.py `</w:t>
        <w:br/>
        <w:t xml:space="preserve">  --variant UABCD `</w:t>
        <w:br/>
        <w:t xml:space="preserve">  --init_checkpoint .\runs\thesis_ch2\UABC_seed41_e60\best_model.pth `</w:t>
        <w:br/>
        <w:t xml:space="preserve">  --new_module D `</w:t>
        <w:br/>
        <w:t xml:space="preserve">  --output_dir .\runs\thesis_ch2\UABCD_seed41_e60 `</w:t>
        <w:br/>
        <w:t xml:space="preserve">  --epochs 60 --seed 41</w:t>
      </w:r>
    </w:p>
    <w:p>
      <w:pPr>
        <w:pStyle w:val="Heading1"/>
        <w:ind w:firstLine="0"/>
      </w:pPr>
      <w:r>
        <w:t>附录 B 完成度与待补实验</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vAlign w:val="center"/>
          </w:tcPr>
          <w:p>
            <w:r/>
            <w:r>
              <w:rPr>
                <w:rFonts w:ascii="宋体" w:hAnsi="宋体" w:eastAsia="宋体"/>
                <w:b/>
                <w:sz w:val="18"/>
              </w:rPr>
              <w:t>项目</w:t>
            </w:r>
          </w:p>
        </w:tc>
        <w:tc>
          <w:tcPr>
            <w:tcW w:type="dxa" w:w="3041"/>
            <w:vAlign w:val="center"/>
          </w:tcPr>
          <w:p>
            <w:r/>
            <w:r>
              <w:rPr>
                <w:rFonts w:ascii="宋体" w:hAnsi="宋体" w:eastAsia="宋体"/>
                <w:b/>
                <w:sz w:val="18"/>
              </w:rPr>
              <w:t>当前状态</w:t>
            </w:r>
          </w:p>
        </w:tc>
        <w:tc>
          <w:tcPr>
            <w:tcW w:type="dxa" w:w="3041"/>
            <w:vAlign w:val="center"/>
          </w:tcPr>
          <w:p>
            <w:r/>
            <w:r>
              <w:rPr>
                <w:rFonts w:ascii="宋体" w:hAnsi="宋体" w:eastAsia="宋体"/>
                <w:b/>
                <w:sz w:val="18"/>
              </w:rPr>
              <w:t>终稿前要求</w:t>
            </w:r>
          </w:p>
        </w:tc>
      </w:tr>
      <w:tr>
        <w:tc>
          <w:tcPr>
            <w:tcW w:type="dxa" w:w="3041"/>
            <w:vAlign w:val="center"/>
          </w:tcPr>
          <w:p>
            <w:r/>
            <w:r>
              <w:rPr>
                <w:rFonts w:ascii="宋体" w:hAnsi="宋体" w:eastAsia="宋体"/>
                <w:b w:val="0"/>
                <w:sz w:val="18"/>
              </w:rPr>
              <w:t>两章递进模型排序</w:t>
            </w:r>
          </w:p>
        </w:tc>
        <w:tc>
          <w:tcPr>
            <w:tcW w:type="dxa" w:w="3041"/>
            <w:vAlign w:val="center"/>
          </w:tcPr>
          <w:p>
            <w:r/>
            <w:r>
              <w:rPr>
                <w:rFonts w:ascii="宋体" w:hAnsi="宋体" w:eastAsia="宋体"/>
                <w:b w:val="0"/>
                <w:sz w:val="18"/>
              </w:rPr>
              <w:t>已完成</w:t>
            </w:r>
          </w:p>
        </w:tc>
        <w:tc>
          <w:tcPr>
            <w:tcW w:type="dxa" w:w="3041"/>
            <w:vAlign w:val="center"/>
          </w:tcPr>
          <w:p>
            <w:r/>
            <w:r>
              <w:rPr>
                <w:rFonts w:ascii="宋体" w:hAnsi="宋体" w:eastAsia="宋体"/>
                <w:b w:val="0"/>
                <w:sz w:val="18"/>
              </w:rPr>
              <w:t>多种子复核</w:t>
            </w:r>
          </w:p>
        </w:tc>
      </w:tr>
      <w:tr>
        <w:tc>
          <w:tcPr>
            <w:tcW w:type="dxa" w:w="3041"/>
            <w:vAlign w:val="center"/>
          </w:tcPr>
          <w:p>
            <w:r/>
            <w:r>
              <w:rPr>
                <w:rFonts w:ascii="宋体" w:hAnsi="宋体" w:eastAsia="宋体"/>
                <w:b w:val="0"/>
                <w:sz w:val="18"/>
              </w:rPr>
              <w:t>随机种子复核</w:t>
            </w:r>
          </w:p>
        </w:tc>
        <w:tc>
          <w:tcPr>
            <w:tcW w:type="dxa" w:w="3041"/>
            <w:vAlign w:val="center"/>
          </w:tcPr>
          <w:p>
            <w:r/>
            <w:r>
              <w:rPr>
                <w:rFonts w:ascii="宋体" w:hAnsi="宋体" w:eastAsia="宋体"/>
                <w:b w:val="0"/>
                <w:sz w:val="18"/>
              </w:rPr>
              <w:t>已完成 3 个种子</w:t>
            </w:r>
          </w:p>
        </w:tc>
        <w:tc>
          <w:tcPr>
            <w:tcW w:type="dxa" w:w="3041"/>
            <w:vAlign w:val="center"/>
          </w:tcPr>
          <w:p>
            <w:r/>
            <w:r>
              <w:rPr>
                <w:rFonts w:ascii="宋体" w:hAnsi="宋体" w:eastAsia="宋体"/>
                <w:b w:val="0"/>
                <w:sz w:val="18"/>
              </w:rPr>
              <w:t>扩展至 5 个种子</w:t>
            </w:r>
          </w:p>
        </w:tc>
      </w:tr>
      <w:tr>
        <w:tc>
          <w:tcPr>
            <w:tcW w:type="dxa" w:w="3041"/>
            <w:vAlign w:val="center"/>
          </w:tcPr>
          <w:p>
            <w:r/>
            <w:r>
              <w:rPr>
                <w:rFonts w:ascii="宋体" w:hAnsi="宋体" w:eastAsia="宋体"/>
                <w:b w:val="0"/>
                <w:sz w:val="18"/>
              </w:rPr>
              <w:t>零差异渐进初始化</w:t>
            </w:r>
          </w:p>
        </w:tc>
        <w:tc>
          <w:tcPr>
            <w:tcW w:type="dxa" w:w="3041"/>
            <w:vAlign w:val="center"/>
          </w:tcPr>
          <w:p>
            <w:r/>
            <w:r>
              <w:rPr>
                <w:rFonts w:ascii="宋体" w:hAnsi="宋体" w:eastAsia="宋体"/>
                <w:b w:val="0"/>
                <w:sz w:val="18"/>
              </w:rPr>
              <w:t>已完成</w:t>
            </w:r>
          </w:p>
        </w:tc>
        <w:tc>
          <w:tcPr>
            <w:tcW w:type="dxa" w:w="3041"/>
            <w:vAlign w:val="center"/>
          </w:tcPr>
          <w:p>
            <w:r/>
            <w:r>
              <w:rPr>
                <w:rFonts w:ascii="宋体" w:hAnsi="宋体" w:eastAsia="宋体"/>
                <w:b w:val="0"/>
                <w:sz w:val="18"/>
              </w:rPr>
              <w:t>保留单元测试</w:t>
            </w:r>
          </w:p>
        </w:tc>
      </w:tr>
      <w:tr>
        <w:tc>
          <w:tcPr>
            <w:tcW w:type="dxa" w:w="3041"/>
            <w:vAlign w:val="center"/>
          </w:tcPr>
          <w:p>
            <w:r/>
            <w:r>
              <w:rPr>
                <w:rFonts w:ascii="宋体" w:hAnsi="宋体" w:eastAsia="宋体"/>
                <w:b w:val="0"/>
                <w:sz w:val="18"/>
              </w:rPr>
              <w:t>split 3 独立评估</w:t>
            </w:r>
          </w:p>
        </w:tc>
        <w:tc>
          <w:tcPr>
            <w:tcW w:type="dxa" w:w="3041"/>
            <w:vAlign w:val="center"/>
          </w:tcPr>
          <w:p>
            <w:r/>
            <w:r>
              <w:rPr>
                <w:rFonts w:ascii="宋体" w:hAnsi="宋体" w:eastAsia="宋体"/>
                <w:b w:val="0"/>
                <w:sz w:val="18"/>
              </w:rPr>
              <w:t>已完成</w:t>
            </w:r>
          </w:p>
        </w:tc>
        <w:tc>
          <w:tcPr>
            <w:tcW w:type="dxa" w:w="3041"/>
            <w:vAlign w:val="center"/>
          </w:tcPr>
          <w:p>
            <w:r/>
            <w:r>
              <w:rPr>
                <w:rFonts w:ascii="宋体" w:hAnsi="宋体" w:eastAsia="宋体"/>
                <w:b w:val="0"/>
                <w:sz w:val="18"/>
              </w:rPr>
              <w:t>患者级去重划分</w:t>
            </w:r>
          </w:p>
        </w:tc>
      </w:tr>
      <w:tr>
        <w:tc>
          <w:tcPr>
            <w:tcW w:type="dxa" w:w="3041"/>
            <w:vAlign w:val="center"/>
          </w:tcPr>
          <w:p>
            <w:r/>
            <w:r>
              <w:rPr>
                <w:rFonts w:ascii="宋体" w:hAnsi="宋体" w:eastAsia="宋体"/>
                <w:b w:val="0"/>
                <w:sz w:val="18"/>
              </w:rPr>
              <w:t>去近重复敏感性分析</w:t>
            </w:r>
          </w:p>
        </w:tc>
        <w:tc>
          <w:tcPr>
            <w:tcW w:type="dxa" w:w="3041"/>
            <w:vAlign w:val="center"/>
          </w:tcPr>
          <w:p>
            <w:r/>
            <w:r>
              <w:rPr>
                <w:rFonts w:ascii="宋体" w:hAnsi="宋体" w:eastAsia="宋体"/>
                <w:b w:val="0"/>
                <w:sz w:val="18"/>
              </w:rPr>
              <w:t>已完成三种子、175 例 clean 子集</w:t>
            </w:r>
          </w:p>
        </w:tc>
        <w:tc>
          <w:tcPr>
            <w:tcW w:type="dxa" w:w="3041"/>
            <w:vAlign w:val="center"/>
          </w:tcPr>
          <w:p>
            <w:r/>
            <w:r>
              <w:rPr>
                <w:rFonts w:ascii="宋体" w:hAnsi="宋体" w:eastAsia="宋体"/>
                <w:b w:val="0"/>
                <w:sz w:val="18"/>
              </w:rPr>
              <w:t>基于患者身份重新划分并训练</w:t>
            </w:r>
          </w:p>
        </w:tc>
      </w:tr>
      <w:tr>
        <w:tc>
          <w:tcPr>
            <w:tcW w:type="dxa" w:w="3041"/>
            <w:vAlign w:val="center"/>
          </w:tcPr>
          <w:p>
            <w:r/>
            <w:r>
              <w:rPr>
                <w:rFonts w:ascii="宋体" w:hAnsi="宋体" w:eastAsia="宋体"/>
                <w:b w:val="0"/>
                <w:sz w:val="18"/>
              </w:rPr>
              <w:t>训练曲线与定性图</w:t>
            </w:r>
          </w:p>
        </w:tc>
        <w:tc>
          <w:tcPr>
            <w:tcW w:type="dxa" w:w="3041"/>
            <w:vAlign w:val="center"/>
          </w:tcPr>
          <w:p>
            <w:r/>
            <w:r>
              <w:rPr>
                <w:rFonts w:ascii="宋体" w:hAnsi="宋体" w:eastAsia="宋体"/>
                <w:b w:val="0"/>
                <w:sz w:val="18"/>
              </w:rPr>
              <w:t>已完成</w:t>
            </w:r>
          </w:p>
        </w:tc>
        <w:tc>
          <w:tcPr>
            <w:tcW w:type="dxa" w:w="3041"/>
            <w:vAlign w:val="center"/>
          </w:tcPr>
          <w:p>
            <w:r/>
            <w:r>
              <w:rPr>
                <w:rFonts w:ascii="宋体" w:hAnsi="宋体" w:eastAsia="宋体"/>
                <w:b w:val="0"/>
                <w:sz w:val="18"/>
              </w:rPr>
              <w:t>增加外部数据图</w:t>
            </w:r>
          </w:p>
        </w:tc>
      </w:tr>
      <w:tr>
        <w:tc>
          <w:tcPr>
            <w:tcW w:type="dxa" w:w="3041"/>
            <w:vAlign w:val="center"/>
          </w:tcPr>
          <w:p>
            <w:r/>
            <w:r>
              <w:rPr>
                <w:rFonts w:ascii="宋体" w:hAnsi="宋体" w:eastAsia="宋体"/>
                <w:b w:val="0"/>
                <w:sz w:val="18"/>
              </w:rPr>
              <w:t>Bootstrap 与 Wilcoxon</w:t>
            </w:r>
          </w:p>
        </w:tc>
        <w:tc>
          <w:tcPr>
            <w:tcW w:type="dxa" w:w="3041"/>
            <w:vAlign w:val="center"/>
          </w:tcPr>
          <w:p>
            <w:r/>
            <w:r>
              <w:rPr>
                <w:rFonts w:ascii="宋体" w:hAnsi="宋体" w:eastAsia="宋体"/>
                <w:b w:val="0"/>
                <w:sz w:val="18"/>
              </w:rPr>
              <w:t>已完成</w:t>
            </w:r>
          </w:p>
        </w:tc>
        <w:tc>
          <w:tcPr>
            <w:tcW w:type="dxa" w:w="3041"/>
            <w:vAlign w:val="center"/>
          </w:tcPr>
          <w:p>
            <w:r/>
            <w:r>
              <w:rPr>
                <w:rFonts w:ascii="宋体" w:hAnsi="宋体" w:eastAsia="宋体"/>
                <w:b w:val="0"/>
                <w:sz w:val="18"/>
              </w:rPr>
              <w:t>多种子层级统计</w:t>
            </w:r>
          </w:p>
        </w:tc>
      </w:tr>
      <w:tr>
        <w:tc>
          <w:tcPr>
            <w:tcW w:type="dxa" w:w="3041"/>
            <w:vAlign w:val="center"/>
          </w:tcPr>
          <w:p>
            <w:r/>
            <w:r>
              <w:rPr>
                <w:rFonts w:ascii="宋体" w:hAnsi="宋体" w:eastAsia="宋体"/>
                <w:b w:val="0"/>
                <w:sz w:val="18"/>
              </w:rPr>
              <w:t>模型复杂度与延迟</w:t>
            </w:r>
          </w:p>
        </w:tc>
        <w:tc>
          <w:tcPr>
            <w:tcW w:type="dxa" w:w="3041"/>
            <w:vAlign w:val="center"/>
          </w:tcPr>
          <w:p>
            <w:r/>
            <w:r>
              <w:rPr>
                <w:rFonts w:ascii="宋体" w:hAnsi="宋体" w:eastAsia="宋体"/>
                <w:b w:val="0"/>
                <w:sz w:val="18"/>
              </w:rPr>
              <w:t>已完成</w:t>
            </w:r>
          </w:p>
        </w:tc>
        <w:tc>
          <w:tcPr>
            <w:tcW w:type="dxa" w:w="3041"/>
            <w:vAlign w:val="center"/>
          </w:tcPr>
          <w:p>
            <w:r/>
            <w:r>
              <w:rPr>
                <w:rFonts w:ascii="宋体" w:hAnsi="宋体" w:eastAsia="宋体"/>
                <w:b w:val="0"/>
                <w:sz w:val="18"/>
              </w:rPr>
              <w:t>不同 GPU/CPU 测试</w:t>
            </w:r>
          </w:p>
        </w:tc>
      </w:tr>
      <w:tr>
        <w:tc>
          <w:tcPr>
            <w:tcW w:type="dxa" w:w="3041"/>
            <w:vAlign w:val="center"/>
          </w:tcPr>
          <w:p>
            <w:r/>
            <w:r>
              <w:rPr>
                <w:rFonts w:ascii="宋体" w:hAnsi="宋体" w:eastAsia="宋体"/>
                <w:b w:val="0"/>
                <w:sz w:val="18"/>
              </w:rPr>
              <w:t>外部数据集</w:t>
            </w:r>
          </w:p>
        </w:tc>
        <w:tc>
          <w:tcPr>
            <w:tcW w:type="dxa" w:w="3041"/>
            <w:vAlign w:val="center"/>
          </w:tcPr>
          <w:p>
            <w:r/>
            <w:r>
              <w:rPr>
                <w:rFonts w:ascii="宋体" w:hAnsi="宋体" w:eastAsia="宋体"/>
                <w:b w:val="0"/>
                <w:sz w:val="18"/>
              </w:rPr>
              <w:t>未完成</w:t>
            </w:r>
          </w:p>
        </w:tc>
        <w:tc>
          <w:tcPr>
            <w:tcW w:type="dxa" w:w="3041"/>
            <w:vAlign w:val="center"/>
          </w:tcPr>
          <w:p>
            <w:r/>
            <w:r>
              <w:rPr>
                <w:rFonts w:ascii="宋体" w:hAnsi="宋体" w:eastAsia="宋体"/>
                <w:b w:val="0"/>
                <w:sz w:val="18"/>
              </w:rPr>
              <w:t>至少一个公开外部集</w:t>
            </w:r>
          </w:p>
        </w:tc>
      </w:tr>
      <w:tr>
        <w:tc>
          <w:tcPr>
            <w:tcW w:type="dxa" w:w="3041"/>
            <w:vAlign w:val="center"/>
          </w:tcPr>
          <w:p>
            <w:r/>
            <w:r>
              <w:rPr>
                <w:rFonts w:ascii="宋体" w:hAnsi="宋体" w:eastAsia="宋体"/>
                <w:b w:val="0"/>
                <w:sz w:val="18"/>
              </w:rPr>
              <w:t>医生读片实验</w:t>
            </w:r>
          </w:p>
        </w:tc>
        <w:tc>
          <w:tcPr>
            <w:tcW w:type="dxa" w:w="3041"/>
            <w:vAlign w:val="center"/>
          </w:tcPr>
          <w:p>
            <w:r/>
            <w:r>
              <w:rPr>
                <w:rFonts w:ascii="宋体" w:hAnsi="宋体" w:eastAsia="宋体"/>
                <w:b w:val="0"/>
                <w:sz w:val="18"/>
              </w:rPr>
              <w:t>未完成</w:t>
            </w:r>
          </w:p>
        </w:tc>
        <w:tc>
          <w:tcPr>
            <w:tcW w:type="dxa" w:w="3041"/>
            <w:vAlign w:val="center"/>
          </w:tcPr>
          <w:p>
            <w:r/>
            <w:r>
              <w:rPr>
                <w:rFonts w:ascii="宋体" w:hAnsi="宋体" w:eastAsia="宋体"/>
                <w:b w:val="0"/>
                <w:sz w:val="18"/>
              </w:rPr>
              <w:t>伦理审批后开展</w:t>
            </w:r>
          </w:p>
        </w:tc>
      </w:tr>
      <w:tr>
        <w:tc>
          <w:tcPr>
            <w:tcW w:type="dxa" w:w="3041"/>
            <w:vAlign w:val="center"/>
          </w:tcPr>
          <w:p>
            <w:r/>
            <w:r>
              <w:rPr>
                <w:rFonts w:ascii="宋体" w:hAnsi="宋体" w:eastAsia="宋体"/>
                <w:b w:val="0"/>
                <w:sz w:val="18"/>
              </w:rPr>
              <w:t>近期核心文献元数据</w:t>
            </w:r>
          </w:p>
        </w:tc>
        <w:tc>
          <w:tcPr>
            <w:tcW w:type="dxa" w:w="3041"/>
            <w:vAlign w:val="center"/>
          </w:tcPr>
          <w:p>
            <w:r/>
            <w:r>
              <w:rPr>
                <w:rFonts w:ascii="宋体" w:hAnsi="宋体" w:eastAsia="宋体"/>
                <w:b w:val="0"/>
                <w:sz w:val="18"/>
              </w:rPr>
              <w:t>已核验 4 篇</w:t>
            </w:r>
          </w:p>
        </w:tc>
        <w:tc>
          <w:tcPr>
            <w:tcW w:type="dxa" w:w="3041"/>
            <w:vAlign w:val="center"/>
          </w:tcPr>
          <w:p>
            <w:r/>
            <w:r>
              <w:rPr>
                <w:rFonts w:ascii="宋体" w:hAnsi="宋体" w:eastAsia="宋体"/>
                <w:b w:val="0"/>
                <w:sz w:val="18"/>
              </w:rPr>
              <w:t>全部参考文献按学校模板逐条复核</w:t>
            </w:r>
          </w:p>
        </w:tc>
      </w:tr>
    </w:tbl>
    <w:p/>
    <w:sectPr w:rsidR="00FC693F" w:rsidRPr="0006063C" w:rsidSect="00034616">
      <w:footerReference w:type="default" r:id="rId9"/>
      <w:pgSz w:w="12240" w:h="15840"/>
      <w:pgMar w:top="1474" w:right="1417" w:bottom="1361" w:left="1701" w:header="737"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20"/>
      <w:ind w:firstLine="0"/>
      <w:outlineLvl w:val="3"/>
    </w:pPr>
    <w:rPr>
      <w:rFonts w:asciiTheme="majorHAnsi" w:eastAsiaTheme="majorEastAsia" w:hAnsiTheme="majorHAnsi" w:cstheme="majorBidi" w:eastAsia="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乳腺超声图像渐进分割方法研究</dc:title>
  <dc:subject>U-Net, BUSI, 医学图像分割</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