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Annual Performance Review Guide</w:t>
      </w:r>
    </w:p>
    <w:p>
      <w:r>
        <w:t>This document provides guidance for managers and employees conducting the annual performance review cycle at TechCorp.</w:t>
      </w:r>
    </w:p>
    <w:p>
      <w:pPr>
        <w:pStyle w:val="Heading1"/>
      </w:pPr>
      <w:r>
        <w:t>Review Process Overview</w:t>
      </w:r>
    </w:p>
    <w:p>
      <w:r>
        <w:t>The annual review runs from January 1 to January 31 each year. It consists of four stages: self-assessment, peer feedback, manager review, and calibration.</w:t>
      </w:r>
    </w:p>
    <w:p>
      <w:pPr>
        <w:pStyle w:val="Heading2"/>
      </w:pPr>
      <w:r>
        <w:t>Self-Assessment</w:t>
      </w:r>
    </w:p>
    <w:p>
      <w:r>
        <w:t>Every employee completes a self-assessment form covering: key achievements, challenges overcome, skills developed, and goals for the next year. Forms are due by January 10.</w:t>
      </w:r>
    </w:p>
    <w:p>
      <w:pPr>
        <w:pStyle w:val="Heading2"/>
      </w:pPr>
      <w:r>
        <w:t>Performance Ratings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Consistently exceeds all expectations</w:t>
            </w:r>
          </w:p>
        </w:tc>
      </w:tr>
      <w:tr>
        <w:tc>
          <w:tcPr>
            <w:tcW w:type="dxa" w:w="2880"/>
          </w:tcPr>
          <w:p>
            <w:r>
              <w:t>Exceeds Expectations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Frequently surpasses goals</w:t>
            </w:r>
          </w:p>
        </w:tc>
      </w:tr>
      <w:tr>
        <w:tc>
          <w:tcPr>
            <w:tcW w:type="dxa" w:w="2880"/>
          </w:tcPr>
          <w:p>
            <w:r>
              <w:t>Meets Expectations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Reliably delivers on commitments</w:t>
            </w:r>
          </w:p>
        </w:tc>
      </w:tr>
      <w:tr>
        <w:tc>
          <w:tcPr>
            <w:tcW w:type="dxa" w:w="2880"/>
          </w:tcPr>
          <w:p>
            <w:r>
              <w:t>Needs Improvement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Partially meets expectations</w:t>
            </w:r>
          </w:p>
        </w:tc>
      </w:tr>
    </w:tbl>
    <w:p>
      <w:pPr>
        <w:pStyle w:val="Heading2"/>
      </w:pPr>
      <w:r>
        <w:t>Compensation Impact</w:t>
      </w:r>
    </w:p>
    <w:p>
      <w:r>
        <w:t>Performance ratings directly influence annual salary adjustments. Outstanding performers are eligible for up to 15% merit increase. Employees rated Needs Improvement are placed on a 90-day improvement plan.</w:t>
      </w:r>
    </w:p>
    <w:p>
      <w:pPr>
        <w:pStyle w:val="Heading1"/>
      </w:pPr>
      <w:r>
        <w:t>Key Deadlines</w:t>
      </w:r>
    </w:p>
    <w:p>
      <w:pPr>
        <w:pStyle w:val="ListBullet"/>
      </w:pPr>
      <w:r>
        <w:t>Jan 10 – Self-assessments submitted</w:t>
      </w:r>
    </w:p>
    <w:p>
      <w:pPr>
        <w:pStyle w:val="ListBullet"/>
      </w:pPr>
      <w:r>
        <w:t>Jan 15 – Peer feedback completed</w:t>
      </w:r>
    </w:p>
    <w:p>
      <w:pPr>
        <w:pStyle w:val="ListBullet"/>
      </w:pPr>
      <w:r>
        <w:t>Jan 22 – Manager reviews submitted</w:t>
      </w:r>
    </w:p>
    <w:p>
      <w:pPr>
        <w:pStyle w:val="ListBullet"/>
      </w:pPr>
      <w:r>
        <w:t>Jan 31 – Calibration sessions complete</w:t>
      </w:r>
    </w:p>
    <w:p>
      <w:pPr>
        <w:pStyle w:val="ListBullet"/>
      </w:pPr>
      <w:r>
        <w:t>Feb 15 – Employees notified of outcomes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