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4"/>
          <w:szCs w:val="24"/>
        </w:rPr>
        <w:t xml:space="preserve">Subject: </w:t>
      </w: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4"/>
          <w:szCs w:val="24"/>
        </w:rPr>
        <w:t xml:space="preserve">QBITEL Bridge — AI-Driven Quantum-Safe Security Platform for Enterprise Legacy Systems (Seeking Your Technical Review)</w:t>
      </w:r>
    </w:p>
    <w:p>
      <w:pPr>
        <w:spacing w:after="2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Dear [CEO Name],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Given your decades of experience across enterprise technology and financial infrastructure, I wanted to share an open-source platform I’ve been architecting —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QBITEL Bridge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and seek your candid technical assessment and strategic guidance.</w:t>
      </w:r>
    </w:p>
    <w:p>
      <w:pPr>
        <w:pBdr>
          <w:bottom w:val="single" w:color="1F4E79" w:sz="4" w:space="4"/>
        </w:pBdr>
        <w:spacing w:after="120" w:before="2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The enterprise problem this solves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Across every regulated industry — banking, healthcare, telecom, automotive, aviation, critical infrastructure — the same converging crisis exists: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Legacy dependency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60% of Fortune 500 companies run mission-critical systems on 20–40 year old infrastructure with undocumented, proprietary protocols. Reverse engineering them costs $2M–$10M and takes 6–12 months per system.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Quantum threat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NIST has finalized post-quantum cryptographic standards (FIPS 203/204/205). The “harvest now, decrypt later” attack is already active — adversaries are capturing encrypted traffic today to decrypt once quantum computers mature. Every enterprise running RSA/ECC is exposed.</w:t>
      </w:r>
    </w:p>
    <w:p>
      <w:pPr>
        <w:pStyle w:val="ListParagraph"/>
        <w:numPr>
          <w:ilvl w:val="0"/>
          <w:numId w:val="2"/>
        </w:numPr>
        <w:spacing w:after="2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SOC response gap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Average security operations center response time is 65 minutes. In sectors like real-time payments, SCADA control loops, or vehicle-to-everything (V2X) messaging, that gap is catastrophic.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single platform addresses all three simultaneously. That’s the white space QBITEL Bridge occupies.</w:t>
      </w:r>
    </w:p>
    <w:p>
      <w:pPr>
        <w:pBdr>
          <w:bottom w:val="single" w:color="1F4E79" w:sz="4" w:space="4"/>
        </w:pBdr>
        <w:spacing w:after="120" w:before="2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Platform architecture — built for enterprise constraints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QBITEL Bridge is a four-layer polyglot platform. Each layer uses the language best suited for its job: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Rust data plane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Wire-speed PQC-TLS termination, DPDK packet processing, ML-KEM-1024 (Kyber) key encapsulation + ML-DSA-87 (Dilithium) digital signatures. &lt;1ms cryptographic overhead. 100,000+ msg/sec throughput.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Python AI engine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BiLSTM-CRF protocol classifier achieving 89%+ accuracy. Learns undocumented wire protocols from raw traffic in 2–4 hours. Multi-agent orchestration via LangGraph, RAG-backed knowledge base (ChromaDB), and air-gapped LLM support via Ollama.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Go control plane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Service mesh orchestration, OPA/Rego policy engine, HashiCorp Vault secrets management, lightweight device agents for edge deployment.</w:t>
      </w:r>
    </w:p>
    <w:p>
      <w:pPr>
        <w:pStyle w:val="ListParagraph"/>
        <w:numPr>
          <w:ilvl w:val="0"/>
          <w:numId w:val="2"/>
        </w:numPr>
        <w:spacing w:after="2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React console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Protocol visualization, AI copilot for real-time analysis, and a marketplace with 1,000+ pre-built protocol adapters.</w:t>
      </w:r>
    </w:p>
    <w:p>
      <w:pPr>
        <w:pBdr>
          <w:bottom w:val="single" w:color="1F4E79" w:sz="4" w:space="4"/>
        </w:pBdr>
        <w:spacing w:after="120" w:before="2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Core capabilities across all verticals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AI Protocol Discovery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5-phase ML pipeline that discovers, classifies, and generates parsers for undocumented protocols. Replaces months of manual reverse engineering with hours of automated analysis.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Translation Studio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Auto-generates REST APIs + SDKs in 6 languages (Python, Java, Go, C#, Rust, TypeScript) from discovered protocol grammars.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Post-Quantum Cryptography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NIST Level 5 encryption with domain-optimized profiles: 64KB RAM for medical devices, &lt;10ms for V2X, 600bps for aviation links, &lt;1ms for SCADA control loops.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Autonomous Security Response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Multi-agent AI system with 78% autonomous execution rate, &lt;1 second decision time, full audit trails. Business-context-aware — it reasons about operational impact before acting.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Compliance Automation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Generates audit-ready reports across 9 frameworks (PCI-DSS 4.0, HIPAA, SOC 2, GDPR, ISO 27001, NIST 800-53, Basel-III, NERC-CIP, FDA 21 CFR Part 11) in minutes.</w:t>
      </w:r>
    </w:p>
    <w:p>
      <w:pPr>
        <w:pStyle w:val="ListParagraph"/>
        <w:numPr>
          <w:ilvl w:val="0"/>
          <w:numId w:val="2"/>
        </w:numPr>
        <w:spacing w:after="2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Crypto Agility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Algorithm rotation without application changes. Critical for long-lifecycle deployments where NIST standards will inevitably evolve.</w:t>
      </w:r>
    </w:p>
    <w:p>
      <w:pPr>
        <w:pBdr>
          <w:bottom w:val="single" w:color="1F4E79" w:sz="4" w:space="4"/>
        </w:pBdr>
        <w:spacing w:after="120" w:before="2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Industry reach — domain-specific optimizations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platform isn’t generic — each vertical gets protocol-aware, constraint-aware security tuned to its operational reality: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Protocols Supported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Capability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Banking &amp; Finance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ISO-8583, SWIFT MT/MX, SEPA, FIX, ACH, FedNow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HSM migration, quantum-safe transactions, 10K+ TPS at &lt;50ms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Healthcare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HL7, FHIR R4, DICOM, IEEE 11073, X12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Medical device PQC (64KB RAM), PHI encryption without FDA recertification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Critical Infra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Modbus, DNP3, IEC 61850, OPC UA, BACnet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Zero-downtime SCADA/PLC protection, &lt;1ms crypto, SIL 3/4 compatible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Automotive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V2X, IEEE 1609.2, CAN bus, SCMS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Quantum-safe V2X at &lt;10ms, fleet-wide OTA crypto updates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Aviation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ADS-B, ACARS, ARINC 429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600bps bandwidth-optimized PQC, DO-178C compatibility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Telecom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SS7, Diameter, SIP, GTP, PFCP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150K+ ops/sec, 99.999% availability, 5G core 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BPO / Call Centers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PCI voice, IVR, RTP, SIP, TN3270e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Legacy terminal security, remote workforce protection</w:t>
            </w:r>
          </w:p>
        </w:tc>
      </w:tr>
    </w:tbl>
    <w:p>
      <w:r>
        <w:br w:type="page"/>
      </w:r>
    </w:p>
    <w:p>
      <w:pPr>
        <w:pBdr>
          <w:bottom w:val="single" w:color="1F4E79" w:sz="4" w:space="4"/>
        </w:pBdr>
        <w:spacing w:after="120" w:before="2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Relevance to our domain — Banking &amp; Financial Services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Given our company’s position in financial services, this is where I’ve invested the deepest domain-specific engineering. The banking module addresses constraints you’ve navigated firsthand: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HSM-anchored key hierarchy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Quantum-safe wrapping for ISO-8583 PIN blocks and SWIFT FIN messages. The existing HSM infrastructure isn’t replaced — it’s extended with PQC key encapsulation.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Hybrid cryptography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Classical + PQC running in parallel for backward-compatible migration. No big-bang cutover. Institutions can transition at their own pace while maintaining interoperability with counterparties still on RSA/ECC.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Deterministic latency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&lt;50ms at 10,000+ TPS for real-time payment flows. FedNow and RTP compatible. The Rust data plane ensures cryptographic operations don’t introduce jitter into settlement timelines.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Mainframe protection without replacement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COBOL-based transaction processors, 3270 terminal flows, batch SWIFT processing — all secured via network-level PQC wrapping. No application code changes. No rip-and-replace.</w:t>
      </w:r>
    </w:p>
    <w:p>
      <w:pPr>
        <w:pStyle w:val="ListParagraph"/>
        <w:numPr>
          <w:ilvl w:val="0"/>
          <w:numId w:val="2"/>
        </w:numPr>
        <w:spacing w:after="2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Compliance automation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PCI-DSS 4.0, SOC 2 Type II, Basel-III, and NIST 800-53 audit-ready reports generated in minutes. Maps cryptographic controls directly to regulatory requirements.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autonomous security layer is particularly relevant here: it won’t isolate a payment-critical system during peak settlement hours. Every agent carries business-context awareness — transaction volumes, settlement windows, counterparty dependencies — and reasons about operational impact before taking defensive action.</w:t>
      </w:r>
    </w:p>
    <w:p>
      <w:pPr>
        <w:pBdr>
          <w:bottom w:val="single" w:color="1F4E79" w:sz="4" w:space="4"/>
        </w:pBdr>
        <w:spacing w:after="120" w:before="2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Business impact — the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Traditional Approach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With QBITEL Bridge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Protocol discovery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$2M–$10M, 6–12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340"/>
                <w:sz w:val="20"/>
                <w:szCs w:val="20"/>
              </w:rPr>
              <w:t xml:space="preserve">$200K, 2–4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Quantum readiness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340"/>
                <w:sz w:val="20"/>
                <w:szCs w:val="20"/>
              </w:rPr>
              <w:t xml:space="preserve">Included (NIST Level 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SOC operations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$2M+/year (24/7 shifts)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340"/>
                <w:sz w:val="20"/>
                <w:szCs w:val="20"/>
              </w:rPr>
              <w:t xml:space="preserve">78% automated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Compliance reporting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$500K–$1M/year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340"/>
                <w:sz w:val="20"/>
                <w:szCs w:val="20"/>
              </w:rPr>
              <w:t xml:space="preserve">&lt;$50K/year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Legacy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$5M–$50M per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340"/>
                <w:sz w:val="20"/>
                <w:szCs w:val="20"/>
              </w:rPr>
              <w:t xml:space="preserve">$200K–$500K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Incident 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65 minutes average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340"/>
                <w:sz w:val="20"/>
                <w:szCs w:val="20"/>
              </w:rPr>
              <w:t xml:space="preserve">&lt;1 second</w:t>
            </w:r>
          </w:p>
        </w:tc>
      </w:tr>
    </w:tbl>
    <w:p>
      <w:pPr>
        <w:pBdr>
          <w:bottom w:val="single" w:color="1F4E79" w:sz="4" w:space="4"/>
        </w:pBdr>
        <w:spacing w:after="120" w:before="2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Where I’d value your perspective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Architecture viability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Does the four-layer polyglot approach hold up against the real-world constraints you’ve seen in large-scale enterprise deployments? Particularly the Rust data plane for wire-speed crypto and the Go control plane for orchestration at scale.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Market timing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With NIST PQC standards finalized and regulators across banking (OCC, Fed), healthcare (HHS), and critical infrastructure (CISA) beginning to signal quantum-readiness mandates — is the window right for this category?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Go-to-market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Should this evolve as a standalone venture, an internal strategic capability, or remain community-driven open source? Your read on how enterprises actually procure this class of infrastructure technology would be invaluable.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Vertical prioritization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platform spans 7+ industries. Where would you focus first for maximum traction and credibility — banking, healthcare, critical infrastructure, or another sector?</w:t>
      </w:r>
    </w:p>
    <w:p>
      <w:pPr>
        <w:pStyle w:val="ListParagraph"/>
        <w:numPr>
          <w:ilvl w:val="0"/>
          <w:numId w:val="3"/>
        </w:numPr>
        <w:spacing w:after="2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Blind spots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What am I not seeing? What would make a CISO, CTO, or procurement committee at a Tier-1 institution hesitate?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I’ve attached the banking-focused marketing overview, a technical Q&amp;A guide that addresses the hard questions (latency, key management, compliance mapping), a production deployment checklist, and an architecture presentation. Happy to walk through a live demo at your convenience — the mainframe modernization use case is particularly compelling.</w:t>
      </w:r>
    </w:p>
    <w:p>
      <w:pPr>
        <w:spacing w:after="3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 have enormous respect for your experience across this industry and would be grateful for whatever time you can spare. Your perspective would genuinely shape where this goes next.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Warm regards,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[Your Name]</w:t>
      </w:r>
    </w:p>
    <w:p>
      <w:r>
        <w:br w:type="page"/>
      </w:r>
    </w:p>
    <w:p>
      <w:pPr>
        <w:pBdr>
          <w:bottom w:val="single" w:color="1F4E79" w:sz="4" w:space="6"/>
        </w:pBdr>
        <w:spacing w:after="2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2"/>
          <w:szCs w:val="32"/>
        </w:rPr>
        <w:t xml:space="preserve">Recommended Attachments</w:t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The following documents are attached for your review. Each serves a different depth of analysis: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QBITEL_Bridge_Banking_Marketing_Pitch.pdf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Industry positioning and executive overview — covers the broad platform vision with banking-specific depth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QBITEL_Banking_Pitch_QA_Guide.pdf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Technical Q&amp;A anticipating hard questions on architecture, latency benchmarks, key management, and compliance mapping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QBITEL_Banking_Deployment_Checklist.pdf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Production deployment readiness checklist — demonstrates operational maturity and real-world deployment thinking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QBITEL_Mainframe_Modernization_Presentation.pptx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Architecture walkthrough and mainframe modernization demo — visual overview of the platform in action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spacing w:after="0" w:before="0" w:line="276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555555"/>
        <w:sz w:val="20"/>
        <w:szCs w:val="20"/>
      </w:rPr>
      <w:t xml:space="preserve">Page </w:t>
    </w:r>
    <w:r>
      <w:rPr>
        <w:rFonts w:ascii="Calibri" w:cs="Calibri" w:eastAsia="Calibri" w:hAnsi="Calibri"/>
        <w:color w:val="555555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2" w:space="4"/>
      </w:pBdr>
      <w:spacing w:after="0" w:before="0" w:line="276"/>
      <w:jc w:val="right"/>
    </w:pPr>
    <w:r>
      <w:rPr>
        <w:rFonts w:ascii="Calibri" w:cs="Calibri" w:eastAsia="Calibri" w:hAnsi="Calibri"/>
        <w:b w:val="false"/>
        <w:bCs w:val="false"/>
        <w:i/>
        <w:iCs/>
        <w:color w:val="555555"/>
        <w:sz w:val="20"/>
        <w:szCs w:val="20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2026-03-09T11:23:46.975Z</dcterms:created>
  <dcterms:modified xsi:type="dcterms:W3CDTF">2026-03-09T11:23:46.976Z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