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line="276"/>
        <w:jc w:val="left"/>
      </w:pPr>
    </w:p>
    <w:p>
      <w:pPr>
        <w:spacing w:after="80" w:before="0" w:line="276"/>
        <w:jc w:val="center"/>
      </w:pPr>
      <w:r>
        <w:rPr>
          <w:rFonts w:ascii="Calibri" w:cs="Calibri" w:eastAsia="Calibri" w:hAnsi="Calibri"/>
          <w:b/>
          <w:bCs/>
          <w:i w:val="false"/>
          <w:iCs w:val="false"/>
          <w:color w:val="1F4E79"/>
          <w:sz w:val="56"/>
          <w:szCs w:val="56"/>
        </w:rPr>
        <w:t xml:space="preserve">QBITEL BRIDGE</w:t>
      </w:r>
    </w:p>
    <w:p>
      <w:pPr>
        <w:spacing w:after="400" w:before="0" w:line="276"/>
        <w:jc w:val="center"/>
      </w:pPr>
      <w:r>
        <w:rPr>
          <w:rFonts w:ascii="Calibri" w:cs="Calibri" w:eastAsia="Calibri" w:hAnsi="Calibri"/>
          <w:b w:val="false"/>
          <w:bCs w:val="false"/>
          <w:i w:val="false"/>
          <w:iCs w:val="false"/>
          <w:color w:val="2E75B6"/>
          <w:sz w:val="36"/>
          <w:szCs w:val="36"/>
        </w:rPr>
        <w:t xml:space="preserve">Product &amp; Strategy Brief</w:t>
      </w:r>
    </w:p>
    <w:p>
      <w:pPr>
        <w:spacing w:after="400" w:before="0" w:line="276"/>
        <w:jc w:val="center"/>
      </w:pPr>
      <w:r>
        <w:rPr>
          <w:rFonts w:ascii="Calibri" w:cs="Calibri" w:eastAsia="Calibri" w:hAnsi="Calibri"/>
          <w:b w:val="false"/>
          <w:bCs w:val="false"/>
          <w:i w:val="false"/>
          <w:iCs w:val="false"/>
          <w:color w:val="1F4E79"/>
          <w:sz w:val="20"/>
          <w:szCs w:val="20"/>
        </w:rPr>
        <w:t xml:space="preserve">────────────────────────────────────────</w:t>
      </w:r>
    </w:p>
    <w:p>
      <w:pPr>
        <w:spacing w:after="600" w:before="0" w:line="276"/>
        <w:jc w:val="center"/>
      </w:pPr>
      <w:r>
        <w:rPr>
          <w:rFonts w:ascii="Calibri" w:cs="Calibri" w:eastAsia="Calibri" w:hAnsi="Calibri"/>
          <w:b w:val="false"/>
          <w:bCs w:val="false"/>
          <w:i/>
          <w:iCs/>
          <w:color w:val="555555"/>
          <w:sz w:val="24"/>
          <w:szCs w:val="24"/>
        </w:rPr>
        <w:t xml:space="preserve">AI-Powered Quantum-Safe Security for Enterprise Legacy Systems</w:t>
      </w:r>
    </w:p>
    <w:p>
      <w:pPr>
        <w:spacing w:after="80" w:before="0" w:line="276"/>
        <w:jc w:val="center"/>
      </w:pPr>
      <w:r>
        <w:rPr>
          <w:rFonts w:ascii="Calibri" w:cs="Calibri" w:eastAsia="Calibri" w:hAnsi="Calibri"/>
          <w:b/>
          <w:bCs/>
          <w:i w:val="false"/>
          <w:iCs w:val="false"/>
          <w:color w:val="555555"/>
          <w:sz w:val="20"/>
          <w:szCs w:val="20"/>
        </w:rPr>
        <w:t xml:space="preserve">Confidential — For Executive Review Only</w:t>
      </w:r>
    </w:p>
    <w:p>
      <w:pPr>
        <w:spacing w:after="80" w:before="0" w:line="276"/>
        <w:jc w:val="center"/>
      </w:pPr>
      <w:r>
        <w:rPr>
          <w:rFonts w:ascii="Calibri" w:cs="Calibri" w:eastAsia="Calibri" w:hAnsi="Calibri"/>
          <w:b w:val="false"/>
          <w:bCs w:val="false"/>
          <w:i w:val="false"/>
          <w:iCs w:val="false"/>
          <w:color w:val="555555"/>
          <w:sz w:val="20"/>
          <w:szCs w:val="20"/>
        </w:rPr>
        <w:t xml:space="preserve">March 2026</w:t>
      </w:r>
    </w:p>
    <w:p>
      <w:pPr>
        <w:spacing w:after="140" w:before="0" w:line="276"/>
        <w:jc w:val="center"/>
      </w:pPr>
      <w:r>
        <w:rPr>
          <w:rFonts w:ascii="Calibri" w:cs="Calibri" w:eastAsia="Calibri" w:hAnsi="Calibri"/>
          <w:b w:val="false"/>
          <w:bCs w:val="false"/>
          <w:i w:val="false"/>
          <w:iCs w:val="false"/>
          <w:color w:val="2E75B6"/>
          <w:sz w:val="20"/>
          <w:szCs w:val="20"/>
        </w:rPr>
        <w:t xml:space="preserve">https://bridge.qbitel.com/</w:t>
      </w:r>
    </w:p>
    <w:p>
      <w:pPr>
        <w:sectPr>
          <w:pgSz w:w="12240" w:h="15840" w:orient="portrait"/>
          <w:pgMar w:top="2880" w:right="1440" w:bottom="1440" w:left="1440" w:header="708" w:footer="708" w:gutter="0"/>
          <w:pgNumType/>
          <w:docGrid w:linePitch="360"/>
        </w:sectPr>
      </w:pPr>
    </w:p>
    <w:p>
      <w:pPr>
        <w:pBdr>
          <w:bottom w:val="single" w:color="1F4E79" w:sz="4" w:space="4"/>
        </w:pBdr>
        <w:spacing w:after="140" w:before="300" w:line="276"/>
        <w:jc w:val="left"/>
      </w:pPr>
      <w:r>
        <w:rPr>
          <w:rFonts w:ascii="Calibri" w:cs="Calibri" w:eastAsia="Calibri" w:hAnsi="Calibri"/>
          <w:b/>
          <w:bCs/>
          <w:i w:val="false"/>
          <w:iCs w:val="false"/>
          <w:color w:val="1F4E79"/>
          <w:sz w:val="28"/>
          <w:szCs w:val="28"/>
        </w:rPr>
        <w:t xml:space="preserve">1. Executive Summary</w:t>
      </w:r>
    </w:p>
    <w:p>
      <w:pPr>
        <w:spacing w:after="140" w:before="0" w:line="276"/>
        <w:jc w:val="left"/>
      </w:pPr>
      <w:r>
        <w:rPr>
          <w:rFonts w:ascii="Calibri" w:cs="Calibri" w:eastAsia="Calibri" w:hAnsi="Calibri"/>
          <w:b w:val="false"/>
          <w:bCs w:val="false"/>
          <w:i w:val="false"/>
          <w:iCs w:val="false"/>
          <w:color w:val="1A1A1A"/>
          <w:sz w:val="22"/>
          <w:szCs w:val="22"/>
        </w:rPr>
        <w:t xml:space="preserve">QBITEL Bridge is the first and only unified security platform that discovers, protects, and autonomously defends both legacy and modern enterprise systems against current and quantum-era threats.</w:t>
      </w:r>
    </w:p>
    <w:p>
      <w:pPr>
        <w:spacing w:after="140" w:before="0" w:line="276"/>
        <w:jc w:val="left"/>
      </w:pPr>
      <w:r>
        <w:rPr>
          <w:rFonts w:ascii="Calibri" w:cs="Calibri" w:eastAsia="Calibri" w:hAnsi="Calibri"/>
          <w:b w:val="false"/>
          <w:bCs w:val="false"/>
          <w:i w:val="false"/>
          <w:iCs w:val="false"/>
          <w:color w:val="1A1A1A"/>
          <w:sz w:val="22"/>
          <w:szCs w:val="22"/>
        </w:rPr>
        <w:t xml:space="preserve">It occupies a white space in the $200B+ cybersecurity market where </w:t>
      </w:r>
      <w:r>
        <w:rPr>
          <w:rFonts w:ascii="Calibri" w:cs="Calibri" w:eastAsia="Calibri" w:hAnsi="Calibri"/>
          <w:b/>
          <w:bCs/>
          <w:i w:val="false"/>
          <w:iCs w:val="false"/>
          <w:color w:val="1A1A1A"/>
          <w:sz w:val="22"/>
          <w:szCs w:val="22"/>
        </w:rPr>
        <w:t xml:space="preserve">no competitor operates</w:t>
      </w:r>
      <w:r>
        <w:rPr>
          <w:rFonts w:ascii="Calibri" w:cs="Calibri" w:eastAsia="Calibri" w:hAnsi="Calibri"/>
          <w:b w:val="false"/>
          <w:bCs w:val="false"/>
          <w:i w:val="false"/>
          <w:iCs w:val="false"/>
          <w:color w:val="1A1A1A"/>
          <w:sz w:val="22"/>
          <w:szCs w:val="22"/>
        </w:rPr>
        <w:t xml:space="preserve"> — the intersection of AI-powered legacy protocol discovery, post-quantum cryptography, and autonomous security response. Traditional vendors (CrowdStrike, Palo Alto, Fortinet) protect modern systems. PQC vendors (IBM, PQShield) offer cryptographic libraries. OT vendors (Claroty, Dragos) monitor industrial networks. None combine all four capabilities. None protect legacy systems.</w:t>
      </w:r>
    </w:p>
    <w:p>
      <w:pPr>
        <w:spacing w:after="140" w:before="0" w:line="276"/>
        <w:jc w:val="left"/>
      </w:pPr>
      <w:r>
        <w:rPr>
          <w:rFonts w:ascii="Calibri" w:cs="Calibri" w:eastAsia="Calibri" w:hAnsi="Calibri"/>
          <w:b w:val="false"/>
          <w:bCs w:val="false"/>
          <w:i w:val="false"/>
          <w:iCs w:val="false"/>
          <w:color w:val="1A1A1A"/>
          <w:sz w:val="22"/>
          <w:szCs w:val="22"/>
        </w:rPr>
        <w:t xml:space="preserve">For organizations running critical operations on aging infrastructure — which is most of the Fortune 500 — it is not a choice between QBITEL and a competitor. </w:t>
      </w:r>
      <w:r>
        <w:rPr>
          <w:rFonts w:ascii="Calibri" w:cs="Calibri" w:eastAsia="Calibri" w:hAnsi="Calibri"/>
          <w:b/>
          <w:bCs/>
          <w:i/>
          <w:iCs/>
          <w:color w:val="1A1A1A"/>
          <w:sz w:val="22"/>
          <w:szCs w:val="22"/>
        </w:rPr>
        <w:t xml:space="preserve">It is a choice between QBITEL and nothing.</w:t>
      </w:r>
    </w:p>
    <w:p>
      <w:pPr>
        <w:spacing w:after="100" w:before="160" w:line="276"/>
        <w:jc w:val="left"/>
      </w:pPr>
      <w:r>
        <w:rPr>
          <w:rFonts w:ascii="Calibri" w:cs="Calibri" w:eastAsia="Calibri" w:hAnsi="Calibri"/>
          <w:b/>
          <w:bCs/>
          <w:i w:val="false"/>
          <w:iCs w:val="false"/>
          <w:color w:val="2E75B6"/>
          <w:sz w:val="24"/>
          <w:szCs w:val="24"/>
        </w:rPr>
        <w:t xml:space="preserve">Key Platform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FFFFFF"/>
                <w:sz w:val="20"/>
                <w:szCs w:val="20"/>
              </w:rPr>
              <w:t xml:space="preserve">Value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Discovery accuracy</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89%+</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Quantum security</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NIST Level 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Crypto overhead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&lt;1ms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Autonomous response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78%</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Throughput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100K+ msg/sec</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Compliance frameworks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9 supported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Time to first results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2–4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Industry verticals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7+</w:t>
            </w:r>
          </w:p>
        </w:tc>
      </w:tr>
    </w:tbl>
    <w:p>
      <w:r>
        <w:br w:type="page"/>
      </w:r>
    </w:p>
    <w:p>
      <w:pPr>
        <w:pBdr>
          <w:bottom w:val="single" w:color="1F4E79" w:sz="4" w:space="4"/>
        </w:pBdr>
        <w:spacing w:after="140" w:before="300" w:line="276"/>
        <w:jc w:val="left"/>
      </w:pPr>
      <w:r>
        <w:rPr>
          <w:rFonts w:ascii="Calibri" w:cs="Calibri" w:eastAsia="Calibri" w:hAnsi="Calibri"/>
          <w:b/>
          <w:bCs/>
          <w:i w:val="false"/>
          <w:iCs w:val="false"/>
          <w:color w:val="1F4E79"/>
          <w:sz w:val="28"/>
          <w:szCs w:val="28"/>
        </w:rPr>
        <w:t xml:space="preserve">2. Market Opportunity</w:t>
      </w:r>
    </w:p>
    <w:p>
      <w:pPr>
        <w:spacing w:after="100" w:before="200" w:line="276"/>
        <w:jc w:val="left"/>
      </w:pPr>
      <w:r>
        <w:rPr>
          <w:rFonts w:ascii="Calibri" w:cs="Calibri" w:eastAsia="Calibri" w:hAnsi="Calibri"/>
          <w:b/>
          <w:bCs/>
          <w:i w:val="false"/>
          <w:iCs w:val="false"/>
          <w:color w:val="2E75B6"/>
          <w:sz w:val="24"/>
          <w:szCs w:val="24"/>
        </w:rPr>
        <w:t xml:space="preserve">Total Addressable Market</w:t>
      </w:r>
    </w:p>
    <w:p>
      <w:pPr>
        <w:spacing w:after="140" w:before="0" w:line="276"/>
        <w:jc w:val="left"/>
      </w:pPr>
      <w:r>
        <w:rPr>
          <w:rFonts w:ascii="Calibri" w:cs="Calibri" w:eastAsia="Calibri" w:hAnsi="Calibri"/>
          <w:b w:val="false"/>
          <w:bCs w:val="false"/>
          <w:i w:val="false"/>
          <w:iCs w:val="false"/>
          <w:color w:val="1A1A1A"/>
          <w:sz w:val="22"/>
          <w:szCs w:val="22"/>
        </w:rPr>
        <w:t xml:space="preserve">The combined TAM across target verticals exceeds $113 billion, with a serviceable addressable market of $22.6 billion: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80"/>
        <w:gridCol w:w="188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FFFFFF"/>
                <w:sz w:val="20"/>
                <w:szCs w:val="20"/>
              </w:rPr>
              <w:t xml:space="preserve">Industry</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FFFFFF"/>
                <w:sz w:val="20"/>
                <w:szCs w:val="20"/>
              </w:rPr>
              <w:t xml:space="preserve">TAM</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FFFFFF"/>
                <w:sz w:val="20"/>
                <w:szCs w:val="20"/>
              </w:rPr>
              <w:t xml:space="preserve">SAM</w:t>
            </w:r>
          </w:p>
        </w:tc>
        <w:tc>
          <w:tcPr>
            <w:tcW w:type="dxa" w:w="1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FFFFFF"/>
                <w:sz w:val="20"/>
                <w:szCs w:val="20"/>
              </w:rPr>
              <w:t xml:space="preserve">SOM (Yr 1–3)</w:t>
            </w:r>
          </w:p>
        </w:tc>
        <w:tc>
          <w:tcPr>
            <w:tcW w:type="dxa" w:w="1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FFFFFF"/>
                <w:sz w:val="20"/>
                <w:szCs w:val="20"/>
              </w:rPr>
              <w:t xml:space="preserve">Key Driver</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Banking &amp; Finance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$18B</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$3.6B</w:t>
            </w:r>
          </w:p>
        </w:tc>
        <w:tc>
          <w:tcPr>
            <w:tcW w:type="dxa" w:w="1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$300–400M</w:t>
            </w:r>
          </w:p>
        </w:tc>
        <w:tc>
          <w:tcPr>
            <w:tcW w:type="dxa" w:w="1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PCI-DSS 4.0, Basel-III quantum mandates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Critical Infra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$15B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$3B</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$200–300M</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NERC-CIP, nation-state threat escalation</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Healthcare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$20B</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$4B</w:t>
            </w:r>
          </w:p>
        </w:tc>
        <w:tc>
          <w:tcPr>
            <w:tcW w:type="dxa" w:w="1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$200–300M</w:t>
            </w:r>
          </w:p>
        </w:tc>
        <w:tc>
          <w:tcPr>
            <w:tcW w:type="dxa" w:w="1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HIPAA, FDA device security requirements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Defense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$12B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$2.4B</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$100–200M</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NSA 2030 quantum-safe mandate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Telecom</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$40B</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$8B</w:t>
            </w:r>
          </w:p>
        </w:tc>
        <w:tc>
          <w:tcPr>
            <w:tcW w:type="dxa" w:w="1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$150–250M</w:t>
            </w:r>
          </w:p>
        </w:tc>
        <w:tc>
          <w:tcPr>
            <w:tcW w:type="dxa" w:w="1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5G security, IoT scale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Enterprise 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$8B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$1.6B</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$100–200M</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Legacy modernization demand</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F4E79"/>
                <w:sz w:val="20"/>
                <w:szCs w:val="20"/>
              </w:rPr>
              <w:t xml:space="preserve">TOTAL</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F4E79"/>
                <w:sz w:val="20"/>
                <w:szCs w:val="20"/>
              </w:rPr>
              <w:t xml:space="preserve">$113B</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F4E79"/>
                <w:sz w:val="20"/>
                <w:szCs w:val="20"/>
              </w:rPr>
              <w:t xml:space="preserve">$22.6B</w:t>
            </w:r>
          </w:p>
        </w:tc>
        <w:tc>
          <w:tcPr>
            <w:tcW w:type="dxa" w:w="1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F4E79"/>
                <w:sz w:val="20"/>
                <w:szCs w:val="20"/>
              </w:rPr>
              <w:t xml:space="preserve">$1–1.5B</w:t>
            </w:r>
          </w:p>
        </w:tc>
        <w:tc>
          <w:tcPr>
            <w:tcW w:type="dxa" w:w="1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
            </w:r>
          </w:p>
        </w:tc>
      </w:tr>
    </w:tbl>
    <w:p>
      <w:pPr>
        <w:spacing w:after="100" w:before="200" w:line="276"/>
        <w:jc w:val="left"/>
      </w:pPr>
      <w:r>
        <w:rPr>
          <w:rFonts w:ascii="Calibri" w:cs="Calibri" w:eastAsia="Calibri" w:hAnsi="Calibri"/>
          <w:b/>
          <w:bCs/>
          <w:i w:val="false"/>
          <w:iCs w:val="false"/>
          <w:color w:val="2E75B6"/>
          <w:sz w:val="24"/>
          <w:szCs w:val="24"/>
        </w:rPr>
        <w:t xml:space="preserve">Market Timing Catalysts</w:t>
      </w:r>
    </w:p>
    <w:p>
      <w:pPr>
        <w:pStyle w:val="ListParagraph"/>
        <w:numPr>
          <w:ilvl w:val="0"/>
          <w:numId w:val="2"/>
        </w:numPr>
        <w:spacing w:after="80" w:line="276"/>
      </w:pPr>
      <w:r>
        <w:rPr>
          <w:rFonts w:ascii="Calibri" w:cs="Calibri" w:eastAsia="Calibri" w:hAnsi="Calibri"/>
          <w:b/>
          <w:bCs/>
          <w:i w:val="false"/>
          <w:iCs w:val="false"/>
          <w:color w:val="1A1A1A"/>
          <w:sz w:val="22"/>
          <w:szCs w:val="22"/>
        </w:rPr>
        <w:t xml:space="preserve">NIST PQC Standards (FIPS 203/204/205) — </w:t>
      </w:r>
      <w:r>
        <w:rPr>
          <w:rFonts w:ascii="Calibri" w:cs="Calibri" w:eastAsia="Calibri" w:hAnsi="Calibri"/>
          <w:b w:val="false"/>
          <w:bCs w:val="false"/>
          <w:i w:val="false"/>
          <w:iCs w:val="false"/>
          <w:color w:val="1A1A1A"/>
          <w:sz w:val="22"/>
          <w:szCs w:val="22"/>
        </w:rPr>
        <w:t xml:space="preserve">Finalized. Adoption mandates rolling out 2025–2027.</w:t>
      </w:r>
    </w:p>
    <w:p>
      <w:pPr>
        <w:pStyle w:val="ListParagraph"/>
        <w:numPr>
          <w:ilvl w:val="0"/>
          <w:numId w:val="2"/>
        </w:numPr>
        <w:spacing w:after="80" w:line="276"/>
      </w:pPr>
      <w:r>
        <w:rPr>
          <w:rFonts w:ascii="Calibri" w:cs="Calibri" w:eastAsia="Calibri" w:hAnsi="Calibri"/>
          <w:b/>
          <w:bCs/>
          <w:i w:val="false"/>
          <w:iCs w:val="false"/>
          <w:color w:val="1A1A1A"/>
          <w:sz w:val="22"/>
          <w:szCs w:val="22"/>
        </w:rPr>
        <w:t xml:space="preserve">PCI-DSS 4.0 — </w:t>
      </w:r>
      <w:r>
        <w:rPr>
          <w:rFonts w:ascii="Calibri" w:cs="Calibri" w:eastAsia="Calibri" w:hAnsi="Calibri"/>
          <w:b w:val="false"/>
          <w:bCs w:val="false"/>
          <w:i w:val="false"/>
          <w:iCs w:val="false"/>
          <w:color w:val="1A1A1A"/>
          <w:sz w:val="22"/>
          <w:szCs w:val="22"/>
        </w:rPr>
        <w:t xml:space="preserve">Enforcement began March 2025. Quantum-readiness now on auditor radar.</w:t>
      </w:r>
    </w:p>
    <w:p>
      <w:pPr>
        <w:pStyle w:val="ListParagraph"/>
        <w:numPr>
          <w:ilvl w:val="0"/>
          <w:numId w:val="2"/>
        </w:numPr>
        <w:spacing w:after="80" w:line="276"/>
      </w:pPr>
      <w:r>
        <w:rPr>
          <w:rFonts w:ascii="Calibri" w:cs="Calibri" w:eastAsia="Calibri" w:hAnsi="Calibri"/>
          <w:b/>
          <w:bCs/>
          <w:i w:val="false"/>
          <w:iCs w:val="false"/>
          <w:color w:val="1A1A1A"/>
          <w:sz w:val="22"/>
          <w:szCs w:val="22"/>
        </w:rPr>
        <w:t xml:space="preserve">Federal Reserve Guidance — </w:t>
      </w:r>
      <w:r>
        <w:rPr>
          <w:rFonts w:ascii="Calibri" w:cs="Calibri" w:eastAsia="Calibri" w:hAnsi="Calibri"/>
          <w:b w:val="false"/>
          <w:bCs w:val="false"/>
          <w:i w:val="false"/>
          <w:iCs w:val="false"/>
          <w:color w:val="1A1A1A"/>
          <w:sz w:val="22"/>
          <w:szCs w:val="22"/>
        </w:rPr>
        <w:t xml:space="preserve">Quantum-readiness guidance expected 2026.</w:t>
      </w:r>
    </w:p>
    <w:p>
      <w:pPr>
        <w:pStyle w:val="ListParagraph"/>
        <w:numPr>
          <w:ilvl w:val="0"/>
          <w:numId w:val="2"/>
        </w:numPr>
        <w:spacing w:after="80" w:line="276"/>
      </w:pPr>
      <w:r>
        <w:rPr>
          <w:rFonts w:ascii="Calibri" w:cs="Calibri" w:eastAsia="Calibri" w:hAnsi="Calibri"/>
          <w:b/>
          <w:bCs/>
          <w:i w:val="false"/>
          <w:iCs w:val="false"/>
          <w:color w:val="1A1A1A"/>
          <w:sz w:val="22"/>
          <w:szCs w:val="22"/>
        </w:rPr>
        <w:t xml:space="preserve">NSA CNSA 2.0 — </w:t>
      </w:r>
      <w:r>
        <w:rPr>
          <w:rFonts w:ascii="Calibri" w:cs="Calibri" w:eastAsia="Calibri" w:hAnsi="Calibri"/>
          <w:b w:val="false"/>
          <w:bCs w:val="false"/>
          <w:i w:val="false"/>
          <w:iCs w:val="false"/>
          <w:color w:val="1A1A1A"/>
          <w:sz w:val="22"/>
          <w:szCs w:val="22"/>
        </w:rPr>
        <w:t xml:space="preserve">All federal systems quantum-safe by 2030.</w:t>
      </w:r>
    </w:p>
    <w:p>
      <w:pPr>
        <w:pStyle w:val="ListParagraph"/>
        <w:numPr>
          <w:ilvl w:val="0"/>
          <w:numId w:val="2"/>
        </w:numPr>
        <w:spacing w:after="160" w:line="276"/>
      </w:pPr>
      <w:r>
        <w:rPr>
          <w:rFonts w:ascii="Calibri" w:cs="Calibri" w:eastAsia="Calibri" w:hAnsi="Calibri"/>
          <w:b/>
          <w:bCs/>
          <w:i w:val="false"/>
          <w:iCs w:val="false"/>
          <w:color w:val="1A1A1A"/>
          <w:sz w:val="22"/>
          <w:szCs w:val="22"/>
        </w:rPr>
        <w:t xml:space="preserve">“Harvest Now, Decrypt Later” — </w:t>
      </w:r>
      <w:r>
        <w:rPr>
          <w:rFonts w:ascii="Calibri" w:cs="Calibri" w:eastAsia="Calibri" w:hAnsi="Calibri"/>
          <w:b w:val="false"/>
          <w:bCs w:val="false"/>
          <w:i w:val="false"/>
          <w:iCs w:val="false"/>
          <w:color w:val="1A1A1A"/>
          <w:sz w:val="22"/>
          <w:szCs w:val="22"/>
        </w:rPr>
        <w:t xml:space="preserve">Active today. Every day of delay increases exposure.</w:t>
      </w:r>
    </w:p>
    <w:p>
      <w:pPr>
        <w:pBdr>
          <w:bottom w:val="single" w:color="1F4E79" w:sz="4" w:space="4"/>
        </w:pBdr>
        <w:spacing w:after="140" w:before="300" w:line="276"/>
        <w:jc w:val="left"/>
      </w:pPr>
      <w:r>
        <w:rPr>
          <w:rFonts w:ascii="Calibri" w:cs="Calibri" w:eastAsia="Calibri" w:hAnsi="Calibri"/>
          <w:b/>
          <w:bCs/>
          <w:i w:val="false"/>
          <w:iCs w:val="false"/>
          <w:color w:val="1F4E79"/>
          <w:sz w:val="28"/>
          <w:szCs w:val="28"/>
        </w:rPr>
        <w:t xml:space="preserve">3.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FFFFFF"/>
                <w:sz w:val="20"/>
                <w:szCs w:val="20"/>
              </w:rPr>
              <w:t xml:space="preserve">Year 1 (2026)</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FFFFFF"/>
                <w:sz w:val="20"/>
                <w:szCs w:val="20"/>
              </w:rPr>
              <w:t xml:space="preserve">Year 2 (2027)</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FFFFFF"/>
                <w:sz w:val="20"/>
                <w:szCs w:val="20"/>
              </w:rPr>
              <w:t xml:space="preserve">Year 3 (2028)</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Customers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6</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16</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32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ARR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$5.1M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$14.8M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$32.4M</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Gross Margin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63%</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68%</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72%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Net Revenue Retention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&gt;130%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Sustained</w:t>
            </w:r>
          </w:p>
        </w:tc>
      </w:tr>
    </w:tbl>
    <w:p>
      <w:pPr>
        <w:spacing w:after="100" w:before="200" w:line="276"/>
        <w:jc w:val="left"/>
      </w:pPr>
      <w:r>
        <w:rPr>
          <w:rFonts w:ascii="Calibri" w:cs="Calibri" w:eastAsia="Calibri" w:hAnsi="Calibri"/>
          <w:b/>
          <w:bCs/>
          <w:i w:val="false"/>
          <w:iCs w:val="false"/>
          <w:color w:val="2E75B6"/>
          <w:sz w:val="24"/>
          <w:szCs w:val="24"/>
        </w:rPr>
        <w:t xml:space="preserve">Revenue per Customer</w:t>
      </w:r>
    </w:p>
    <w:p>
      <w:pPr>
        <w:pStyle w:val="ListParagraph"/>
        <w:numPr>
          <w:ilvl w:val="0"/>
          <w:numId w:val="2"/>
        </w:numPr>
        <w:spacing w:after="80" w:line="276"/>
      </w:pPr>
      <w:r>
        <w:rPr>
          <w:rFonts w:ascii="Calibri" w:cs="Calibri" w:eastAsia="Calibri" w:hAnsi="Calibri"/>
          <w:b/>
          <w:bCs/>
          <w:i w:val="false"/>
          <w:iCs w:val="false"/>
          <w:color w:val="1A1A1A"/>
          <w:sz w:val="22"/>
          <w:szCs w:val="22"/>
        </w:rPr>
        <w:t xml:space="preserve">Core subscription: </w:t>
      </w:r>
      <w:r>
        <w:rPr>
          <w:rFonts w:ascii="Calibri" w:cs="Calibri" w:eastAsia="Calibri" w:hAnsi="Calibri"/>
          <w:b w:val="false"/>
          <w:bCs w:val="false"/>
          <w:i w:val="false"/>
          <w:iCs w:val="false"/>
          <w:color w:val="1A1A1A"/>
          <w:sz w:val="22"/>
          <w:szCs w:val="22"/>
        </w:rPr>
        <w:t xml:space="preserve">$650K ARR per site</w:t>
      </w:r>
    </w:p>
    <w:p>
      <w:pPr>
        <w:pStyle w:val="ListParagraph"/>
        <w:numPr>
          <w:ilvl w:val="0"/>
          <w:numId w:val="2"/>
        </w:numPr>
        <w:spacing w:after="80" w:line="276"/>
      </w:pPr>
      <w:r>
        <w:rPr>
          <w:rFonts w:ascii="Calibri" w:cs="Calibri" w:eastAsia="Calibri" w:hAnsi="Calibri"/>
          <w:b/>
          <w:bCs/>
          <w:i w:val="false"/>
          <w:iCs w:val="false"/>
          <w:color w:val="1A1A1A"/>
          <w:sz w:val="22"/>
          <w:szCs w:val="22"/>
        </w:rPr>
        <w:t xml:space="preserve">LLM feature bundle: </w:t>
      </w:r>
      <w:r>
        <w:rPr>
          <w:rFonts w:ascii="Calibri" w:cs="Calibri" w:eastAsia="Calibri" w:hAnsi="Calibri"/>
          <w:b w:val="false"/>
          <w:bCs w:val="false"/>
          <w:i w:val="false"/>
          <w:iCs w:val="false"/>
          <w:color w:val="1A1A1A"/>
          <w:sz w:val="22"/>
          <w:szCs w:val="22"/>
        </w:rPr>
        <w:t xml:space="preserve">+$180K ARR</w:t>
      </w:r>
    </w:p>
    <w:p>
      <w:pPr>
        <w:pStyle w:val="ListParagraph"/>
        <w:numPr>
          <w:ilvl w:val="0"/>
          <w:numId w:val="2"/>
        </w:numPr>
        <w:spacing w:after="80" w:line="276"/>
      </w:pPr>
      <w:r>
        <w:rPr>
          <w:rFonts w:ascii="Calibri" w:cs="Calibri" w:eastAsia="Calibri" w:hAnsi="Calibri"/>
          <w:b/>
          <w:bCs/>
          <w:i w:val="false"/>
          <w:iCs w:val="false"/>
          <w:color w:val="1A1A1A"/>
          <w:sz w:val="22"/>
          <w:szCs w:val="22"/>
        </w:rPr>
        <w:t xml:space="preserve">Professional services: </w:t>
      </w:r>
      <w:r>
        <w:rPr>
          <w:rFonts w:ascii="Calibri" w:cs="Calibri" w:eastAsia="Calibri" w:hAnsi="Calibri"/>
          <w:b w:val="false"/>
          <w:bCs w:val="false"/>
          <w:i w:val="false"/>
          <w:iCs w:val="false"/>
          <w:color w:val="1A1A1A"/>
          <w:sz w:val="22"/>
          <w:szCs w:val="22"/>
        </w:rPr>
        <w:t xml:space="preserve">$250K (quantum readiness sprint)</w:t>
      </w:r>
    </w:p>
    <w:p>
      <w:pPr>
        <w:pStyle w:val="ListParagraph"/>
        <w:numPr>
          <w:ilvl w:val="0"/>
          <w:numId w:val="2"/>
        </w:numPr>
        <w:spacing w:after="160" w:line="276"/>
      </w:pPr>
      <w:r>
        <w:rPr>
          <w:rFonts w:ascii="Calibri" w:cs="Calibri" w:eastAsia="Calibri" w:hAnsi="Calibri"/>
          <w:b/>
          <w:bCs/>
          <w:i w:val="false"/>
          <w:iCs w:val="false"/>
          <w:color w:val="1A1A1A"/>
          <w:sz w:val="22"/>
          <w:szCs w:val="22"/>
        </w:rPr>
        <w:t xml:space="preserve">Churn rate: </w:t>
      </w:r>
      <w:r>
        <w:rPr>
          <w:rFonts w:ascii="Calibri" w:cs="Calibri" w:eastAsia="Calibri" w:hAnsi="Calibri"/>
          <w:b w:val="false"/>
          <w:bCs w:val="false"/>
          <w:i w:val="false"/>
          <w:iCs w:val="false"/>
          <w:color w:val="1A1A1A"/>
          <w:sz w:val="22"/>
          <w:szCs w:val="22"/>
        </w:rPr>
        <w:t xml:space="preserve">&lt;5% (compliance lock-in creates high switching cost)</w:t>
      </w:r>
    </w:p>
    <w:p>
      <w:r>
        <w:br w:type="page"/>
      </w:r>
    </w:p>
    <w:p>
      <w:pPr>
        <w:pBdr>
          <w:bottom w:val="single" w:color="1F4E79" w:sz="4" w:space="4"/>
        </w:pBdr>
        <w:spacing w:after="140" w:before="300" w:line="276"/>
        <w:jc w:val="left"/>
      </w:pPr>
      <w:r>
        <w:rPr>
          <w:rFonts w:ascii="Calibri" w:cs="Calibri" w:eastAsia="Calibri" w:hAnsi="Calibri"/>
          <w:b/>
          <w:bCs/>
          <w:i w:val="false"/>
          <w:iCs w:val="false"/>
          <w:color w:val="1F4E79"/>
          <w:sz w:val="28"/>
          <w:szCs w:val="28"/>
        </w:rPr>
        <w:t xml:space="preserve">4. Competitive Landscape</w:t>
      </w:r>
    </w:p>
    <w:p>
      <w:pPr>
        <w:spacing w:after="140" w:before="0" w:line="276"/>
        <w:jc w:val="left"/>
      </w:pPr>
      <w:r>
        <w:rPr>
          <w:rFonts w:ascii="Calibri" w:cs="Calibri" w:eastAsia="Calibri" w:hAnsi="Calibri"/>
          <w:b w:val="false"/>
          <w:bCs w:val="false"/>
          <w:i w:val="false"/>
          <w:iCs w:val="false"/>
          <w:color w:val="1A1A1A"/>
          <w:sz w:val="22"/>
          <w:szCs w:val="22"/>
        </w:rPr>
        <w:t xml:space="preserve">QBITEL Bridge does not compete in existing categories. It creates a new one:</w:t>
      </w:r>
    </w:p>
    <w:p>
      <w:pPr>
        <w:spacing w:after="100" w:before="200" w:line="276"/>
        <w:jc w:val="left"/>
      </w:pPr>
      <w:r>
        <w:rPr>
          <w:rFonts w:ascii="Calibri" w:cs="Calibri" w:eastAsia="Calibri" w:hAnsi="Calibri"/>
          <w:b/>
          <w:bCs/>
          <w:i w:val="false"/>
          <w:iCs w:val="false"/>
          <w:color w:val="2E75B6"/>
          <w:sz w:val="24"/>
          <w:szCs w:val="24"/>
        </w:rPr>
        <w:t xml:space="preserve">Head-to-Head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40"/>
        <w:gridCol w:w="1940"/>
        <w:gridCol w:w="1940"/>
        <w:gridCol w:w="194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FFFFFF"/>
                <w:sz w:val="20"/>
                <w:szCs w:val="20"/>
              </w:rPr>
              <w:t xml:space="preserve">Capability</w:t>
            </w:r>
          </w:p>
        </w:tc>
        <w:tc>
          <w:tcPr>
            <w:tcW w:type="dxa" w:w="19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FFFFFF"/>
                <w:sz w:val="20"/>
                <w:szCs w:val="20"/>
              </w:rPr>
              <w:t xml:space="preserve">CrowdStrike</w:t>
            </w:r>
          </w:p>
        </w:tc>
        <w:tc>
          <w:tcPr>
            <w:tcW w:type="dxa" w:w="19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FFFFFF"/>
                <w:sz w:val="20"/>
                <w:szCs w:val="20"/>
              </w:rPr>
              <w:t xml:space="preserve">Palo Alto</w:t>
            </w:r>
          </w:p>
        </w:tc>
        <w:tc>
          <w:tcPr>
            <w:tcW w:type="dxa" w:w="19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FFFFFF"/>
                <w:sz w:val="20"/>
                <w:szCs w:val="20"/>
              </w:rPr>
              <w:t xml:space="preserve">Claroty/Dragos</w:t>
            </w:r>
          </w:p>
        </w:tc>
        <w:tc>
          <w:tcPr>
            <w:tcW w:type="dxa" w:w="19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FFFFFF"/>
                <w:sz w:val="20"/>
                <w:szCs w:val="20"/>
              </w:rPr>
              <w:t xml:space="preserve">QBITEL Bridge</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Legacy systems</w:t>
            </w:r>
          </w:p>
        </w:tc>
        <w:tc>
          <w:tcPr>
            <w:tcW w:type="dxa" w:w="19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C00000"/>
                <w:sz w:val="20"/>
                <w:szCs w:val="20"/>
              </w:rPr>
              <w:t xml:space="preserve">None</w:t>
            </w:r>
          </w:p>
        </w:tc>
        <w:tc>
          <w:tcPr>
            <w:tcW w:type="dxa" w:w="19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C00000"/>
                <w:sz w:val="20"/>
                <w:szCs w:val="20"/>
              </w:rPr>
              <w:t xml:space="preserve">None</w:t>
            </w:r>
          </w:p>
        </w:tc>
        <w:tc>
          <w:tcPr>
            <w:tcW w:type="dxa" w:w="19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CC7700"/>
                <w:sz w:val="20"/>
                <w:szCs w:val="20"/>
              </w:rPr>
              <w:t xml:space="preserve">OT only</w:t>
            </w:r>
          </w:p>
        </w:tc>
        <w:tc>
          <w:tcPr>
            <w:tcW w:type="dxa" w:w="19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Full (40yr+)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Quantum crypto</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C00000"/>
                <w:sz w:val="20"/>
                <w:szCs w:val="20"/>
              </w:rPr>
              <w:t xml:space="preserve">None</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C00000"/>
                <w:sz w:val="20"/>
                <w:szCs w:val="20"/>
              </w:rPr>
              <w:t xml:space="preserve">None</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C00000"/>
                <w:sz w:val="20"/>
                <w:szCs w:val="20"/>
              </w:rPr>
              <w:t xml:space="preserve">None</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NIST Level 5</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Protocol discovery</w:t>
            </w:r>
          </w:p>
        </w:tc>
        <w:tc>
          <w:tcPr>
            <w:tcW w:type="dxa" w:w="19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C00000"/>
                <w:sz w:val="20"/>
                <w:szCs w:val="20"/>
              </w:rPr>
              <w:t xml:space="preserve">None</w:t>
            </w:r>
          </w:p>
        </w:tc>
        <w:tc>
          <w:tcPr>
            <w:tcW w:type="dxa" w:w="19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CC7700"/>
                <w:sz w:val="20"/>
                <w:szCs w:val="20"/>
              </w:rPr>
              <w:t xml:space="preserve">DPI only</w:t>
            </w:r>
          </w:p>
        </w:tc>
        <w:tc>
          <w:tcPr>
            <w:tcW w:type="dxa" w:w="19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CC7700"/>
                <w:sz w:val="20"/>
                <w:szCs w:val="20"/>
              </w:rPr>
              <w:t xml:space="preserve">Known OT</w:t>
            </w:r>
          </w:p>
        </w:tc>
        <w:tc>
          <w:tcPr>
            <w:tcW w:type="dxa" w:w="19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AI (89%+)</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Autonomous response</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CC7700"/>
                <w:sz w:val="20"/>
                <w:szCs w:val="20"/>
              </w:rPr>
              <w:t xml:space="preserve">Playbooks</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CC7700"/>
                <w:sz w:val="20"/>
                <w:szCs w:val="20"/>
              </w:rPr>
              <w:t xml:space="preserve">Playbooks</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C00000"/>
                <w:sz w:val="20"/>
                <w:szCs w:val="20"/>
              </w:rPr>
              <w:t xml:space="preserve">Alert only</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78% auto</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Air-gapped AI</w:t>
            </w:r>
          </w:p>
        </w:tc>
        <w:tc>
          <w:tcPr>
            <w:tcW w:type="dxa" w:w="19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C00000"/>
                <w:sz w:val="20"/>
                <w:szCs w:val="20"/>
              </w:rPr>
              <w:t xml:space="preserve">No</w:t>
            </w:r>
          </w:p>
        </w:tc>
        <w:tc>
          <w:tcPr>
            <w:tcW w:type="dxa" w:w="19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C00000"/>
                <w:sz w:val="20"/>
                <w:szCs w:val="20"/>
              </w:rPr>
              <w:t xml:space="preserve">No</w:t>
            </w:r>
          </w:p>
        </w:tc>
        <w:tc>
          <w:tcPr>
            <w:tcW w:type="dxa" w:w="19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C00000"/>
                <w:sz w:val="20"/>
                <w:szCs w:val="20"/>
              </w:rPr>
              <w:t xml:space="preserve">No</w:t>
            </w:r>
          </w:p>
        </w:tc>
        <w:tc>
          <w:tcPr>
            <w:tcW w:type="dxa" w:w="19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Yes (Ollama)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Compliance</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Limited</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Limited</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OT-focused</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9 frameworks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API generation</w:t>
            </w:r>
          </w:p>
        </w:tc>
        <w:tc>
          <w:tcPr>
            <w:tcW w:type="dxa" w:w="19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C00000"/>
                <w:sz w:val="20"/>
                <w:szCs w:val="20"/>
              </w:rPr>
              <w:t xml:space="preserve">None</w:t>
            </w:r>
          </w:p>
        </w:tc>
        <w:tc>
          <w:tcPr>
            <w:tcW w:type="dxa" w:w="19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C00000"/>
                <w:sz w:val="20"/>
                <w:szCs w:val="20"/>
              </w:rPr>
              <w:t xml:space="preserve">None</w:t>
            </w:r>
          </w:p>
        </w:tc>
        <w:tc>
          <w:tcPr>
            <w:tcW w:type="dxa" w:w="19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C00000"/>
                <w:sz w:val="20"/>
                <w:szCs w:val="20"/>
              </w:rPr>
              <w:t xml:space="preserve">None</w:t>
            </w:r>
          </w:p>
        </w:tc>
        <w:tc>
          <w:tcPr>
            <w:tcW w:type="dxa" w:w="19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Auto (6 SDKs)</w:t>
            </w:r>
          </w:p>
        </w:tc>
      </w:tr>
    </w:tbl>
    <w:p>
      <w:pPr>
        <w:spacing w:after="100" w:before="200" w:line="276"/>
        <w:jc w:val="left"/>
      </w:pPr>
      <w:r>
        <w:rPr>
          <w:rFonts w:ascii="Calibri" w:cs="Calibri" w:eastAsia="Calibri" w:hAnsi="Calibri"/>
          <w:b/>
          <w:bCs/>
          <w:i w:val="false"/>
          <w:iCs w:val="false"/>
          <w:color w:val="2E75B6"/>
          <w:sz w:val="24"/>
          <w:szCs w:val="24"/>
        </w:rPr>
        <w:t xml:space="preserve">Market Position</w:t>
      </w:r>
    </w:p>
    <w:p>
      <w:pPr>
        <w:spacing w:after="140" w:before="0" w:line="276"/>
        <w:jc w:val="left"/>
      </w:pPr>
      <w:r>
        <w:rPr>
          <w:rFonts w:ascii="Calibri" w:cs="Calibri" w:eastAsia="Calibri" w:hAnsi="Calibri"/>
          <w:b w:val="false"/>
          <w:bCs w:val="false"/>
          <w:i w:val="false"/>
          <w:iCs w:val="false"/>
          <w:color w:val="1A1A1A"/>
          <w:sz w:val="22"/>
          <w:szCs w:val="22"/>
        </w:rPr>
        <w:t xml:space="preserve">Traditional vendors protect </w:t>
      </w:r>
      <w:r>
        <w:rPr>
          <w:rFonts w:ascii="Calibri" w:cs="Calibri" w:eastAsia="Calibri" w:hAnsi="Calibri"/>
          <w:b/>
          <w:bCs/>
          <w:i w:val="false"/>
          <w:iCs w:val="false"/>
          <w:color w:val="1A1A1A"/>
          <w:sz w:val="22"/>
          <w:szCs w:val="22"/>
        </w:rPr>
        <w:t xml:space="preserve">modern systems</w:t>
      </w:r>
      <w:r>
        <w:rPr>
          <w:rFonts w:ascii="Calibri" w:cs="Calibri" w:eastAsia="Calibri" w:hAnsi="Calibri"/>
          <w:b w:val="false"/>
          <w:bCs w:val="false"/>
          <w:i w:val="false"/>
          <w:iCs w:val="false"/>
          <w:color w:val="1A1A1A"/>
          <w:sz w:val="22"/>
          <w:szCs w:val="22"/>
        </w:rPr>
        <w:t xml:space="preserve">. QBITEL protects the </w:t>
      </w:r>
      <w:r>
        <w:rPr>
          <w:rFonts w:ascii="Calibri" w:cs="Calibri" w:eastAsia="Calibri" w:hAnsi="Calibri"/>
          <w:b/>
          <w:bCs/>
          <w:i w:val="false"/>
          <w:iCs w:val="false"/>
          <w:color w:val="1A1A1A"/>
          <w:sz w:val="22"/>
          <w:szCs w:val="22"/>
        </w:rPr>
        <w:t xml:space="preserve">legacy systems those vendors cannot reach</w:t>
      </w:r>
      <w:r>
        <w:rPr>
          <w:rFonts w:ascii="Calibri" w:cs="Calibri" w:eastAsia="Calibri" w:hAnsi="Calibri"/>
          <w:b w:val="false"/>
          <w:bCs w:val="false"/>
          <w:i w:val="false"/>
          <w:iCs w:val="false"/>
          <w:color w:val="1A1A1A"/>
          <w:sz w:val="22"/>
          <w:szCs w:val="22"/>
        </w:rPr>
        <w:t xml:space="preserve"> — which is exactly where the Fortune 500’s critical infrastructure lives. This is not competitive displacement. This is </w:t>
      </w:r>
      <w:r>
        <w:rPr>
          <w:rFonts w:ascii="Calibri" w:cs="Calibri" w:eastAsia="Calibri" w:hAnsi="Calibri"/>
          <w:b/>
          <w:bCs/>
          <w:i/>
          <w:iCs/>
          <w:color w:val="1A1A1A"/>
          <w:sz w:val="22"/>
          <w:szCs w:val="22"/>
        </w:rPr>
        <w:t xml:space="preserve">category creation.</w:t>
      </w:r>
    </w:p>
    <w:p>
      <w:r>
        <w:br w:type="page"/>
      </w:r>
    </w:p>
    <w:p>
      <w:pPr>
        <w:pBdr>
          <w:bottom w:val="single" w:color="1F4E79" w:sz="4" w:space="4"/>
        </w:pBdr>
        <w:spacing w:after="140" w:before="300" w:line="276"/>
        <w:jc w:val="left"/>
      </w:pPr>
      <w:r>
        <w:rPr>
          <w:rFonts w:ascii="Calibri" w:cs="Calibri" w:eastAsia="Calibri" w:hAnsi="Calibri"/>
          <w:b/>
          <w:bCs/>
          <w:i w:val="false"/>
          <w:iCs w:val="false"/>
          <w:color w:val="1F4E79"/>
          <w:sz w:val="28"/>
          <w:szCs w:val="28"/>
        </w:rPr>
        <w:t xml:space="preserve">5. Product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FFFFFF"/>
                <w:sz w:val="20"/>
                <w:szCs w:val="20"/>
              </w:rPr>
              <w:t xml:space="preserve">Timeline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FFFFFF"/>
                <w:sz w:val="20"/>
                <w:szCs w:val="20"/>
              </w:rPr>
              <w:t xml:space="preserve">Milestone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FFFFFF"/>
                <w:sz w:val="20"/>
                <w:szCs w:val="20"/>
              </w:rPr>
              <w:t xml:space="preserve">Deliverable</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Q4 2025</w:t>
            </w:r>
          </w:p>
        </w:tc>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Protocol Discovery MVP + Closed Beta</w:t>
            </w:r>
          </w:p>
        </w:tc>
        <w:tc>
          <w:tcPr>
            <w:tcW w:type="dxa" w:w="3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Core security stack production-ready; top bank pilots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Q1 2026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General Availability Launch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GA with LLM bundle; SOC 2 Type I certification; PQC readiness reports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Q2 2026</w:t>
            </w:r>
          </w:p>
        </w:tc>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Banking Vertical Deep-Dive</w:t>
            </w:r>
          </w:p>
        </w:tc>
        <w:tc>
          <w:tcPr>
            <w:tcW w:type="dxa" w:w="3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ISO-8583/SWIFT quantum-safe wrappers; HSM integration certified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Q3 2026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Multi-Vertical Expansion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Healthcare + energy verticals; Translation Studio live; 500+ protocol adapters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Q4 2026</w:t>
            </w:r>
          </w:p>
        </w:tc>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Enterprise Scale</w:t>
            </w:r>
          </w:p>
        </w:tc>
        <w:tc>
          <w:tcPr>
            <w:tcW w:type="dxa" w:w="3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Kubernetes operator; managed deployment; MSSP partner program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Q1 2027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Regulatory Certification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FedRAMP Moderate authorization; 1,000+ protocol adapters</w:t>
            </w:r>
          </w:p>
        </w:tc>
      </w:tr>
    </w:tbl>
    <w:p>
      <w:pPr>
        <w:spacing w:after="100" w:before="200" w:line="276"/>
        <w:jc w:val="left"/>
      </w:pPr>
      <w:r>
        <w:rPr>
          <w:rFonts w:ascii="Calibri" w:cs="Calibri" w:eastAsia="Calibri" w:hAnsi="Calibri"/>
          <w:b/>
          <w:bCs/>
          <w:i w:val="false"/>
          <w:iCs w:val="false"/>
          <w:color w:val="2E75B6"/>
          <w:sz w:val="24"/>
          <w:szCs w:val="24"/>
        </w:rPr>
        <w:t xml:space="preserve">Implementation Phases (Per Customer)</w:t>
      </w:r>
    </w:p>
    <w:p>
      <w:pPr>
        <w:pStyle w:val="ListParagraph"/>
        <w:numPr>
          <w:ilvl w:val="0"/>
          <w:numId w:val="3"/>
        </w:numPr>
        <w:spacing w:after="80" w:line="276"/>
      </w:pPr>
      <w:r>
        <w:rPr>
          <w:rFonts w:ascii="Calibri" w:cs="Calibri" w:eastAsia="Calibri" w:hAnsi="Calibri"/>
          <w:b/>
          <w:bCs/>
          <w:i w:val="false"/>
          <w:iCs w:val="false"/>
          <w:color w:val="1A1A1A"/>
          <w:sz w:val="22"/>
          <w:szCs w:val="22"/>
        </w:rPr>
        <w:t xml:space="preserve">Discover (2–4 hours) — </w:t>
      </w:r>
      <w:r>
        <w:rPr>
          <w:rFonts w:ascii="Calibri" w:cs="Calibri" w:eastAsia="Calibri" w:hAnsi="Calibri"/>
          <w:b w:val="false"/>
          <w:bCs w:val="false"/>
          <w:i w:val="false"/>
          <w:iCs w:val="false"/>
          <w:color w:val="1A1A1A"/>
          <w:sz w:val="22"/>
          <w:szCs w:val="22"/>
        </w:rPr>
        <w:t xml:space="preserve">Complete protocol map, risk assessment, quantum vulnerability report</w:t>
      </w:r>
    </w:p>
    <w:p>
      <w:pPr>
        <w:pStyle w:val="ListParagraph"/>
        <w:numPr>
          <w:ilvl w:val="0"/>
          <w:numId w:val="3"/>
        </w:numPr>
        <w:spacing w:after="80" w:line="276"/>
      </w:pPr>
      <w:r>
        <w:rPr>
          <w:rFonts w:ascii="Calibri" w:cs="Calibri" w:eastAsia="Calibri" w:hAnsi="Calibri"/>
          <w:b/>
          <w:bCs/>
          <w:i w:val="false"/>
          <w:iCs w:val="false"/>
          <w:color w:val="1A1A1A"/>
          <w:sz w:val="22"/>
          <w:szCs w:val="22"/>
        </w:rPr>
        <w:t xml:space="preserve">Assess (1–2 days) — </w:t>
      </w:r>
      <w:r>
        <w:rPr>
          <w:rFonts w:ascii="Calibri" w:cs="Calibri" w:eastAsia="Calibri" w:hAnsi="Calibri"/>
          <w:b w:val="false"/>
          <w:bCs w:val="false"/>
          <w:i w:val="false"/>
          <w:iCs w:val="false"/>
          <w:color w:val="1A1A1A"/>
          <w:sz w:val="22"/>
          <w:szCs w:val="22"/>
        </w:rPr>
        <w:t xml:space="preserve">Compliance gap analysis, deployment architecture, integration plan</w:t>
      </w:r>
    </w:p>
    <w:p>
      <w:pPr>
        <w:pStyle w:val="ListParagraph"/>
        <w:numPr>
          <w:ilvl w:val="0"/>
          <w:numId w:val="3"/>
        </w:numPr>
        <w:spacing w:after="80" w:line="276"/>
      </w:pPr>
      <w:r>
        <w:rPr>
          <w:rFonts w:ascii="Calibri" w:cs="Calibri" w:eastAsia="Calibri" w:hAnsi="Calibri"/>
          <w:b/>
          <w:bCs/>
          <w:i w:val="false"/>
          <w:iCs w:val="false"/>
          <w:color w:val="1A1A1A"/>
          <w:sz w:val="22"/>
          <w:szCs w:val="22"/>
        </w:rPr>
        <w:t xml:space="preserve">Protect (1–2 weeks) — </w:t>
      </w:r>
      <w:r>
        <w:rPr>
          <w:rFonts w:ascii="Calibri" w:cs="Calibri" w:eastAsia="Calibri" w:hAnsi="Calibri"/>
          <w:b w:val="false"/>
          <w:bCs w:val="false"/>
          <w:i w:val="false"/>
          <w:iCs w:val="false"/>
          <w:color w:val="1A1A1A"/>
          <w:sz w:val="22"/>
          <w:szCs w:val="22"/>
        </w:rPr>
        <w:t xml:space="preserve">PQC active, zero-touch security live, compliance automation enabled</w:t>
      </w:r>
    </w:p>
    <w:p>
      <w:pPr>
        <w:pStyle w:val="ListParagraph"/>
        <w:numPr>
          <w:ilvl w:val="0"/>
          <w:numId w:val="3"/>
        </w:numPr>
        <w:spacing w:after="80" w:line="276"/>
      </w:pPr>
      <w:r>
        <w:rPr>
          <w:rFonts w:ascii="Calibri" w:cs="Calibri" w:eastAsia="Calibri" w:hAnsi="Calibri"/>
          <w:b/>
          <w:bCs/>
          <w:i w:val="false"/>
          <w:iCs w:val="false"/>
          <w:color w:val="1A1A1A"/>
          <w:sz w:val="22"/>
          <w:szCs w:val="22"/>
        </w:rPr>
        <w:t xml:space="preserve">Optimize (Ongoing) — </w:t>
      </w:r>
      <w:r>
        <w:rPr>
          <w:rFonts w:ascii="Calibri" w:cs="Calibri" w:eastAsia="Calibri" w:hAnsi="Calibri"/>
          <w:b w:val="false"/>
          <w:bCs w:val="false"/>
          <w:i w:val="false"/>
          <w:iCs w:val="false"/>
          <w:color w:val="1A1A1A"/>
          <w:sz w:val="22"/>
          <w:szCs w:val="22"/>
        </w:rPr>
        <w:t xml:space="preserve">Continuous learning, protocol marketplace expansion, quarterly compliance reports</w:t>
      </w:r>
    </w:p>
    <w:p>
      <w:r>
        <w:br w:type="page"/>
      </w:r>
    </w:p>
    <w:p>
      <w:pPr>
        <w:pBdr>
          <w:bottom w:val="single" w:color="1F4E79" w:sz="4" w:space="4"/>
        </w:pBdr>
        <w:spacing w:after="140" w:before="300" w:line="276"/>
        <w:jc w:val="left"/>
      </w:pPr>
      <w:r>
        <w:rPr>
          <w:rFonts w:ascii="Calibri" w:cs="Calibri" w:eastAsia="Calibri" w:hAnsi="Calibri"/>
          <w:b/>
          <w:bCs/>
          <w:i w:val="false"/>
          <w:iCs w:val="false"/>
          <w:color w:val="1F4E79"/>
          <w:sz w:val="28"/>
          <w:szCs w:val="28"/>
        </w:rPr>
        <w:t xml:space="preserve">6. Intellectual Property Portfolio</w:t>
      </w:r>
    </w:p>
    <w:p>
      <w:pPr>
        <w:spacing w:after="140" w:before="0" w:line="276"/>
        <w:jc w:val="left"/>
      </w:pPr>
      <w:r>
        <w:rPr>
          <w:rFonts w:ascii="Calibri" w:cs="Calibri" w:eastAsia="Calibri" w:hAnsi="Calibri"/>
          <w:b w:val="false"/>
          <w:bCs w:val="false"/>
          <w:i w:val="false"/>
          <w:iCs w:val="false"/>
          <w:color w:val="1A1A1A"/>
          <w:sz w:val="22"/>
          <w:szCs w:val="22"/>
        </w:rPr>
        <w:t xml:space="preserve">Four core patentable inventions have been identified, with filing recommended across India (IPO), Singapore (IPOS), and US (USPTO):</w:t>
      </w:r>
    </w:p>
    <w:p>
      <w:pPr>
        <w:spacing w:after="100" w:before="200" w:line="276"/>
        <w:jc w:val="left"/>
      </w:pPr>
      <w:r>
        <w:rPr>
          <w:rFonts w:ascii="Calibri" w:cs="Calibri" w:eastAsia="Calibri" w:hAnsi="Calibri"/>
          <w:b/>
          <w:bCs/>
          <w:i w:val="false"/>
          <w:iCs w:val="false"/>
          <w:color w:val="2E75B6"/>
          <w:sz w:val="24"/>
          <w:szCs w:val="24"/>
        </w:rPr>
        <w:t xml:space="preserve">Invention 1: Zero-Touch Security Decision Engine</w:t>
      </w:r>
    </w:p>
    <w:p>
      <w:pPr>
        <w:spacing w:after="40" w:before="0" w:line="276"/>
        <w:jc w:val="left"/>
      </w:pPr>
      <w:r>
        <w:rPr>
          <w:rFonts w:ascii="Calibri" w:cs="Calibri" w:eastAsia="Calibri" w:hAnsi="Calibri"/>
          <w:b w:val="false"/>
          <w:bCs w:val="false"/>
          <w:i w:val="false"/>
          <w:iCs w:val="false"/>
          <w:color w:val="1A1A1A"/>
          <w:sz w:val="22"/>
          <w:szCs w:val="22"/>
        </w:rPr>
        <w:t xml:space="preserve">Autonomous security response system with dual-path inference (ML threat classification + LLM contextual analysis), business impact scoring, and a deterministic gating matrix. Achieves 78% fully autonomous execution with full audit trails.</w:t>
      </w:r>
    </w:p>
    <w:p>
      <w:pPr>
        <w:spacing w:after="140" w:before="0" w:line="276"/>
        <w:jc w:val="left"/>
      </w:pPr>
      <w:r>
        <w:rPr>
          <w:rFonts w:ascii="Calibri" w:cs="Calibri" w:eastAsia="Calibri" w:hAnsi="Calibri"/>
          <w:b/>
          <w:bCs/>
          <w:i w:val="false"/>
          <w:iCs w:val="false"/>
          <w:color w:val="1A1A1A"/>
          <w:sz w:val="22"/>
          <w:szCs w:val="22"/>
        </w:rPr>
        <w:t xml:space="preserve">Novel: </w:t>
      </w:r>
      <w:r>
        <w:rPr>
          <w:rFonts w:ascii="Calibri" w:cs="Calibri" w:eastAsia="Calibri" w:hAnsi="Calibri"/>
          <w:b w:val="false"/>
          <w:bCs w:val="false"/>
          <w:i w:val="false"/>
          <w:iCs w:val="false"/>
          <w:color w:val="1A1A1A"/>
          <w:sz w:val="22"/>
          <w:szCs w:val="22"/>
        </w:rPr>
        <w:t xml:space="preserve">No existing system combines ML + LLM dual-path with business-context-aware risk gating for autonomous security decisions.</w:t>
      </w:r>
    </w:p>
    <w:p>
      <w:pPr>
        <w:spacing w:after="100" w:before="200" w:line="276"/>
        <w:jc w:val="left"/>
      </w:pPr>
      <w:r>
        <w:rPr>
          <w:rFonts w:ascii="Calibri" w:cs="Calibri" w:eastAsia="Calibri" w:hAnsi="Calibri"/>
          <w:b/>
          <w:bCs/>
          <w:i w:val="false"/>
          <w:iCs w:val="false"/>
          <w:color w:val="2E75B6"/>
          <w:sz w:val="24"/>
          <w:szCs w:val="24"/>
        </w:rPr>
        <w:t xml:space="preserve">Invention 2: Protocol Discovery-to-API Translation Pipeline</w:t>
      </w:r>
    </w:p>
    <w:p>
      <w:pPr>
        <w:spacing w:after="40" w:before="0" w:line="276"/>
        <w:jc w:val="left"/>
      </w:pPr>
      <w:r>
        <w:rPr>
          <w:rFonts w:ascii="Calibri" w:cs="Calibri" w:eastAsia="Calibri" w:hAnsi="Calibri"/>
          <w:b w:val="false"/>
          <w:bCs w:val="false"/>
          <w:i w:val="false"/>
          <w:iCs w:val="false"/>
          <w:color w:val="1A1A1A"/>
          <w:sz w:val="22"/>
          <w:szCs w:val="22"/>
        </w:rPr>
        <w:t xml:space="preserve">End-to-end pipeline from raw traffic capture to production REST APIs + SDKs in 6 languages via BiLSTM-CRF classification, PCFG grammar inference, and automated marketplace packaging.</w:t>
      </w:r>
    </w:p>
    <w:p>
      <w:pPr>
        <w:spacing w:after="140" w:before="0" w:line="276"/>
        <w:jc w:val="left"/>
      </w:pPr>
      <w:r>
        <w:rPr>
          <w:rFonts w:ascii="Calibri" w:cs="Calibri" w:eastAsia="Calibri" w:hAnsi="Calibri"/>
          <w:b/>
          <w:bCs/>
          <w:i w:val="false"/>
          <w:iCs w:val="false"/>
          <w:color w:val="1A1A1A"/>
          <w:sz w:val="22"/>
          <w:szCs w:val="22"/>
        </w:rPr>
        <w:t xml:space="preserve">Novel: </w:t>
      </w:r>
      <w:r>
        <w:rPr>
          <w:rFonts w:ascii="Calibri" w:cs="Calibri" w:eastAsia="Calibri" w:hAnsi="Calibri"/>
          <w:b w:val="false"/>
          <w:bCs w:val="false"/>
          <w:i w:val="false"/>
          <w:iCs w:val="false"/>
          <w:color w:val="1A1A1A"/>
          <w:sz w:val="22"/>
          <w:szCs w:val="22"/>
        </w:rPr>
        <w:t xml:space="preserve">No existing system auto-discovers undocumented protocols and generates production APIs from them.</w:t>
      </w:r>
    </w:p>
    <w:p>
      <w:pPr>
        <w:spacing w:after="100" w:before="200" w:line="276"/>
        <w:jc w:val="left"/>
      </w:pPr>
      <w:r>
        <w:rPr>
          <w:rFonts w:ascii="Calibri" w:cs="Calibri" w:eastAsia="Calibri" w:hAnsi="Calibri"/>
          <w:b/>
          <w:bCs/>
          <w:i w:val="false"/>
          <w:iCs w:val="false"/>
          <w:color w:val="2E75B6"/>
          <w:sz w:val="24"/>
          <w:szCs w:val="24"/>
        </w:rPr>
        <w:t xml:space="preserve">Invention 3: Quantum-Safe Overlay for Legacy Protocols</w:t>
      </w:r>
    </w:p>
    <w:p>
      <w:pPr>
        <w:spacing w:after="40" w:before="0" w:line="276"/>
        <w:jc w:val="left"/>
      </w:pPr>
      <w:r>
        <w:rPr>
          <w:rFonts w:ascii="Calibri" w:cs="Calibri" w:eastAsia="Calibri" w:hAnsi="Calibri"/>
          <w:b w:val="false"/>
          <w:bCs w:val="false"/>
          <w:i w:val="false"/>
          <w:iCs w:val="false"/>
          <w:color w:val="1A1A1A"/>
          <w:sz w:val="22"/>
          <w:szCs w:val="22"/>
        </w:rPr>
        <w:t xml:space="preserve">Inline PQC encapsulation via sidecar/service mesh without modifying legacy endpoints. Dual-control key management with customer BYOK + optional escrow. Policy-driven crypto path selection per endpoint.</w:t>
      </w:r>
    </w:p>
    <w:p>
      <w:pPr>
        <w:spacing w:after="140" w:before="0" w:line="276"/>
        <w:jc w:val="left"/>
      </w:pPr>
      <w:r>
        <w:rPr>
          <w:rFonts w:ascii="Calibri" w:cs="Calibri" w:eastAsia="Calibri" w:hAnsi="Calibri"/>
          <w:b/>
          <w:bCs/>
          <w:i w:val="false"/>
          <w:iCs w:val="false"/>
          <w:color w:val="1A1A1A"/>
          <w:sz w:val="22"/>
          <w:szCs w:val="22"/>
        </w:rPr>
        <w:t xml:space="preserve">Novel: </w:t>
      </w:r>
      <w:r>
        <w:rPr>
          <w:rFonts w:ascii="Calibri" w:cs="Calibri" w:eastAsia="Calibri" w:hAnsi="Calibri"/>
          <w:b w:val="false"/>
          <w:bCs w:val="false"/>
          <w:i w:val="false"/>
          <w:iCs w:val="false"/>
          <w:color w:val="1A1A1A"/>
          <w:sz w:val="22"/>
          <w:szCs w:val="22"/>
        </w:rPr>
        <w:t xml:space="preserve">No existing system provides PQC protection for legacy protocols without endpoint changes.</w:t>
      </w:r>
    </w:p>
    <w:p>
      <w:pPr>
        <w:spacing w:after="100" w:before="200" w:line="276"/>
        <w:jc w:val="left"/>
      </w:pPr>
      <w:r>
        <w:rPr>
          <w:rFonts w:ascii="Calibri" w:cs="Calibri" w:eastAsia="Calibri" w:hAnsi="Calibri"/>
          <w:b/>
          <w:bCs/>
          <w:i w:val="false"/>
          <w:iCs w:val="false"/>
          <w:color w:val="2E75B6"/>
          <w:sz w:val="24"/>
          <w:szCs w:val="24"/>
        </w:rPr>
        <w:t xml:space="preserve">Invention 4: Customer-Controlled Data Sovereignty Workflow</w:t>
      </w:r>
    </w:p>
    <w:p>
      <w:pPr>
        <w:spacing w:after="40" w:before="0" w:line="276"/>
        <w:jc w:val="left"/>
      </w:pPr>
      <w:r>
        <w:rPr>
          <w:rFonts w:ascii="Calibri" w:cs="Calibri" w:eastAsia="Calibri" w:hAnsi="Calibri"/>
          <w:b w:val="false"/>
          <w:bCs w:val="false"/>
          <w:i w:val="false"/>
          <w:iCs w:val="false"/>
          <w:color w:val="1A1A1A"/>
          <w:sz w:val="22"/>
          <w:szCs w:val="22"/>
        </w:rPr>
        <w:t xml:space="preserve">Multi-option key control (BYOK, managed-with-escrow, managed-with-export) with escrow-triggered key release and standalone MIT-licensed decryption tools.</w:t>
      </w:r>
    </w:p>
    <w:p>
      <w:pPr>
        <w:spacing w:after="140" w:before="0" w:line="276"/>
        <w:jc w:val="left"/>
      </w:pPr>
      <w:r>
        <w:rPr>
          <w:rFonts w:ascii="Calibri" w:cs="Calibri" w:eastAsia="Calibri" w:hAnsi="Calibri"/>
          <w:b/>
          <w:bCs/>
          <w:i w:val="false"/>
          <w:iCs w:val="false"/>
          <w:color w:val="1A1A1A"/>
          <w:sz w:val="22"/>
          <w:szCs w:val="22"/>
        </w:rPr>
        <w:t xml:space="preserve">Novel: </w:t>
      </w:r>
      <w:r>
        <w:rPr>
          <w:rFonts w:ascii="Calibri" w:cs="Calibri" w:eastAsia="Calibri" w:hAnsi="Calibri"/>
          <w:b w:val="false"/>
          <w:bCs w:val="false"/>
          <w:i w:val="false"/>
          <w:iCs w:val="false"/>
          <w:color w:val="1A1A1A"/>
          <w:sz w:val="22"/>
          <w:szCs w:val="22"/>
        </w:rPr>
        <w:t xml:space="preserve">No existing platform provides customer-verifiable, independent decryption capability with contractual escrow triggers.</w:t>
      </w:r>
    </w:p>
    <w:p>
      <w:pPr>
        <w:spacing w:after="100" w:before="200" w:line="276"/>
        <w:jc w:val="left"/>
      </w:pPr>
      <w:r>
        <w:rPr>
          <w:rFonts w:ascii="Calibri" w:cs="Calibri" w:eastAsia="Calibri" w:hAnsi="Calibri"/>
          <w:b/>
          <w:bCs/>
          <w:i w:val="false"/>
          <w:iCs w:val="false"/>
          <w:color w:val="2E75B6"/>
          <w:sz w:val="24"/>
          <w:szCs w:val="24"/>
        </w:rPr>
        <w:t xml:space="preserve">Filing Strategy</w:t>
      </w:r>
    </w:p>
    <w:p>
      <w:pPr>
        <w:pStyle w:val="ListParagraph"/>
        <w:numPr>
          <w:ilvl w:val="0"/>
          <w:numId w:val="2"/>
        </w:numPr>
        <w:spacing w:after="80" w:line="276"/>
      </w:pPr>
      <w:r>
        <w:rPr>
          <w:rFonts w:ascii="Calibri" w:cs="Calibri" w:eastAsia="Calibri" w:hAnsi="Calibri"/>
          <w:b/>
          <w:bCs/>
          <w:i w:val="false"/>
          <w:iCs w:val="false"/>
          <w:color w:val="1A1A1A"/>
          <w:sz w:val="22"/>
          <w:szCs w:val="22"/>
        </w:rPr>
        <w:t xml:space="preserve">Priority: </w:t>
      </w:r>
      <w:r>
        <w:rPr>
          <w:rFonts w:ascii="Calibri" w:cs="Calibri" w:eastAsia="Calibri" w:hAnsi="Calibri"/>
          <w:b w:val="false"/>
          <w:bCs w:val="false"/>
          <w:i w:val="false"/>
          <w:iCs w:val="false"/>
          <w:color w:val="1A1A1A"/>
          <w:sz w:val="22"/>
          <w:szCs w:val="22"/>
        </w:rPr>
        <w:t xml:space="preserve">Zero-Touch Security &gt; Protocol Discovery &gt; PQC Overlay &gt; Data Sovereignty</w:t>
      </w:r>
    </w:p>
    <w:p>
      <w:pPr>
        <w:pStyle w:val="ListParagraph"/>
        <w:numPr>
          <w:ilvl w:val="0"/>
          <w:numId w:val="2"/>
        </w:numPr>
        <w:spacing w:after="80" w:line="276"/>
      </w:pPr>
      <w:r>
        <w:rPr>
          <w:rFonts w:ascii="Calibri" w:cs="Calibri" w:eastAsia="Calibri" w:hAnsi="Calibri"/>
          <w:b/>
          <w:bCs/>
          <w:i w:val="false"/>
          <w:iCs w:val="false"/>
          <w:color w:val="1A1A1A"/>
          <w:sz w:val="22"/>
          <w:szCs w:val="22"/>
        </w:rPr>
        <w:t xml:space="preserve">Jurisdictions: </w:t>
      </w:r>
      <w:r>
        <w:rPr>
          <w:rFonts w:ascii="Calibri" w:cs="Calibri" w:eastAsia="Calibri" w:hAnsi="Calibri"/>
          <w:b w:val="false"/>
          <w:bCs w:val="false"/>
          <w:i w:val="false"/>
          <w:iCs w:val="false"/>
          <w:color w:val="1A1A1A"/>
          <w:sz w:val="22"/>
          <w:szCs w:val="22"/>
        </w:rPr>
        <w:t xml:space="preserve">India (IPO), Singapore (IPOS), United States (USPTO)</w:t>
      </w:r>
    </w:p>
    <w:p>
      <w:pPr>
        <w:pStyle w:val="ListParagraph"/>
        <w:numPr>
          <w:ilvl w:val="0"/>
          <w:numId w:val="2"/>
        </w:numPr>
        <w:spacing w:after="160" w:line="276"/>
      </w:pPr>
      <w:r>
        <w:rPr>
          <w:rFonts w:ascii="Calibri" w:cs="Calibri" w:eastAsia="Calibri" w:hAnsi="Calibri"/>
          <w:b/>
          <w:bCs/>
          <w:i w:val="false"/>
          <w:iCs w:val="false"/>
          <w:color w:val="1A1A1A"/>
          <w:sz w:val="22"/>
          <w:szCs w:val="22"/>
        </w:rPr>
        <w:t xml:space="preserve">India-specific: </w:t>
      </w:r>
      <w:r>
        <w:rPr>
          <w:rFonts w:ascii="Calibri" w:cs="Calibri" w:eastAsia="Calibri" w:hAnsi="Calibri"/>
          <w:b w:val="false"/>
          <w:bCs w:val="false"/>
          <w:i w:val="false"/>
          <w:iCs w:val="false"/>
          <w:color w:val="1A1A1A"/>
          <w:sz w:val="22"/>
          <w:szCs w:val="22"/>
        </w:rPr>
        <w:t xml:space="preserve">Emphasize Section 3(k) technical effects (security automation, protocol translation, PQC overlay)</w:t>
      </w:r>
    </w:p>
    <w:p>
      <w:r>
        <w:br w:type="page"/>
      </w:r>
    </w:p>
    <w:p>
      <w:pPr>
        <w:pBdr>
          <w:bottom w:val="single" w:color="1F4E79" w:sz="4" w:space="4"/>
        </w:pBdr>
        <w:spacing w:after="140" w:before="300" w:line="276"/>
        <w:jc w:val="left"/>
      </w:pPr>
      <w:r>
        <w:rPr>
          <w:rFonts w:ascii="Calibri" w:cs="Calibri" w:eastAsia="Calibri" w:hAnsi="Calibri"/>
          <w:b/>
          <w:bCs/>
          <w:i w:val="false"/>
          <w:iCs w:val="false"/>
          <w:color w:val="1F4E79"/>
          <w:sz w:val="28"/>
          <w:szCs w:val="28"/>
        </w:rPr>
        <w:t xml:space="preserve">7. ROI Analysis</w:t>
      </w:r>
    </w:p>
    <w:p>
      <w:pPr>
        <w:spacing w:after="100" w:before="200" w:line="276"/>
        <w:jc w:val="left"/>
      </w:pPr>
      <w:r>
        <w:rPr>
          <w:rFonts w:ascii="Calibri" w:cs="Calibri" w:eastAsia="Calibri" w:hAnsi="Calibri"/>
          <w:b/>
          <w:bCs/>
          <w:i w:val="false"/>
          <w:iCs w:val="false"/>
          <w:color w:val="2E75B6"/>
          <w:sz w:val="24"/>
          <w:szCs w:val="24"/>
        </w:rPr>
        <w:t xml:space="preserve">Speed Improvement (390x Faster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180"/>
        <w:gridCol w:w="218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FFFFFF"/>
                <w:sz w:val="20"/>
                <w:szCs w:val="20"/>
              </w:rPr>
              <w:t xml:space="preserve">Traditional SOC</w:t>
            </w:r>
          </w:p>
        </w:tc>
        <w:tc>
          <w:tcPr>
            <w:tcW w:type="dxa" w:w="2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FFFFFF"/>
                <w:sz w:val="20"/>
                <w:szCs w:val="20"/>
              </w:rPr>
              <w:t xml:space="preserve">QBITEL Bridge</w:t>
            </w:r>
          </w:p>
        </w:tc>
        <w:tc>
          <w:tcPr>
            <w:tcW w:type="dxa" w:w="2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FFFFFF"/>
                <w:sz w:val="20"/>
                <w:szCs w:val="20"/>
              </w:rPr>
              <w:t xml:space="preserve">Improvement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Detection to Triage</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15 minutes</w:t>
            </w:r>
          </w:p>
        </w:tc>
        <w:tc>
          <w:tcPr>
            <w:tcW w:type="dxa" w:w="2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&lt;1 second</w:t>
            </w:r>
          </w:p>
        </w:tc>
        <w:tc>
          <w:tcPr>
            <w:tcW w:type="dxa" w:w="2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900x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Triage to Decision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30 minutes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&lt;1 second</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1,800x</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Decision to Action</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20 minutes</w:t>
            </w:r>
          </w:p>
        </w:tc>
        <w:tc>
          <w:tcPr>
            <w:tcW w:type="dxa" w:w="2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&lt;5 seconds</w:t>
            </w:r>
          </w:p>
        </w:tc>
        <w:tc>
          <w:tcPr>
            <w:tcW w:type="dxa" w:w="2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240x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F4E79"/>
                <w:sz w:val="20"/>
                <w:szCs w:val="20"/>
              </w:rPr>
              <w:t xml:space="preserve">TOTAL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65 minutes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&lt;10 seconds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390x faster</w:t>
            </w:r>
          </w:p>
        </w:tc>
      </w:tr>
    </w:tbl>
    <w:p>
      <w:pPr>
        <w:spacing w:after="100" w:before="200" w:line="276"/>
        <w:jc w:val="left"/>
      </w:pPr>
      <w:r>
        <w:rPr>
          <w:rFonts w:ascii="Calibri" w:cs="Calibri" w:eastAsia="Calibri" w:hAnsi="Calibri"/>
          <w:b/>
          <w:bCs/>
          <w:i w:val="false"/>
          <w:iCs w:val="false"/>
          <w:color w:val="2E75B6"/>
          <w:sz w:val="24"/>
          <w:szCs w:val="24"/>
        </w:rPr>
        <w:t xml:space="preserve">Cost Reduction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FFFFFF"/>
                <w:sz w:val="20"/>
                <w:szCs w:val="20"/>
              </w:rPr>
              <w:t xml:space="preserve">Investment Area</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FFFFFF"/>
                <w:sz w:val="20"/>
                <w:szCs w:val="20"/>
              </w:rPr>
              <w:t xml:space="preserve">Traditional</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FFFFFF"/>
                <w:sz w:val="20"/>
                <w:szCs w:val="20"/>
              </w:rPr>
              <w:t xml:space="preserve">With QBITEL</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FFFFFF"/>
                <w:sz w:val="20"/>
                <w:szCs w:val="20"/>
              </w:rPr>
              <w:t xml:space="preserve">Savings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Protocol discovery</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$2M–$10M</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$200K</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90–98%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SOC operations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$2M+/year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78% automated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&gt;$1.5M/year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Compliance reporting</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$500K–$1M/yr</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&lt;$50K/year</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90–95%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Legacy integration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$5M–$50M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$200K–$500K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90–96%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Per-incident cost</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$10–$50</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&lt;$0.01</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B7340"/>
                <w:sz w:val="20"/>
                <w:szCs w:val="20"/>
              </w:rPr>
              <w:t xml:space="preserve">5,000x</w:t>
            </w:r>
          </w:p>
        </w:tc>
      </w:tr>
    </w:tbl>
    <w:p>
      <w:pPr>
        <w:spacing w:after="100" w:before="200" w:line="276"/>
        <w:jc w:val="left"/>
      </w:pPr>
      <w:r>
        <w:rPr>
          <w:rFonts w:ascii="Calibri" w:cs="Calibri" w:eastAsia="Calibri" w:hAnsi="Calibri"/>
          <w:b/>
          <w:bCs/>
          <w:i w:val="false"/>
          <w:iCs w:val="false"/>
          <w:color w:val="2E75B6"/>
          <w:sz w:val="24"/>
          <w:szCs w:val="24"/>
        </w:rPr>
        <w:t xml:space="preserve">Decision Autonomy Breakdown</w:t>
      </w:r>
    </w:p>
    <w:p>
      <w:pPr>
        <w:pStyle w:val="ListParagraph"/>
        <w:numPr>
          <w:ilvl w:val="0"/>
          <w:numId w:val="2"/>
        </w:numPr>
        <w:spacing w:after="80" w:line="276"/>
      </w:pPr>
      <w:r>
        <w:rPr>
          <w:rFonts w:ascii="Calibri" w:cs="Calibri" w:eastAsia="Calibri" w:hAnsi="Calibri"/>
          <w:b/>
          <w:bCs/>
          <w:i w:val="false"/>
          <w:iCs w:val="false"/>
          <w:color w:val="1A1A1A"/>
          <w:sz w:val="22"/>
          <w:szCs w:val="22"/>
        </w:rPr>
        <w:t xml:space="preserve">78% auto-execute </w:t>
      </w:r>
      <w:r>
        <w:rPr>
          <w:rFonts w:ascii="Calibri" w:cs="Calibri" w:eastAsia="Calibri" w:hAnsi="Calibri"/>
          <w:b w:val="false"/>
          <w:bCs w:val="false"/>
          <w:i w:val="false"/>
          <w:iCs w:val="false"/>
          <w:color w:val="1A1A1A"/>
          <w:sz w:val="22"/>
          <w:szCs w:val="22"/>
        </w:rPr>
        <w:t xml:space="preserve">(confidence &gt;0.95, low risk) — IP blocks, key rotations, certificate renewals</w:t>
      </w:r>
    </w:p>
    <w:p>
      <w:pPr>
        <w:pStyle w:val="ListParagraph"/>
        <w:numPr>
          <w:ilvl w:val="0"/>
          <w:numId w:val="2"/>
        </w:numPr>
        <w:spacing w:after="80" w:line="276"/>
      </w:pPr>
      <w:r>
        <w:rPr>
          <w:rFonts w:ascii="Calibri" w:cs="Calibri" w:eastAsia="Calibri" w:hAnsi="Calibri"/>
          <w:b/>
          <w:bCs/>
          <w:i w:val="false"/>
          <w:iCs w:val="false"/>
          <w:color w:val="1A1A1A"/>
          <w:sz w:val="22"/>
          <w:szCs w:val="22"/>
        </w:rPr>
        <w:t xml:space="preserve">10% auto-approve </w:t>
      </w:r>
      <w:r>
        <w:rPr>
          <w:rFonts w:ascii="Calibri" w:cs="Calibri" w:eastAsia="Calibri" w:hAnsi="Calibri"/>
          <w:b w:val="false"/>
          <w:bCs w:val="false"/>
          <w:i w:val="false"/>
          <w:iCs w:val="false"/>
          <w:color w:val="1A1A1A"/>
          <w:sz w:val="22"/>
          <w:szCs w:val="22"/>
        </w:rPr>
        <w:t xml:space="preserve">(confidence 0.85–0.95, medium risk) — IP range blocks, account disables, WAF rules</w:t>
      </w:r>
    </w:p>
    <w:p>
      <w:pPr>
        <w:pStyle w:val="ListParagraph"/>
        <w:numPr>
          <w:ilvl w:val="0"/>
          <w:numId w:val="2"/>
        </w:numPr>
        <w:spacing w:after="160" w:line="276"/>
      </w:pPr>
      <w:r>
        <w:rPr>
          <w:rFonts w:ascii="Calibri" w:cs="Calibri" w:eastAsia="Calibri" w:hAnsi="Calibri"/>
          <w:b/>
          <w:bCs/>
          <w:i w:val="false"/>
          <w:iCs w:val="false"/>
          <w:color w:val="1A1A1A"/>
          <w:sz w:val="22"/>
          <w:szCs w:val="22"/>
        </w:rPr>
        <w:t xml:space="preserve">12% escalate </w:t>
      </w:r>
      <w:r>
        <w:rPr>
          <w:rFonts w:ascii="Calibri" w:cs="Calibri" w:eastAsia="Calibri" w:hAnsi="Calibri"/>
          <w:b w:val="false"/>
          <w:bCs w:val="false"/>
          <w:i w:val="false"/>
          <w:iCs w:val="false"/>
          <w:color w:val="1A1A1A"/>
          <w:sz w:val="22"/>
          <w:szCs w:val="22"/>
        </w:rPr>
        <w:t xml:space="preserve">(confidence &lt;0.50 or high blast radius) — production isolation, service shutdowns, full incident response</w:t>
      </w:r>
    </w:p>
    <w:p>
      <w:pPr>
        <w:pBdr>
          <w:bottom w:val="single" w:color="1F4E79" w:sz="4" w:space="4"/>
        </w:pBdr>
        <w:spacing w:after="140" w:before="300" w:line="276"/>
        <w:jc w:val="left"/>
      </w:pPr>
      <w:r>
        <w:rPr>
          <w:rFonts w:ascii="Calibri" w:cs="Calibri" w:eastAsia="Calibri" w:hAnsi="Calibri"/>
          <w:b/>
          <w:bCs/>
          <w:i w:val="false"/>
          <w:iCs w:val="false"/>
          <w:color w:val="1F4E79"/>
          <w:sz w:val="28"/>
          <w:szCs w:val="28"/>
        </w:rPr>
        <w:t xml:space="preserve">8. Deployment Flexibility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FFFFFF"/>
                <w:sz w:val="20"/>
                <w:szCs w:val="20"/>
              </w:rPr>
              <w:t xml:space="preserve"/>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FFFFFF"/>
                <w:sz w:val="20"/>
                <w:szCs w:val="20"/>
              </w:rPr>
              <w:t xml:space="preserve">On-Premise (Air-Gapped)</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FFFFFF"/>
                <w:sz w:val="20"/>
                <w:szCs w:val="20"/>
              </w:rPr>
              <w:t xml:space="preserve">Cloud-Native</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FFFFFF"/>
                <w:sz w:val="20"/>
                <w:szCs w:val="20"/>
              </w:rPr>
              <w:t xml:space="preserve">Hybrid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Best for</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Defense, classified, critical infra</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Modern enterprises (AWS/Azure/GCP)</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Mixed legacy + cloud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AI engine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Ollama/vLLM (local)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Cloud LLMs + on-prem hybrid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On-prem sensitive, cloud for scale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Network</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Fully isolated</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Kubernetes service mesh</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Bridges legacy to cloud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bCs/>
                <w:i w:val="false"/>
                <w:iCs w:val="false"/>
                <w:color w:val="1A1A1A"/>
                <w:sz w:val="20"/>
                <w:szCs w:val="20"/>
              </w:rPr>
              <w:t xml:space="preserve">Crypto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FIPS 140-3 validated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Cloud HSM integration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jc w:val="left"/>
            </w:pPr>
            <w:r>
              <w:rPr>
                <w:rFonts w:ascii="Calibri" w:cs="Calibri" w:eastAsia="Calibri" w:hAnsi="Calibri"/>
                <w:b w:val="false"/>
                <w:bCs w:val="false"/>
                <w:i w:val="false"/>
                <w:iCs w:val="false"/>
                <w:color w:val="1A1A1A"/>
                <w:sz w:val="20"/>
                <w:szCs w:val="20"/>
              </w:rPr>
              <w:t xml:space="preserve">Unified PQC across all</w:t>
            </w:r>
          </w:p>
        </w:tc>
      </w:tr>
    </w:tbl>
    <w:p>
      <w:pPr>
        <w:spacing w:after="200" w:before="0" w:line="276"/>
        <w:jc w:val="left"/>
      </w:pPr>
      <w:r>
        <w:rPr>
          <w:rFonts w:ascii="Calibri" w:cs="Calibri" w:eastAsia="Calibri" w:hAnsi="Calibri"/>
          <w:b w:val="false"/>
          <w:bCs w:val="false"/>
          <w:i w:val="false"/>
          <w:iCs w:val="false"/>
          <w:color w:val="1A1A1A"/>
          <w:sz w:val="22"/>
          <w:szCs w:val="22"/>
        </w:rPr>
        <w:t xml:space="preserve"/>
      </w:r>
    </w:p>
    <w:p>
      <w:pPr>
        <w:spacing w:after="200" w:before="0" w:line="276"/>
        <w:jc w:val="center"/>
      </w:pPr>
      <w:r>
        <w:rPr>
          <w:rFonts w:ascii="Calibri" w:cs="Calibri" w:eastAsia="Calibri" w:hAnsi="Calibri"/>
          <w:b w:val="false"/>
          <w:bCs w:val="false"/>
          <w:i w:val="false"/>
          <w:iCs w:val="false"/>
          <w:color w:val="1F4E79"/>
          <w:sz w:val="20"/>
          <w:szCs w:val="20"/>
        </w:rPr>
        <w:t xml:space="preserve">────────────────────────────────────────</w:t>
      </w:r>
    </w:p>
    <w:p>
      <w:pPr>
        <w:spacing w:after="40" w:before="0" w:line="276"/>
        <w:jc w:val="center"/>
      </w:pPr>
      <w:r>
        <w:rPr>
          <w:rFonts w:ascii="Calibri" w:cs="Calibri" w:eastAsia="Calibri" w:hAnsi="Calibri"/>
          <w:b w:val="false"/>
          <w:bCs w:val="false"/>
          <w:i/>
          <w:iCs/>
          <w:color w:val="555555"/>
          <w:sz w:val="20"/>
          <w:szCs w:val="20"/>
        </w:rPr>
        <w:t xml:space="preserve">This document is confidential and intended for executive review. For a live demo or technical deep-dive, please contact the author.</w:t>
      </w:r>
    </w:p>
    <w:p>
      <w:pPr>
        <w:spacing w:after="140" w:before="0" w:line="276"/>
        <w:jc w:val="center"/>
      </w:pPr>
      <w:r>
        <w:rPr>
          <w:rFonts w:ascii="Calibri" w:cs="Calibri" w:eastAsia="Calibri" w:hAnsi="Calibri"/>
          <w:b w:val="false"/>
          <w:bCs w:val="false"/>
          <w:i w:val="false"/>
          <w:iCs w:val="false"/>
          <w:color w:val="2E75B6"/>
          <w:sz w:val="20"/>
          <w:szCs w:val="20"/>
        </w:rPr>
        <w:t xml:space="preserve">https://bridge.qbitel.com/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after="0" w:before="0" w:line="276"/>
      <w:jc w:val="center"/>
    </w:pPr>
    <w:r>
      <w:rPr>
        <w:rFonts w:ascii="Calibri" w:cs="Calibri" w:eastAsia="Calibri" w:hAnsi="Calibri"/>
        <w:b w:val="false"/>
        <w:bCs w:val="false"/>
        <w:i/>
        <w:iCs/>
        <w:color w:val="555555"/>
        <w:sz w:val="18"/>
        <w:szCs w:val="18"/>
      </w:rPr>
      <w:t xml:space="preserve">Confidential</w:t>
    </w:r>
    <w:r>
      <w:rPr>
        <w:rFonts w:ascii="Calibri" w:cs="Calibri" w:eastAsia="Calibri" w:hAnsi="Calibri"/>
        <w:b w:val="false"/>
        <w:bCs w:val="false"/>
        <w:i w:val="false"/>
        <w:iCs w:val="false"/>
        <w:color w:val="555555"/>
        <w:sz w:val="18"/>
        <w:szCs w:val="18"/>
      </w:rPr>
      <w:t xml:space="preserve">  |  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2" w:space="4"/>
      </w:pBdr>
      <w:spacing w:after="0" w:before="0" w:line="276"/>
      <w:jc w:val="right"/>
    </w:pPr>
    <w:r>
      <w:rPr>
        <w:rFonts w:ascii="Calibri" w:cs="Calibri" w:eastAsia="Calibri" w:hAnsi="Calibri"/>
        <w:b w:val="false"/>
        <w:bCs w:val="false"/>
        <w:i/>
        <w:iCs/>
        <w:color w:val="555555"/>
        <w:sz w:val="18"/>
        <w:szCs w:val="18"/>
      </w:rPr>
      <w:t xml:space="preserve">QBITEL Bridge — Product &amp; Strategy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2026-03-09T12:39:28.886Z</dcterms:created>
  <dcterms:modified xsi:type="dcterms:W3CDTF">2026-03-09T12:39:28.887Z</dcterms:modified>
</cp:coreProperties>
</file>

<file path=docProps/custom.xml><?xml version="1.0" encoding="utf-8"?>
<Properties xmlns="http://schemas.openxmlformats.org/officeDocument/2006/custom-properties" xmlns:vt="http://schemas.openxmlformats.org/officeDocument/2006/docPropsVTypes"/>
</file>