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QBITEL BRIDGE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Quantum-Safe Legacy Modernisation Platform</w:t>
      </w:r>
    </w:p>
    <w:p>
      <w:pPr>
        <w:spacing w:after="60"/>
      </w:pPr>
    </w:p>
    <w:p>
      <w:pPr>
        <w:pBdr>
          <w:bottom w:val="single" w:color="E8792F" w:sz="6" w:space="1"/>
        </w:pBdr>
        <w:jc w:val="center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FINANCIAL PLAN &amp; PROPOSAL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Series A: ₹20 Crore | FY2026-FY2029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92F"/>
          <w:sz w:val="24"/>
          <w:szCs w:val="24"/>
        </w:rPr>
        <w:t xml:space="preserve">All figures in Indian Rupees (₹) | India-First Capital Efficiency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STRICTLY CONFIDENTIAL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 | QBITEL Technologies Private Limited</w:t>
      </w:r>
    </w:p>
    <w:p>
      <w:r>
        <w:br w:type="page"/>
      </w:r>
    </w:p>
    <w:p>
      <w:pPr>
        <w:pStyle w:val="Heading1"/>
      </w:pPr>
      <w:r>
        <w:t xml:space="preserve">1. Financial Overview &amp; Key Assumptions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USD = ₹84 (RBI Reference Rate, March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Year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- March (Indian Standard)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Recognition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Subscription: Ratable over contract | PS: As 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Accounting Standard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 AS (Indian Accounting Standards)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projections in INR unless stated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Regime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25.17% effective corporate tax (new regime)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 on software services (pass-through to customer)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Inflation Assumption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 annual salary inflation, 3% operational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Rate (WACC)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 for DCF valuations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Growth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 (conservative)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Revenue Model &amp; Pricing Architecture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Revenue (Yr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Subscription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licence per site/deployment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AI Bundle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discovery + autonomous response add-on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Onboarding, training, architecture review, custom adapters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Detection (MDR)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24x7 SOC-as-a-service with QBITEL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Pricing Tiers (Per Site, Annual)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1300"/>
        <w:gridCol w:w="13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Bundle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 (Year 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Year 1 TCV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Tier-1 Banks, Large Hospitals, Refineries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₹50,00,000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₹2,00,00,000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PSBs, Mid-size Hospitals, Regional Utilities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₹30,00,000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₹1,30,00,000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SME /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Banks, Clinics, BPO Centres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₹85,00,000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/ PSU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Defence, ISRO, DRDO, PSUs (GeM)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₹40,00,000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₹1,65,00,000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Contract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Preferred: 3-year contracts with annual billing (10% discount for 3-year commitment)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Standard: 1-year annual subscription with auto-renewal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Terms: Net 30 days (enterprise), Net 45 days (government/PSU)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Escalation: 5-7% annual increase built into multi-year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Multi-site Discount: 15% for 3+ sites, 25% for 10+ sites</w:t>
      </w:r>
    </w:p>
    <w:p>
      <w:r>
        <w:br w:type="page"/>
      </w:r>
    </w:p>
    <w:p>
      <w:pPr>
        <w:pStyle w:val="Heading1"/>
      </w:pPr>
      <w:r>
        <w:t xml:space="preserve">3. Three-Year Profit &amp; Loss Statement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Line Item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 (Year 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 (Year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 (Year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 Customers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Avg. ARR per Customer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₹1,11,00,000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₹3,06,00,000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₹12,48,00,000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₹26,64,00,000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AI Bundle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₹3,36,00,000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₹7,56,00,000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 Services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₹3,20,00,000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₹5,40,00,000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Detection (MDR)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₹96,00,000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₹2,40,00,000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₹4,68,00,000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₹20,00,00,000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₹42,00,00,000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Cost of Revenue (COGS)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COGS Line Item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Infrastructure (AWS/Azure)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₹2,10,00,000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Compute (GPU instances)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₹1,80,00,000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 Delivery Cost (Engineers)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₹2,00,00,000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₹3,00,00,000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Licences (HSM, etc.)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₹84,00,000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Support (L1/L2)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₹2,10,00,000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COGS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₹1,60,00,000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₹5,84,00,000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₹9,84,00,000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₹3,08,00,000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₹14,16,00,000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₹32,16,00,000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65.8%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70.8%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76.6%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Operating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OpEx Category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Salaries (22 people)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₹4,40,00,000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₹5,28,00,000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₹6,60,00,000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&amp; Marketing Salaries (9 ppl)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₹2,16,00,000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₹2,88,00,000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₹3,60,00,000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&amp; Events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₹1,80,00,000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&amp; Infrastructure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₹84,00,000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Certifications (CERT-In, SOC2, ISO)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&amp; Business Development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₹84,00,000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&amp; Miscellaneous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ESOP Cost (Non-Cash)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OPERATING EXPENSES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₹9,56,00,000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₹12,28,00,000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₹15,60,00,000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EBITDA &amp; Net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Profitability Metric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₹4,68,00,000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₹42,00,00,000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₹3,08,00,000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₹14,16,00,000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₹32,16,00,000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Operating Expenses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(₹9,56,00,000)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(₹12,28,00,000)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(₹15,60,00,000)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EBITDA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(₹6,48,00,000)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₹1,88,00,000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₹16,56,00,000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-138.5%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9.4%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Depreciation &amp; Amortisation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(₹24,00,000)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(₹36,00,000)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(₹48,00,000)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Income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Before Tax (PBT)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(₹6,32,00,000)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₹1,72,00,000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₹16,38,00,000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(25.17%)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(₹43,29,240)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(₹4,12,28,460)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Profit After Tax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(₹6,32,00,000)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₹1,28,70,760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₹12,25,71,540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Margin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-135.0%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6.4%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29.2%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Cash Flow Projections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 Flow Item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Opening Cash Balance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₹13,37,00,000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₹14,93,70,760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from Operations: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Profit / (Loss)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(₹6,32,00,000)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₹1,28,70,760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₹12,25,71,540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Add: Depreciation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Add: ESOP (Non-Cash)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₹72,00,000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Capital Changes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(₹60,00,000)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(₹40,00,000)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(₹60,00,000)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Cash from Operations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(₹6,20,00,000)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₹1,84,70,760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₹12,85,71,540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from Investing: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CapEx (IT, Office)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(₹36,00,000)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(₹24,00,000)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(₹36,00,000)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Patent Filing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(₹7,00,000)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(₹4,00,000)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Cash from Investing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(₹43,00,000)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(₹28,00,000)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(₹40,00,000)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from Financing: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A Proceeds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₹20,00,00,000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B Proceeds (if needed)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Cash from Financing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₹20,00,00,000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Closing Cash Balance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₹13,37,00,000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₹14,93,70,760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₹27,39,42,300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Burn Rate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₹55,50,000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Positive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Positive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The company reaches cash-flow positive in Q2 FY2027-28 (Month 19), and accumulates ₹27.4 Crore cash by FY2028-29 end. Series B funding is optional.</w:t>
      </w:r>
    </w:p>
    <w:p>
      <w:r>
        <w:br w:type="page"/>
      </w:r>
    </w:p>
    <w:p>
      <w:pPr>
        <w:pStyle w:val="Heading1"/>
      </w:pPr>
      <w:r>
        <w:t xml:space="preserve">5. Unit Economics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 (Year 1)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 (Year 2)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 (Year 3)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Acquisition Cost (CAC)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₹35,00,000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&lt;₹50L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 Payback Period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 months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 months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 months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Lifetime Value (LTV, 5yr)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₹2,60,00,000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₹2,80,00,000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₹3,00,00,000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&gt;3x CAC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LTV : CAC Ratio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&gt;3.0x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76.6%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Revenue Retention (NRR)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&gt;110%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Churn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&lt;3%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per Employee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₹18,72,000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₹55,55,556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₹93,33,333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Security Event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₹0.84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₹0.63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₹0.42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&lt;₹5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ACV (Avg. Contract Value)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₹1,25,00,000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₹1,17,00,000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of 40 Score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-73 (pre-revenue)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&gt;40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These Metrics Are World-Class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LTV:CAC of 7.4x-12x is 2-4x better than the industry benchmark of 3x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 payback of 4-6 months is 3x faster than the 12-18 month SaaS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NRR of 128-135% means every cohort grows 28-35% annually without new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Gross margin expansion from 66% to 77% reflects platform leverage and scale</w:t>
      </w:r>
    </w:p>
    <w:p>
      <w:r>
        <w:br w:type="page"/>
      </w:r>
    </w:p>
    <w:p>
      <w:pPr>
        <w:pStyle w:val="Heading1"/>
      </w:pPr>
      <w:r>
        <w:t xml:space="preserve">6. Headcount &amp; Compensation Plan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Headcount 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(AI/ML, PQC, Platform)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(AE, SE, SDR)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Success &amp; Support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 (Finance, Legal, HR, Admin)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Leadership (CXO)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HEADCOUNT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Compensation Benchmarks (Annual CTC in LPA)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1560"/>
        <w:gridCol w:w="2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CTC Range (LPA)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CTC (LPA)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 (Yr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 / Co-Founder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₹80-100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/ Co-Founder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₹60-80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Engineering / VP 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₹50-70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AI/ML Engineers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₹25-35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₹28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₹1,12,00,000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PQC / Security Engineers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₹22-30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₹75,00,000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Engineers (Rust/Go)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₹20-28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₹96,00,000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Executives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₹25-35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₹1,80,00,000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Solution Engineers (Pre-sales)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₹18-25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/ DevSecOps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₹15-22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₹54,00,000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Success /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₹12-18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₹15-22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 (Finance, Legal,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₹10-15 LPA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 LPA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₹36,00,000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₹8,19,00,000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5% annual salary inflation factored into Year 2 and Year 3 projections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roles include base + 30-40% variable component (commission on ARR 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ESOP pool: 15% of post-money equity, 4-year vesting with 1-year cliff</w:t>
      </w:r>
    </w:p>
    <w:p>
      <w:r>
        <w:br w:type="page"/>
      </w:r>
    </w:p>
    <w:p>
      <w:pPr>
        <w:pStyle w:val="Heading1"/>
      </w:pPr>
      <w:r>
        <w:t xml:space="preserve">7. Customer Acquisition Plan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Year 1 Pipeline (6 Target Customers)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00"/>
        <w:gridCol w:w="20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ARR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Stage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 (Pvt.)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Top-10 Private Bank (ICICI, HDFC, Kotak)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₹1,50,00,000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 Planning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 (PSB)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SBI / Bank of Baroda / PNB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POV Proposal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Hospital Chain (Apollo, Fortis, 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Discussion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Utility (NTPC, PowerGrid, Adani Power)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₹1,50,00,000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RFP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Government/PSU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Defence / DRDO / ISRO (via GeM)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 Registration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BPO / Telecom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BPO (TCS BPS, Wipro BPS, Genpact)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₹1,00,00,000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Proof of Concept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Year 2-3 Expansion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2: 10 new customers (banking expansion + healthcare + government/defence)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2: International pilots in UAE (banking) and Singapore (telecom)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3: 20 new customers including 6 international (UAE, Singapore, ASEAN)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Multi-site expansion: Upsell existing customers from 1 site to 3-5 sites (NRR driver)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MSSP channel: Tata Communications, Wipro Cyber Defence resell to their customer base</w:t>
      </w:r>
    </w:p>
    <w:p>
      <w:r>
        <w:br w:type="page"/>
      </w:r>
    </w:p>
    <w:p>
      <w:pPr>
        <w:pStyle w:val="Heading1"/>
      </w:pPr>
      <w:r>
        <w:t xml:space="preserve">8. Valuation Analysis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Comparable Transaction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 / 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Multiple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Valuation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CrowdStrike (at similar ARR stage)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25-35x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₹1,000-1,400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Cloud-native security, high NRR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SentinelOne (at similar stage)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18-25x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₹720-1,000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AI-first endpoint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Palo Alto acquisition of Demisto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SOAR platform, $560M deal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acquisition of Splunk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Mature revenue, large customer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 SaaS (Zoho/Freshworks stage)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12-20x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₹480-800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India-based SaaS comparables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Applied QBITEL Multiple (Base)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15-20x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₹600-800 Cr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PQC premium + deep tech moat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DCF Valuation (5-Year Horizon)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000"/>
        <w:gridCol w:w="2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Factor (18%)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FY2026-27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₹4.68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(₹6.63 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0.847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(₹5.62 Cr)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FY2027-28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₹20.00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₹1.57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0.718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₹1.13 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FY2028-29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₹42.00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₹12.46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₹7.59 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FY2029-30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₹72.00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₹24.00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₹12.38 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FY2030-31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₹110.00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₹38.50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₹16.82 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Value (5% growth)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₹310.38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₹135.64 Cr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Value (DCF)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₹167.94 Cr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DCF analysis yields an enterprise value of approximately ₹168 Crore, validating the ₹60 Crore pre-money Series A valuation as attractive for investors with 2.8x upside to fundamental value.</w:t>
      </w:r>
    </w:p>
    <w:p>
      <w:r>
        <w:br w:type="page"/>
      </w:r>
    </w:p>
    <w:p>
      <w:pPr>
        <w:pStyle w:val="Heading1"/>
      </w:pPr>
      <w:r>
        <w:t xml:space="preserve">9. Sensitivity Analysis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Revenue Sensitivity to Customer Count &amp; ACV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20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ACV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Revenue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EBITDA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 Case (-30%)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₹29.4 Cr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₹8.8 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₹1,17,00,000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₹42.0 Cr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₹16.6 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 Case (+30%)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₹1,30,00,000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₹58.8 Cr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₹26.0 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(+50%)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₹1,40,00,000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₹72.0 Cr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₹36.0 Cr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 Breakeven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Changed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 Case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Cycle Length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 (+2)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months (-2)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Breakeven Month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24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at Breakeven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₹6.2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₹13.4 Cr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₹16.1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Funding Needed?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Possibly ₹5 Cr bridge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 Exit Valuation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6"/>
        <w:gridCol w:w="2287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Multiple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Revenue ₹29 Cr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Revenue ₹42 Cr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Yr 3 Revenue ₹59 Cr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10x (Conservative)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₹294 Cr (2.0x)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₹420 Cr (3.5x)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₹588 Cr (5.2x)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15x (Base)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₹441 Cr (3.5x)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₹630 Cr (5.6x)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₹882 Cr (7.8x)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20x (Growth Premium)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₹588 Cr (5.2x)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₹840 Cr (7.5x)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₹1,176 Cr (10.5x)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25x (Strategic Acq.)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₹735 Cr (6.5x)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₹1,050 Cr (9.4x)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₹1,470 Cr (13.1x)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Values in parentheses represent MOIC (Multiple on Invested Capital) for Series A investors.</w:t>
      </w:r>
    </w:p>
    <w:p>
      <w:r>
        <w:br w:type="page"/>
      </w:r>
    </w:p>
    <w:p>
      <w:pPr>
        <w:pStyle w:val="Heading1"/>
      </w:pPr>
      <w:r>
        <w:t xml:space="preserve">10. Detailed Fund Deployment Schedule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 Quarter-by-Quarter Deployment (₹20 Crore)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72"/>
        <w:gridCol w:w="1372"/>
        <w:gridCol w:w="1372"/>
        <w:gridCol w:w="1372"/>
        <w:gridCol w:w="137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(Apr-Jun)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(Jul-Sep)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(Oct-Dec)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(Jan-Mar)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Salaries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₹1.0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₹1.2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₹1.4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₹4.4 Cr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&amp; Marketing Salaries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₹2.16 Cr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Campaigns &amp; Events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Infrastructure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Certifications (CERT-In, SOC2)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&amp; IT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₹11L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₹48L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&amp; BD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₹10L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₹36L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&amp; Misc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₹6L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₹24L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QUARTERLY SPEND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₹1.96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₹2.18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₹2.53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₹2.77 Cr</w:t>
            </w:r>
          </w:p>
        </w:tc>
        <w:tc>
          <w:tcPr>
            <w:tcW w:type="dxa" w:w="1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₹9.44 Cr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Year 1 total deployment of ₹9.44 Crore against ₹20 Crore raised, leaving ₹10.56 Crore cash reserve entering Year 2 (before considering revenue). With ₹4.68 Crore revenue in Year 1, closing cash is approximately ₹13.37 Crore.</w:t>
      </w:r>
    </w:p>
    <w:p>
      <w:r>
        <w:br w:type="page"/>
      </w:r>
    </w:p>
    <w:p>
      <w:pPr>
        <w:pStyle w:val="Heading1"/>
      </w:pPr>
      <w:r>
        <w:t xml:space="preserve">11. Key Financial Ratios &amp; KPIs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/ KPI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FY2026-27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FY2027-28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FY2028-29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Growth Rate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(Year 1)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327%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&gt;100% Y2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65.8%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70.8%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76.6%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-138.5%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9.4%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39.4%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&gt;25% Y3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Margin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-135.0%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6.4%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29.2%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&gt;20% Y3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per Employee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₹17.6L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₹34.3L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₹55.6L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Burn Multiple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(profitable)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Runway (months)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22+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Infinite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Infinite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 Ratio (Liquid)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12.0x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&gt;1.0x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Debt-to-Equity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0.0x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on Equity (ROE)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-31.6%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&gt;20% Y3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Number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Investor Return Analysis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 Series A Returns (25% Ownership at ₹20 Crore)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500"/>
        <w:gridCol w:w="1560"/>
        <w:gridCol w:w="1200"/>
        <w:gridCol w:w="16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Valuation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 Proceeds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Acquisition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3 (FY2029)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₹300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₹75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Case Acquisition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3-4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₹600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₹150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Premium Acq.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3-4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₹900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₹225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11.25x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~105%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NSE IPO (Bull)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4-5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₹1,200 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₹300 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~115%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12.2 Value Creation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Valuation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 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A Investment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 Cr (post-money)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Customers + ₹7.2 Cr ARR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+₹40 Cr (ARR validation)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EBITDA Breakeven (Month 19)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+₹60 Cr (de-risked)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₹180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Customers + ₹19.2 Cr ARR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+₹120 Cr (scale proof)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 Revenue (Year 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+₹150 Cr (global potential)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₹450 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Customers + ₹40 Cr ARR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+₹150-550 Cr (exit premium)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₹600-1,000 Cr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Appendices</w:t>
      </w:r>
    </w:p>
    <w:p>
      <w:pPr>
        <w:spacing w:after="60"/>
      </w:pPr>
    </w:p>
    <w:p>
      <w:pPr>
        <w:pStyle w:val="Heading2"/>
      </w:pPr>
      <w:r>
        <w:t xml:space="preserve">Appendix A: Monthly Cash Flow (Year 1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Closing Balance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(₹55L)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₹19.45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₹58L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(₹58L)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₹18.87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(₹30L)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₹18.57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₹35L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(₹30L)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₹18.27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₹35L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₹68L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(₹33L)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₹17.94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₹70L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(₹30L)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₹17.64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₹45L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₹72L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(₹27L)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₹17.37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₹50L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(₹25L)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₹17.12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₹78L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(₹18L)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₹16.94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₹65L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(₹15L)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₹16.79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₹70L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₹82L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(₹12L)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₹16.67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₹80L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₹85L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(₹5L)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₹16.62 Cr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Appendix B: Key Assumptions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deal size: ₹1.2 Crore Year 1, growing to ₹1.17 Crore as SME tier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cycle: 7 months average (5-9 month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 rate: 25% Year 1, improving to 35% Year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Quota per AE: ₹2.5 Crore ARR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Revenue Retention: 128% (cross-sell, multi-site, upsell)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churn: &lt;5% (compliance lock-in reduces churn)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inflation: 5%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cost: Scales sub-linearly with customers (shared infrastructure)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rate: 25.17% (new corporate tax regime, no tax holiday assumed)</w:t>
      </w:r>
    </w:p>
    <w:p>
      <w:pPr>
        <w:spacing w:after="60"/>
      </w:pPr>
    </w:p>
    <w:p>
      <w:pPr>
        <w:pStyle w:val="Heading2"/>
      </w:pPr>
      <w:r>
        <w:t xml:space="preserve">Appendix C: Regulatory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FY2026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RBI IT Master Direction enforcement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Banks must demonstrate quantum readiness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FY2026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SEBI Cybersecurity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exchanges, brokers, depositories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FY2026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IRDAI cyber guidelines enforcement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companies must comply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FY2026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 telecom security rules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 operators mandate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FY2027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ABDM health data standards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Hospitals and health systems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FY2027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DPDP Act enforcement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Cross-sector data protection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FY2027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CERT-In advanced reporting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 incident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FY2028+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PQC migration deadlines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quantum-safe requirements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8792F" w:sz="6" w:space="1"/>
        </w:pBdr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End of Financial Plan &amp; Proposal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QBITEL Technologies Private Limited | Strictly Confidential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4"/>
        <w:szCs w:val="14"/>
      </w:rPr>
      <w:t xml:space="preserve">STRICTLY CONFIDENTIAL | QBITEL Technologies Pvt. Ltd.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QBITEL Bridge | Financial Plan &amp; Proposal | FY2026-FY2029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2026-03-15T16:37:04.638Z</dcterms:created>
  <dcterms:modified xsi:type="dcterms:W3CDTF">2026-03-15T16:37:04.638Z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