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QBITEL BRIDGE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SERIES A INVESTOR PITCH</w:t>
      </w:r>
    </w:p>
    <w:p>
      <w:pPr>
        <w:spacing w:after="60"/>
      </w:pPr>
    </w:p>
    <w:p>
      <w:pPr>
        <w:pBdr>
          <w:bottom w:val="single" w:color="2E75B6" w:sz="4" w:space="4"/>
        </w:pBdr>
        <w:jc w:val="center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Securing the Legacy Foundations of the Modern World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Series A Target: ₹20 Crore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| CONFIDENTIAL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8792F"/>
          <w:sz w:val="22"/>
          <w:szCs w:val="22"/>
        </w:rPr>
        <w:t xml:space="preserve">All figures in Indian Rupees (₹) | India-First Go-to-Market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Capital-efficient India strategy with 87% lower costs than US equivalent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QBITEL Technologies Private Limited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— Do Not Distribute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Bdr>
          <w:bottom w:val="single" w:color="CC0000" w:sz="4" w:space="4"/>
        </w:pBdr>
      </w:pPr>
    </w:p>
    <w:p>
      <w:pPr>
        <w:spacing w:after="60"/>
      </w:pP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 Executive Summary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3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 The Market Crisis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5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 Our Solution: The QBITEL Bridge Platform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7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 Technology Deep Dive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9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 Competitive Landscape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11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6.  Business Model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12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7.  Financial Projections (INR)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14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8.  Use of Funds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16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9.  Go-to-Market Strategy (India-First)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17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10.  Product &amp; Growth Roadmap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19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11.  Team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20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sz w:val="24"/>
          <w:szCs w:val="24"/>
        </w:rPr>
        <w:t xml:space="preserve">12.  The Ask</w:t>
      </w:r>
      <w:r>
        <w:rPr>
          <w:rFonts w:ascii="Arial" w:cs="Arial" w:eastAsia="Arial" w:hAnsi="Arial"/>
          <w:color w:val="2E75B6"/>
          <w:sz w:val="24"/>
          <w:szCs w:val="24"/>
        </w:rPr>
        <w:t xml:space="preserve">	21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QBITEL Bridge is the only open-source platform that discovers unknown legacy protocols with AI, encrypts them with post-quantum cryptography, and defends them autonomously—without replacing a single line of existing code.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FF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36"/>
                <w:szCs w:val="36"/>
              </w:rPr>
              <w:t xml:space="preserve">₹25L Cr+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Daily Transactions at Risk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Banking sector alone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8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92F"/>
                <w:sz w:val="36"/>
                <w:szCs w:val="36"/>
              </w:rPr>
              <w:t xml:space="preserve">60%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Fortune 500 on Legacy Systems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20-40 year old infrastructure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A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8A7D"/>
                <w:sz w:val="36"/>
                <w:szCs w:val="36"/>
              </w:rPr>
              <w:t xml:space="preserve">5–10yr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Quantum Threat 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Encryption broken by 2033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35L+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Cybersecurity Talent Gap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Unfilled roles globally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Three Converging Crises Create an Urgent, Durable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Legacy Crisis: 60% of Fortune 500 companies run critical operations on 20-40 year old systems. Competitors treat manual reverse engineering as a ₹1.7-8.4 Crore cost; QBITEL automates the process in hours, capturing this as pure margin.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Quantum Threat: Within 5-10 years, quantum computers will render today’s encryption (RSA, ECDSA) obsolete. Adversaries are currently harvesting data to decrypt later—data stolen today is a breach tomorrow.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Speed Gap: We face a human-scale defence against a machine-scale threat landscape. Human security teams take 65 minutes to respond to threats that compromise networks in milliseconds.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Investment Thesis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QBITEL sits at the intersection of three secular trends—legacy modernisation, post-quantum cryptography, and AI-driven security automation—each independently a multi-billion dollar market. Our platform addresses all three simultaneously with a non-invasive, open-source approach that enterprises trust.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Investment Snapshot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A Preferred Equity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Sought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 Crore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Pre-Money Valuation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₹60 Crore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Post-Money Valuation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₹80 Crore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Ownership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Runway to Breakeven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months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1 Target ARR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₹7.2 Crore (6 customers)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2 Target ARR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₹19.2 Crore (16 customers)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3 Target ARR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 Crore (36 customers)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Target (Year 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77%+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2 EBITDA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+₹3.64 Crore (profitable)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Close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Cheque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 Crore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Market Crisis: A Multi-Trillion Rupee Vulnerability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global economy rests on ageing foundations that are architecturally incapable of resisting modern machine-speed attacks or the impending quantum decryption threat.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Economic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&amp; Finance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92% of top 100 banks rely on undocumented COBOL mainframes for core operations. No native encryption, no API interfaces, no modern monitoring.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₹25+ lakh crore in daily transactions at risk. ₹42 lakh/hour downtime exposure. Systemic contagion risk.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devices average 6.2 unpatched vulnerabilities. Firmware updates blocked by ₹1.7 Crore FDA recertification costs per device.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₹10,920 Crore in HIPAA fines (2024). Patient health records valued at ₹21,000-84,000 per record on dark web.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Manufacturing / Industrial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SCADA/ICS systems lack native encryption. Patching risks catastrophic safety failures and extended production halts.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Multi-crore production stoppages. Critical infrastructure blackouts. Potential for physical safety incidents.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Quantum Countdown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NIST finalised post-quantum cryptography standards (FIPS 203/204) in 2024, marking the official start of the compliance clock. The timeline is unambiguous: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2025–2026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liability window. Adversaries actively harvest encrypted data for future decryption. NIST FIPS 203/204 standards finalised. RBI IT Master Direction mandates quantum-readiness.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2027–2029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compliance enforcement begins. PCI-DSS 4.0 and EU DORA quantum requirements take effect. SEBI, IRDAI, TRAI deadlines.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2030–2033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Quantum computers reach 1,000+ logical qubits. RSA-2048 and ECDSA encryption broken. All unprotected data retroactively compromised.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India-Specific Regulatory Catalysts (Mandatory Spend)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RBI IT Master Direction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Quantum-readiness for all scheduled commercial banks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CERT-In Incident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Critical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Now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6-hour mandatory incident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SEBI Cybersecurity Circular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Markets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exchanges, brokers, depositories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IRDAI Cybersecurity Guidelines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 cybersecurity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 Telecom Security 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network security mandates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ABDM Data Security Standards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and health data standards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MeitY DPDP 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 and protection compliance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Our Solution: The QBITEL Bridge Platform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QBITEL Bridge provides a non-invasive overlay that modernises legacy environments through a zero-trust, autonomous, five-stage workflow. No rip-and-replace. No downtime. No custom code.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960"/>
        <w:gridCol w:w="3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listens to network traffic and reverse-engineers proprietary protocols—zero documentation required.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protocol dictionary in 2–4 hours vs. 6–12 months manually. Cost: ~₹42L vs. ₹4.2-16.8 Crore.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Communications wrapped in NIST Level 5 post-quantum encryption (ML-KEM / Kyber-1024) at network layer.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Quantum-immune posture achieved in hours. Less than 1ms latency overhead. Immediate protection against harvest-now-decrypt-later.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protocols auto-converted to modern REST APIs and SDKs in 6 programming languages.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velocity accelerated from months to minutes. Unlocks ₹4.2–42 Crore stalled digital transformation projects.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Audit-ready compliance reports for 9 major frameworks (PCI-DSS 4.0, HIPAA, SOC 2, NIST CSF, etc.) generated in under 10 minutes using blockchain-backed evidence.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Eliminates weeks of manual evidence gathering. Reduces audit preparation costs by 80%+.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 AI security engine autonomously handles 78% of attacks with sub-10-second response time and ₹0.84 cost per event.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Solves the 35 lakh-role global security talent gap. 390x faster response than human SOC teams.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Differentiator: Non-Invasive Architecture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QBITEL Bridge operates entirely at the network layer as a transparent proxy. Legacy systems see no changes to their interfaces, code, or configuration. This eliminates the primary barrier to legacy security upgrades—operational risk—and reduces deployment timelines from years to weeks.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Seven Industry Verticals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Protocols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Market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&amp; Finance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COBOL mainframes, core banking, SWIFT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8583, SWIFT MT/MX,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RBI IT Master Direction 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devices, EHR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HL7, FHIR R4, DICOM, IEEE 11073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ABDM Data Security Standards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Infrastructure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grids, water, oil/gas, SCADA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Modbus, DNP3, IEC 61850, OPC 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CERT-In / CERC mandates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Automotive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V2X security, connected vehicles, 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1609.2, CAN, C-V2X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UNECE WP.29 R155/R156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ADS-B, ACARS, flight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ARINC 429/653, LDACS, ADS-B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DGCA / EASA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Telecommunications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SS7, 5G core, SIP/VoIP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Diameter, SS7 MAP, SIP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 Security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BPO &amp; Call Centres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PBX, terminal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TN3270e, SIP, DTMF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PCI-DSS voice compliance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Technology Deep Dive</w:t>
      </w:r>
    </w:p>
    <w:p>
      <w:pPr>
        <w:spacing w:after="60"/>
      </w:pPr>
    </w:p>
    <w:p>
      <w:pPr>
        <w:pStyle w:val="Heading2"/>
      </w:pPr>
      <w:r>
        <w:t xml:space="preserve">AI-Powered Protocol Discovery: Replacing ₹16.8 Crore with ₹42 Lakh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Reverse Engineering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QBITEL AI Discovery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Completion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Protocol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₹4.2–16.8 Crore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~₹42 Lakh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(human error)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89%+ (consistent &amp; validated)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Expertise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protocol engineers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standard 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cost growth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Near-zero marginal cost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Post-Quantum Cryptography Stack (NIST FIPS 203/204)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ML-KEM (Kyber-1024): Quantum-safe key exchange using Module Lattice-Based Key Encapsulation. Provides NIST Security Level 5 protection against both classical and quantum adversaries.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ML-DSA (Dilithium-5): Digital signatures that remain valid even when quantum computers break RSA and ECDSA. Ensures document and transaction integrity post-quantum.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Invisible Performance: Protection delivered at wire-speed via Rust/DPDK implementation with &lt;1ms overhead. Zero impact on existing legacy control loops or transaction latency.</w:t>
      </w:r>
    </w:p>
    <w:p>
      <w:pPr>
        <w:spacing w:after="60"/>
      </w:pPr>
    </w:p>
    <w:p>
      <w:pPr>
        <w:pStyle w:val="Heading2"/>
      </w:pPr>
      <w:r>
        <w:t xml:space="preserve">Performance-Driven Polyglot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DPDK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Memory-safe, wire-speed processing. Achieves &lt;1ms encryption overhead without garbage collection pauses.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/ LangGraph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 the full AI/ML ecosystem. Semantic protocol learning via transformer-based architectures.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High-concurrency service orchestration. Native gRPC support for efficient microservice communication.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enterprise dashboards with real-time telemetry and threat visualisation.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Air-Gap Advantage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Unlike cloud-dependent incumbents (CrowdStrike, Palo Alto), QBITEL Bridge operates 100% on-premises using open-source LLMs (Ollama/vLLM). This is a non-negotiable requirement for regulated sectors—banking, defence (DRDO/ISRO), critical infrastructure—that prohibit external data transmission.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QBITEL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results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6–12 months (manual)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PQC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Per-message overhead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10–50ms (software PQC)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1,00,000+ msg/sec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Industry-leading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65–140 min (manual SOC)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Autonomy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Auto-handled attacks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(competitor playbooks)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Days–weeks (manual)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99.999%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99.99% (typical SaaS)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event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₹0.84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₹840–4,200 (traditional)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Competitive Landscape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QBITEL protects the systems that market incumbents are architecturally incapable of reaching. We do not compete on features—we compete on existence.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CrowdStrike / EDR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Claroty / Dragos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Nozomi / Armis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QBITEL Bridge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COBOL / Mainframe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SCADA / ICS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Post-Quantum Cryptography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NIST L5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Protocol Discovery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Autonomous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Air-Gapped / On-Premises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Compliance Reporting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9 Frameworks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Autonomous Threat 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78%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 Core (Apache 2.0)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Why Incumbents Cannot Catch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Architectural lock-in: CrowdStrike and Palo Alto require OS-level agents—incompatible with COBOL mainframes and embedded SCADA controllers by definition.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quantum roadmap: No major incumbent has filed patents or published roadmaps for post-quantum cryptography integration as of Q4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Open-source trust deficit: Regulated industries demand auditable code. Proprietary black-box security is increasingly unacceptable in banking and critical infrastructure procurement.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autonomous discovery: Existing OT vendors (Claroty, Dragos) do asset discovery of known protocols; QBITEL discovers and learns unknown, undocumented protocols.</w:t>
      </w:r>
    </w:p>
    <w:p>
      <w:r>
        <w:br w:type="page"/>
      </w:r>
    </w:p>
    <w:p>
      <w:pPr>
        <w:pStyle w:val="Heading1"/>
      </w:pPr>
      <w:r>
        <w:t xml:space="preserve">6. Business Model: The Open-Source Flywheel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We leverage Apache 2.0 licensing to build the institutional trust required for critical infrastructure procurement, while capturing value through a robust enterprise subscription and marketplace ecosystem.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Platform Subscription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₹1.2 Crore ARR/site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– Annual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enterprise SLAs, priority support, dedicated engineering. Primary revenue driver.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Feature Bundle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+₹30 Lakh ARR/site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 Module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autonomous reasoning and natural language threat investigation.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Quantum Readiness 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 Lakh/engagement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Fixed-fee migration project to full post-quantum posture. High-margin, repeatable.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 Protocol Adapters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platform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revenue share to creators. 1,000+ adapters projected by 2027. GMV target: ₹50 Crore by 2028.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₹1.5Cr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ARR Per Enterprise Site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Core + LLM Bundle + PS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36"/>
                <w:szCs w:val="36"/>
              </w:rPr>
              <w:t xml:space="preserve">77%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Gross Margin (Yr 3)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Software-driven model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A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8A7D"/>
                <w:sz w:val="36"/>
                <w:szCs w:val="36"/>
              </w:rPr>
              <w:t xml:space="preserve">₹0.84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Autonomous Event Cost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vs. ₹840-4,200 SOC cost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FFF8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92F"/>
                <w:sz w:val="36"/>
                <w:szCs w:val="36"/>
              </w:rPr>
              <w:t xml:space="preserve">7.4x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LTV:CAC Ratio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World-class unit economics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Open-Source as a Moat, Not a Liability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2.0 licensing is the procurement unlock for critical infrastructure. Government agencies (GeM), regulated banks (RBI), and hospital networks (ABDM) require source code auditability. Our open-source core generates community-driven protocol adapters, competitive intelligence on threats, and institutional trust—all of which accelerate our enterprise sales cycle.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India Pricing (Converted to INR)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300"/>
        <w:gridCol w:w="1200"/>
        <w:gridCol w:w="13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Bundle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 (Year 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Year 1 TCV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Tier-1 Banks, Large Hospitals, Refineries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₹1.20 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₹30L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₹2.00 Cr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PSBs, Mid-size Hospitals, Utilities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₹80L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₹30L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₹1.30 Cr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 / 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Banks, Clinics, BPO Centres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₹15L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₹85L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/ PSU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Defence, DRDO, ISRO, PSUs (GeM)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₹1.00 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₹25L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₹1.65 Cr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Financial Projections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Three-year projections reflect a capital-efficient, land-and-expand SaaS model targeting regulated enterprise verticals with long contract durations and high switching costs.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6"/>
        <w:gridCol w:w="21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(FY2026-27)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(FY2027-28)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(FY2028-29)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Customer Count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(30 India + 6 Intl)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Ending ARR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₹7.2 Crore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₹19.2 Crore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 Crore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₹4.68 Crore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₹20 Crore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₹42 Crore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(₹7.08 Cr)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+₹3.64 Cr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+₹11 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(pre-scale)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+18.2%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+26.2%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Countries / Verticals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/ 3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/ 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/ 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Key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1 anchored by 3 Tier-1 banking clients from closed beta (LOIs signed) plus 3 healthcare/industrial customers from GA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contract value: ₹1.2 Crore ARR per site (Core subscription). LLM bundle and professional services are additional.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margin expansion driven by automation reducing support headcount requirements as AI autonomous response handles increasing share of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revenue modelled conservatively at 30% platform fee on independently submitted adapters; excludes proprietary adapter revenue.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ARR Growth: ₹7.2 Cr → ₹40 Cr in 36 Months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trajectory is supported by: (1) contracted pipeline from banking closed beta, (2) RBI/SEBI/CERT-In regulatory mandates forcing quantum migrations by 2025–2027, and (3) India-first cost advantage enabling 87% lower burn rate than US competitors.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Year-over-Year P&amp;L Summary (INR)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FY2026-27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FY2027-28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FY2028-29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₹3.06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₹12.48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₹26.64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Bundle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₹72 Lakh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₹3.36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₹7.56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₹72 Lakh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₹3.20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₹5.40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Detection &amp; MDR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₹18 Lakh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₹96 Lakh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₹2.40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₹4.68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₹20.00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₹42.00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of Revenue (COGS)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(₹1.60 Cr)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(₹5.84 Cr)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(₹9.84 Cr)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₹3.08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₹14.16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₹32.16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(₹10.16 Cr)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(₹10.52 Cr)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(₹21.16 Cr)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(₹7.08 Cr)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+₹3.64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+₹11.00 Cr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Use of Funds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QBITEL is raising ₹20 Crore in Series A funding to achieve product completion, regulatory certifications, and India-first market leadership in quantum-safe legacy security. India’s 87% cost advantage over the US means ₹20 Crore delivers the same output as $18M+ raised by a Silicon Valley competitor.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600"/>
        <w:gridCol w:w="5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Investments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&amp;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₹8.0 Crore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Finalise autonomous AI engine; expand discovery accuracy to 95%+; PQC domain optimisation; complete SDK for 6 languages; harden air-gap deployment.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Go-to-Market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₹5.0 Crore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Account Executives, 4 Solution Engineers, VP Sales/Marketing hire; vertical marketing for banking, healthcare, energy; events &amp;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Certifications &amp; Partnerships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₹4.0 Crore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CERT-In empanelment; SOC 2 Type II; ISO 27001; NIST FIPS validation; HSM integration; GeM listing; SI partnerships (TCS, Wipro, Infosys).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&amp; Working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₹3.0 Crore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 (Bengaluru/Hyderabad), IT infrastructure, legal, finance, insurance, contingency reserve.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F2F2F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₹20Cr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Total Series A Raise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India-first capital efficiency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D5E8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22mo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Runway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Breakeven at Month 19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36"/>
                <w:szCs w:val="36"/>
              </w:rPr>
              <w:t xml:space="preserve">₹19.2Cr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Expected ARR at Y2 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16 enterprise customers</w:t>
            </w:r>
          </w:p>
        </w:tc>
        <w:tc>
          <w:tcPr>
            <w:tcW w:type="dxa" w:w="234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FFF8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92F"/>
                <w:sz w:val="36"/>
                <w:szCs w:val="36"/>
              </w:rPr>
              <w:t xml:space="preserve">71%+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Target Gross Margin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Software-driven expansion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Go-to-Market Strategy (India-First)</w:t>
      </w:r>
    </w:p>
    <w:p>
      <w:pPr>
        <w:spacing w:after="60"/>
      </w:pPr>
    </w:p>
    <w:p>
      <w:pPr>
        <w:pStyle w:val="Heading2"/>
      </w:pPr>
      <w:r>
        <w:t xml:space="preserve">Why India First?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87% lower engineering costs: ₹12 Crore vs ₹75 Crore (US equivalent) for a 20-person engineering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World-class cryptography and AI talent at 5-6x lower cost than Silicon Valley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Government 'Make in India' preference: GeM procurement, PMGDISHA, defence procurement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Air-gapped on-premise AI requirement: Cloud tools barred from DRDO/ISRO/defence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CERT-In empanelment: Mandatory for all government cybersecurity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residency: DPDP Act requires Indian data storage—cloud-only vendors are disadvantaged</w:t>
      </w:r>
    </w:p>
    <w:p>
      <w:pPr>
        <w:spacing w:after="60"/>
      </w:pPr>
    </w:p>
    <w:p>
      <w:pPr>
        <w:pStyle w:val="Heading2"/>
      </w:pPr>
      <w:r>
        <w:t xml:space="preserve">Sales Motion (Proven 5-Step Process)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Quantum Risk Assessment (48-hour passive network tap) — creates board-level urgency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Gap Briefing (60 min for CISO/CTO/Board) — quantifies regulatory exposure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Deep-Dive (90 min with architects) — live demonstration of AI discovery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30-Day Paid Proof of Value (₹21 Lakh / ~$25K) on one network segment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Subscription (₹54.6L–1.01 Cr ARR per site) with 3-year preferred terms</w:t>
      </w:r>
    </w:p>
    <w:p>
      <w:pPr>
        <w:spacing w:after="60"/>
      </w:pPr>
    </w:p>
    <w:p>
      <w:pPr>
        <w:pStyle w:val="Heading2"/>
      </w:pPr>
      <w:r>
        <w:t xml:space="preserve">Channel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Mix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Mix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Enterprise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In-house AE team (10 reps)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(GeM/PSU)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CERT-In empanelment, GeM listing, DPP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MSSP 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Tata Communications, Wipro Cyber Defence, Airtel Secure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Integrators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TCS, Infosys, HCL, Tech Mahindra, Deloitte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Target Customer Pipeline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960"/>
        <w:gridCol w:w="170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ARR (INR)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(Private)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ICICI / HDFC / Kotak / Axis Bank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₹1.50 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Beta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(PSB)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SBI / PNB / Bank of Baroda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₹1.20 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POV Proposal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Apollo / Fortis / Max / Narayana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₹1.00 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Discussion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Infra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NTPC / PowerGrid / Adani Power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₹1.50 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RFP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Defence / PSU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DRDO / ISRO / BEL (via GeM)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₹1.00 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 Registration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BPO / Telecom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 BPS / Wipro BPS / Genpact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₹1.00 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 of Concept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Product &amp; Growth Roadmap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 discovery MVP delivered. Tier-1 banking closed beta launched with 3 anchor customers. SOC 2 Type I audit initiated. Core team of 18 engineers onboarded.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GA release. SOC 2 Type I certification achieved. First 6 enterprise contracts executed. Marketplace launched with 50 founding protocol adapters.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Specialised energy and healthcare modules released. Marketplace reaches 500+ adapters. First CERT-In empanelment. Second sales cohort closes 10 net-new logos.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&amp;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2027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CERT-In empanelment granted. ISO 27001 certified. Marketplace reaches 1,000+ adapters. 16 enterprise customers active. ₹19.2 Cr ARR. EBITDA positive (+₹3.64 Cr).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Leadership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Multi-vertical leadership. 36 customers (30 India + 6 international). ₹40 Cr ARR at 77% gross margin. International expansion to UAE/Singapore. Exploration of strategic M&amp;A or NSE SME IPO path.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Team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Expertise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 / Co-Founder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Cryptography PhD, NIST PQC standardisation contributor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/ Co-Founder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sales, cybersecurity strategy, ex-Big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systems, Rust/Go/Python polyglot, ex-Google/Microsoft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AI/ML Engineers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fine-tuning, protocol discovery, anomaly detection, IIT/IISc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PQC Engineers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Kyber, Dilithium, HSM integration, threshold cryptography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Researchers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MITRE ATT&amp;CK, threat hunting, vulnerability research, CERT-In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Engineers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Kubernetes, eBPF, Istio, DPDK, Kafka, cloud-native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Sales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Banking, healthcare, government verticals, enterprise 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Engineers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Pre-sales, POV execution, customer onboarding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DevSecOps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CI/CD, SAST/DAST, compliance testing, SOC 2 readiness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Board Composition (Post-Investment)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 Founders (CEO + CTO)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 Lead Investor nominees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Independent Director (industry veteran)</w:t>
      </w:r>
    </w:p>
    <w:p>
      <w:r>
        <w:br w:type="page"/>
      </w:r>
    </w:p>
    <w:p>
      <w:pPr>
        <w:pStyle w:val="Heading1"/>
      </w:pPr>
      <w:r>
        <w:t xml:space="preserve">12. The Ask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We Are Raising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₹20 Crore — Series 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To lead the quantum-safe modernisation market and protect the infrastructure the world runs 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Now?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₹20 Crore Series A is structured to reach EBITDA breakeven by Month 19 and ₹19.2 Cr ARR by Year 2 end. Three catalysts make this the optimal investment window: (1) NIST standards finalised in 2024 have started enterprise procurement cycles; (2) RBI IT Master Direction mandates quantum-readiness for all scheduled banks; (3) India’s 87% cost advantage means we reach profitability before needing a Series B.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Series A Investor Rights &amp;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Preferred equity with standard Series A protective provisions.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Board composition: 2 Founders + 2 Lead Investors + 1 Independent Director.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Pro-rata rights through Series B for investors committing ₹2 Crore+.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Non-Participating Liquidation 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Weighted Average Broad-Based Anti-Dilution.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15% ESOP pool (post-money, fully diluted).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close: Q2 2026. Minimum cheque: ₹1 Crore.</w:t>
      </w:r>
    </w:p>
    <w:p>
      <w:pPr>
        <w:spacing w:after="60"/>
      </w:pPr>
    </w:p>
    <w:p>
      <w:pPr>
        <w:pStyle w:val="Heading2"/>
      </w:pPr>
      <w:r>
        <w:t xml:space="preserve">Exit Scenarios (Investor Returns)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1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Valuation (INR)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Multiple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(Strategic Acq.)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₹300 Crore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7.5x Yr 3 ARR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Case (Strategic Acq.)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₹600 Crore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15x Yr 3 ARR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 Case (NSE IPO / Premium)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₹900 Crore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22.5x Yr 3 ARR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~95%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Acquirers: Palo Alto Networks, CrowdStrike, IBM, Cisco, Thales Group, TCS, Wipro, Infosys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75B6" w:sz="4" w:space="8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window to become quantum-safe before adversaries exploit harvested data is closing.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QBITEL Bridge is how the world’s most critical systems survive the next decade.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confidential and intended solely for prospective accredited investors.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Do Not Distribute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QBITEL BRIDGE  |  SERIES A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2026-03-15T16:37:03.129Z</dcterms:created>
  <dcterms:modified xsi:type="dcterms:W3CDTF">2026-03-15T16:37:03.130Z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