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Times New Roman" w:cs="Times New Roman" w:eastAsia="Times New Roman" w:hAnsi="Times New Roman"/>
          <w:b/>
          <w:bCs/>
          <w:sz w:val="36"/>
          <w:szCs w:val="36"/>
        </w:rPr>
        <w:t xml:space="preserve">Domain-Specific Post-Quantum Cryptographic Constructions for Critical Infrastructure: Design, Implementation, and Analysis</w:t>
      </w:r>
    </w:p>
    <w:p>
      <w:pPr>
        <w:spacing w:after="80"/>
        <w:jc w:val="center"/>
      </w:pPr>
      <w:r>
        <w:rPr>
          <w:rFonts w:ascii="Times New Roman" w:cs="Times New Roman" w:eastAsia="Times New Roman" w:hAnsi="Times New Roman"/>
          <w:sz w:val="24"/>
          <w:szCs w:val="24"/>
        </w:rPr>
        <w:t xml:space="preserve">Prabakaran Kannan</w:t>
      </w:r>
    </w:p>
    <w:p>
      <w:pPr>
        <w:spacing w:after="360"/>
        <w:jc w:val="center"/>
      </w:pPr>
      <w:r>
        <w:rPr>
          <w:rFonts w:ascii="Times New Roman" w:cs="Times New Roman" w:eastAsia="Times New Roman" w:hAnsi="Times New Roman"/>
          <w:i/>
          <w:iCs/>
          <w:sz w:val="20"/>
          <w:szCs w:val="20"/>
        </w:rPr>
        <w:t xml:space="preserve">QBITEL Technologies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Email: prabakaran@qbitel.com</w:t>
      </w:r>
    </w:p>
    <w:p>
      <w:pPr>
        <w:spacing w:after="120" w:before="240"/>
        <w:jc w:val="center"/>
      </w:pPr>
      <w:r>
        <w:rPr>
          <w:rFonts w:ascii="Times New Roman" w:cs="Times New Roman" w:eastAsia="Times New Roman" w:hAnsi="Times New Roman"/>
          <w:b/>
          <w:bCs/>
          <w:i/>
          <w:iCs/>
          <w:sz w:val="20"/>
          <w:szCs w:val="20"/>
        </w:rPr>
        <w:t xml:space="preserve">Abstract</w:t>
      </w:r>
    </w:p>
    <w:p>
      <w:pPr>
        <w:spacing w:after="120"/>
        <w:ind w:left="360" w:right="360"/>
        <w:jc w:val="both"/>
      </w:pPr>
      <w:r>
        <w:rPr>
          <w:rFonts w:ascii="Times New Roman" w:cs="Times New Roman" w:eastAsia="Times New Roman" w:hAnsi="Times New Roman"/>
          <w:i/>
          <w:iCs/>
          <w:sz w:val="18"/>
          <w:szCs w:val="18"/>
        </w:rPr>
        <w:t xml:space="preserve">The finalization of NIST post-quantum cryptographic (PQC) standards—ML-KEM (FIPS 203), ML-DSA (FIPS 204), and SLH-DSA (FIPS 205)—marks a critical milestone in the transition to quantum-resistant security. However, these general-purpose primitives do not directly address the unique operational constraints of critical infrastructure domains such as automotive vehicle-to-everything (V2X) communication, aviation air traffic control (ATC) datalinks, banking correspondent networks, healthcare electronic health records (EHR), and industrial SCADA systems. This paper presents 15 novel domain-specific PQC constructions built upon NIST-standardized primitives, organized across five critical infrastructure verticals. Our contributions include: (1) a lattice-based group signature scheme for anonymous V2X authentication with batch verification exceeding 1,000 signatures per second; (2) Merkle tree aggregate signatures achieving 60–80% bandwidth reduction for bandwidth-constrained aviation channels; (3) multi-authority threshold signatures and proxy re-encryption for banking compliance; (4) homomorphic vital signs analytics and proxy re-encryption for HIPAA-compliant healthcare; and (5) TESLA++ broadcast authentication achieving sub-50 µs MAC computation for IEC 61850 GOOSE/SV industrial protocols. We provide both theoretical security analysis reducing to standard lattice assumptions and implementation benchmarks demonstrating practical feasibility. All constructions maintain backward compatibility through a novel crypto agility negotiation protocol supporting zero-downtime algorithm rotation.</w:t>
      </w:r>
    </w:p>
    <w:p>
      <w:pPr>
        <w:spacing w:after="240" w:before="120"/>
        <w:ind w:left="360" w:right="360"/>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Post-quantum cryptography, critical infrastructure, ML-KEM, ML-DSA, group signatures, proxy re-encryption, homomorphic encryption, broadcast authentication, V2X security, aviation security, SCADA security</w:t>
      </w:r>
    </w:p>
    <w:p>
      <w:pPr>
        <w:pStyle w:val="Heading1"/>
        <w:spacing w:after="120" w:before="360"/>
        <w:jc w:val="center"/>
      </w:pPr>
      <w:r>
        <w:rPr>
          <w:rFonts w:ascii="Times New Roman" w:cs="Times New Roman" w:eastAsia="Times New Roman" w:hAnsi="Times New Roman"/>
          <w:b/>
          <w:bCs/>
          <w:caps/>
          <w:sz w:val="24"/>
          <w:szCs w:val="24"/>
        </w:rPr>
        <w:t xml:space="preserve">I. Introduction</w:t>
      </w:r>
    </w:p>
    <w:p>
      <w:pPr>
        <w:spacing w:after="120"/>
        <w:ind w:firstLine="360"/>
        <w:jc w:val="both"/>
      </w:pPr>
      <w:r>
        <w:rPr>
          <w:rFonts w:ascii="Times New Roman" w:cs="Times New Roman" w:eastAsia="Times New Roman" w:hAnsi="Times New Roman"/>
          <w:sz w:val="20"/>
          <w:szCs w:val="20"/>
        </w:rPr>
        <w:t xml:space="preserve">The advent of cryptographically relevant quantum computers (CRQCs) poses an existential threat to classical public-key cryptography. Shor’s algorithm [1] can factor large integers and compute discrete logarithms in polynomial time, rendering RSA, ECDSA, and Diffie-Hellman insecure. In response, the National Institute of Standards and Technology (NIST) finalized three post-quantum cryptographic standards in 2024: ML-KEM (FIPS 203) [2] for key encapsulation, ML-DSA (FIPS 204) [3] for digital signatures, and SLH-DSA (FIPS 205) [4] for stateless hash-based signatures. Additionally, Falcon [5] remains under consideration for compact signatures, and LMS/XMSS [6] provide stateful hash-based alternatives per NIST SP 800-208.</w:t>
      </w:r>
    </w:p>
    <w:p>
      <w:pPr>
        <w:spacing w:after="120"/>
        <w:ind w:firstLine="360"/>
        <w:jc w:val="both"/>
      </w:pPr>
      <w:r>
        <w:rPr>
          <w:rFonts w:ascii="Times New Roman" w:cs="Times New Roman" w:eastAsia="Times New Roman" w:hAnsi="Times New Roman"/>
          <w:sz w:val="20"/>
          <w:szCs w:val="20"/>
        </w:rPr>
        <w:t xml:space="preserve">While these standards provide robust general-purpose quantum resistance, critical infrastructure domains impose constraints that standard algorithms alone cannot satisfy:</w:t>
      </w:r>
    </w:p>
    <w:p>
      <w:pPr>
        <w:pStyle w:val="ListParagraph"/>
        <w:numPr>
          <w:ilvl w:val="0"/>
          <w:numId w:val="2"/>
        </w:numPr>
        <w:spacing w:after="60"/>
      </w:pPr>
      <w:r>
        <w:rPr>
          <w:rFonts w:ascii="Times New Roman" w:cs="Times New Roman" w:eastAsia="Times New Roman" w:hAnsi="Times New Roman"/>
          <w:b/>
          <w:bCs/>
          <w:sz w:val="20"/>
          <w:szCs w:val="20"/>
        </w:rPr>
        <w:t xml:space="preserve">Automotive V2X: </w:t>
      </w:r>
      <w:r>
        <w:rPr>
          <w:rFonts w:ascii="Times New Roman" w:cs="Times New Roman" w:eastAsia="Times New Roman" w:hAnsi="Times New Roman"/>
          <w:sz w:val="20"/>
          <w:szCs w:val="20"/>
        </w:rPr>
        <w:t xml:space="preserve">Anonymous vehicle authentication with Sybil attack prevention and sub-millisecond verification at scale.</w:t>
      </w:r>
    </w:p>
    <w:p>
      <w:pPr>
        <w:pStyle w:val="ListParagraph"/>
        <w:numPr>
          <w:ilvl w:val="0"/>
          <w:numId w:val="2"/>
        </w:numPr>
        <w:spacing w:after="60"/>
      </w:pPr>
      <w:r>
        <w:rPr>
          <w:rFonts w:ascii="Times New Roman" w:cs="Times New Roman" w:eastAsia="Times New Roman" w:hAnsi="Times New Roman"/>
          <w:b/>
          <w:bCs/>
          <w:sz w:val="20"/>
          <w:szCs w:val="20"/>
        </w:rPr>
        <w:t xml:space="preserve">Aviation ATC: </w:t>
      </w:r>
      <w:r>
        <w:rPr>
          <w:rFonts w:ascii="Times New Roman" w:cs="Times New Roman" w:eastAsia="Times New Roman" w:hAnsi="Times New Roman"/>
          <w:sz w:val="20"/>
          <w:szCs w:val="20"/>
        </w:rPr>
        <w:t xml:space="preserve">PQC signatures over channels as narrow as 600 bps (classic SATCOM), requiring aggressive bandwidth compression.</w:t>
      </w:r>
    </w:p>
    <w:p>
      <w:pPr>
        <w:pStyle w:val="ListParagraph"/>
        <w:numPr>
          <w:ilvl w:val="0"/>
          <w:numId w:val="2"/>
        </w:numPr>
        <w:spacing w:after="60"/>
      </w:pPr>
      <w:r>
        <w:rPr>
          <w:rFonts w:ascii="Times New Roman" w:cs="Times New Roman" w:eastAsia="Times New Roman" w:hAnsi="Times New Roman"/>
          <w:b/>
          <w:bCs/>
          <w:sz w:val="20"/>
          <w:szCs w:val="20"/>
        </w:rPr>
        <w:t xml:space="preserve">Banking: </w:t>
      </w:r>
      <w:r>
        <w:rPr>
          <w:rFonts w:ascii="Times New Roman" w:cs="Times New Roman" w:eastAsia="Times New Roman" w:hAnsi="Times New Roman"/>
          <w:sz w:val="20"/>
          <w:szCs w:val="20"/>
        </w:rPr>
        <w:t xml:space="preserve">Multi-party authorization with regulatory compliance proofs that do not expose underlying financial data.</w:t>
      </w:r>
    </w:p>
    <w:p>
      <w:pPr>
        <w:pStyle w:val="ListParagraph"/>
        <w:numPr>
          <w:ilvl w:val="0"/>
          <w:numId w:val="2"/>
        </w:numPr>
        <w:spacing w:after="60"/>
      </w:pPr>
      <w:r>
        <w:rPr>
          <w:rFonts w:ascii="Times New Roman" w:cs="Times New Roman" w:eastAsia="Times New Roman" w:hAnsi="Times New Roman"/>
          <w:b/>
          <w:bCs/>
          <w:sz w:val="20"/>
          <w:szCs w:val="20"/>
        </w:rPr>
        <w:t xml:space="preserve">Healthcare: </w:t>
      </w:r>
      <w:r>
        <w:rPr>
          <w:rFonts w:ascii="Times New Roman" w:cs="Times New Roman" w:eastAsia="Times New Roman" w:hAnsi="Times New Roman"/>
          <w:sz w:val="20"/>
          <w:szCs w:val="20"/>
        </w:rPr>
        <w:t xml:space="preserve">Privacy-preserving encrypted record transfer across providers, including constrained medical devices with &lt;32 KB RAM.</w:t>
      </w:r>
    </w:p>
    <w:p>
      <w:pPr>
        <w:pStyle w:val="ListParagraph"/>
        <w:numPr>
          <w:ilvl w:val="0"/>
          <w:numId w:val="2"/>
        </w:numPr>
        <w:spacing w:after="60"/>
      </w:pPr>
      <w:r>
        <w:rPr>
          <w:rFonts w:ascii="Times New Roman" w:cs="Times New Roman" w:eastAsia="Times New Roman" w:hAnsi="Times New Roman"/>
          <w:b/>
          <w:bCs/>
          <w:sz w:val="20"/>
          <w:szCs w:val="20"/>
        </w:rPr>
        <w:t xml:space="preserve">Industrial SCADA: </w:t>
      </w:r>
      <w:r>
        <w:rPr>
          <w:rFonts w:ascii="Times New Roman" w:cs="Times New Roman" w:eastAsia="Times New Roman" w:hAnsi="Times New Roman"/>
          <w:sz w:val="20"/>
          <w:szCs w:val="20"/>
        </w:rPr>
        <w:t xml:space="preserve">Broadcast authentication with &lt;50 µs latency for IEC 61850 sampled values at 4,000 Hz.</w:t>
      </w:r>
    </w:p>
    <w:p>
      <w:pPr>
        <w:pStyle w:val="Heading2"/>
        <w:spacing w:after="80" w:before="240"/>
      </w:pPr>
      <w:r>
        <w:rPr>
          <w:rFonts w:ascii="Times New Roman" w:cs="Times New Roman" w:eastAsia="Times New Roman" w:hAnsi="Times New Roman"/>
          <w:b/>
          <w:bCs/>
          <w:i/>
          <w:iCs/>
          <w:sz w:val="22"/>
          <w:szCs w:val="22"/>
        </w:rPr>
        <w:t xml:space="preserve">A. Contributions</w:t>
      </w:r>
    </w:p>
    <w:p>
      <w:pPr>
        <w:spacing w:after="120"/>
        <w:ind/>
        <w:jc w:val="both"/>
      </w:pPr>
      <w:r>
        <w:rPr>
          <w:rFonts w:ascii="Times New Roman" w:cs="Times New Roman" w:eastAsia="Times New Roman" w:hAnsi="Times New Roman"/>
          <w:sz w:val="20"/>
          <w:szCs w:val="20"/>
        </w:rPr>
        <w:t xml:space="preserve">This paper presents 15 domain-specific PQC constructions, organized into three categories:</w:t>
      </w:r>
    </w:p>
    <w:p>
      <w:pPr>
        <w:spacing w:after="120"/>
        <w:ind/>
        <w:jc w:val="both"/>
      </w:pPr>
      <w:r>
        <w:rPr>
          <w:rFonts w:ascii="Times New Roman" w:cs="Times New Roman" w:eastAsia="Times New Roman" w:hAnsi="Times New Roman"/>
          <w:b/>
          <w:bCs/>
          <w:sz w:val="20"/>
          <w:szCs w:val="20"/>
        </w:rPr>
        <w:t xml:space="preserve">Core Framework (3 constructions):</w:t>
      </w:r>
    </w:p>
    <w:p>
      <w:pPr>
        <w:pStyle w:val="ListParagraph"/>
        <w:numPr>
          <w:ilvl w:val="0"/>
          <w:numId w:val="3"/>
        </w:numPr>
        <w:spacing w:after="60"/>
      </w:pPr>
      <w:r>
        <w:rPr>
          <w:rFonts w:ascii="Times New Roman" w:cs="Times New Roman" w:eastAsia="Times New Roman" w:hAnsi="Times New Roman"/>
          <w:sz w:val="20"/>
          <w:szCs w:val="20"/>
        </w:rPr>
        <w:t xml:space="preserve">Crypto Agility Negotiation Protocol with policy-driven algorithm rotation</w:t>
      </w:r>
    </w:p>
    <w:p>
      <w:pPr>
        <w:pStyle w:val="ListParagraph"/>
        <w:numPr>
          <w:ilvl w:val="0"/>
          <w:numId w:val="3"/>
        </w:numPr>
        <w:spacing w:after="60"/>
      </w:pPr>
      <w:r>
        <w:rPr>
          <w:rFonts w:ascii="Times New Roman" w:cs="Times New Roman" w:eastAsia="Times New Roman" w:hAnsi="Times New Roman"/>
          <w:sz w:val="20"/>
          <w:szCs w:val="20"/>
        </w:rPr>
        <w:t xml:space="preserve">Quantum Threat Scoring Engine implementing Mosca’s inequality [7]</w:t>
      </w:r>
    </w:p>
    <w:p>
      <w:pPr>
        <w:pStyle w:val="ListParagraph"/>
        <w:numPr>
          <w:ilvl w:val="0"/>
          <w:numId w:val="3"/>
        </w:numPr>
        <w:spacing w:after="60"/>
      </w:pPr>
      <w:r>
        <w:rPr>
          <w:rFonts w:ascii="Times New Roman" w:cs="Times New Roman" w:eastAsia="Times New Roman" w:hAnsi="Times New Roman"/>
          <w:sz w:val="20"/>
          <w:szCs w:val="20"/>
        </w:rPr>
        <w:t xml:space="preserve">Hybrid Key Exchange (X25519-ML-KEM-768, P384-ML-KEM-1024)</w:t>
      </w:r>
    </w:p>
    <w:p>
      <w:pPr>
        <w:spacing w:after="120"/>
        <w:ind/>
        <w:jc w:val="both"/>
      </w:pPr>
      <w:r>
        <w:rPr>
          <w:rFonts w:ascii="Times New Roman" w:cs="Times New Roman" w:eastAsia="Times New Roman" w:hAnsi="Times New Roman"/>
          <w:b/>
          <w:bCs/>
          <w:sz w:val="20"/>
          <w:szCs w:val="20"/>
        </w:rPr>
        <w:t xml:space="preserve">Domain-Specific Protocols (10 constructions):</w:t>
      </w:r>
    </w:p>
    <w:p>
      <w:pPr>
        <w:pStyle w:val="ListParagraph"/>
        <w:numPr>
          <w:ilvl w:val="0"/>
          <w:numId w:val="4"/>
        </w:numPr>
        <w:spacing w:after="60"/>
      </w:pPr>
      <w:r>
        <w:rPr>
          <w:rFonts w:ascii="Times New Roman" w:cs="Times New Roman" w:eastAsia="Times New Roman" w:hAnsi="Times New Roman"/>
          <w:sz w:val="20"/>
          <w:szCs w:val="20"/>
        </w:rPr>
        <w:t xml:space="preserve">Lattice-based group signatures for V2X (Automotive)</w:t>
      </w:r>
    </w:p>
    <w:p>
      <w:pPr>
        <w:pStyle w:val="ListParagraph"/>
        <w:numPr>
          <w:ilvl w:val="0"/>
          <w:numId w:val="4"/>
        </w:numPr>
        <w:spacing w:after="60"/>
      </w:pPr>
      <w:r>
        <w:rPr>
          <w:rFonts w:ascii="Times New Roman" w:cs="Times New Roman" w:eastAsia="Times New Roman" w:hAnsi="Times New Roman"/>
          <w:sz w:val="20"/>
          <w:szCs w:val="20"/>
        </w:rPr>
        <w:t xml:space="preserve">Merkle tree aggregate signatures for ATC (Aviation)</w:t>
      </w:r>
    </w:p>
    <w:p>
      <w:pPr>
        <w:pStyle w:val="ListParagraph"/>
        <w:numPr>
          <w:ilvl w:val="0"/>
          <w:numId w:val="4"/>
        </w:numPr>
        <w:spacing w:after="60"/>
      </w:pPr>
      <w:r>
        <w:rPr>
          <w:rFonts w:ascii="Times New Roman" w:cs="Times New Roman" w:eastAsia="Times New Roman" w:hAnsi="Times New Roman"/>
          <w:sz w:val="20"/>
          <w:szCs w:val="20"/>
        </w:rPr>
        <w:t xml:space="preserve">Forward-secure double-ratchet channels (Aviation)</w:t>
      </w:r>
    </w:p>
    <w:p>
      <w:pPr>
        <w:pStyle w:val="ListParagraph"/>
        <w:numPr>
          <w:ilvl w:val="0"/>
          <w:numId w:val="4"/>
        </w:numPr>
        <w:spacing w:after="60"/>
      </w:pPr>
      <w:r>
        <w:rPr>
          <w:rFonts w:ascii="Times New Roman" w:cs="Times New Roman" w:eastAsia="Times New Roman" w:hAnsi="Times New Roman"/>
          <w:sz w:val="20"/>
          <w:szCs w:val="20"/>
        </w:rPr>
        <w:t xml:space="preserve">Multi-authority threshold signatures (Banking)</w:t>
      </w:r>
    </w:p>
    <w:p>
      <w:pPr>
        <w:pStyle w:val="ListParagraph"/>
        <w:numPr>
          <w:ilvl w:val="0"/>
          <w:numId w:val="4"/>
        </w:numPr>
        <w:spacing w:after="60"/>
      </w:pPr>
      <w:r>
        <w:rPr>
          <w:rFonts w:ascii="Times New Roman" w:cs="Times New Roman" w:eastAsia="Times New Roman" w:hAnsi="Times New Roman"/>
          <w:sz w:val="20"/>
          <w:szCs w:val="20"/>
        </w:rPr>
        <w:t xml:space="preserve">SWIFT proxy re-encryption (Banking)</w:t>
      </w:r>
    </w:p>
    <w:p>
      <w:pPr>
        <w:pStyle w:val="ListParagraph"/>
        <w:numPr>
          <w:ilvl w:val="0"/>
          <w:numId w:val="4"/>
        </w:numPr>
        <w:spacing w:after="60"/>
      </w:pPr>
      <w:r>
        <w:rPr>
          <w:rFonts w:ascii="Times New Roman" w:cs="Times New Roman" w:eastAsia="Times New Roman" w:hAnsi="Times New Roman"/>
          <w:sz w:val="20"/>
          <w:szCs w:val="20"/>
        </w:rPr>
        <w:t xml:space="preserve">Regulatory zero-knowledge proof engine (Banking)</w:t>
      </w:r>
    </w:p>
    <w:p>
      <w:pPr>
        <w:pStyle w:val="ListParagraph"/>
        <w:numPr>
          <w:ilvl w:val="0"/>
          <w:numId w:val="4"/>
        </w:numPr>
        <w:spacing w:after="60"/>
      </w:pPr>
      <w:r>
        <w:rPr>
          <w:rFonts w:ascii="Times New Roman" w:cs="Times New Roman" w:eastAsia="Times New Roman" w:hAnsi="Times New Roman"/>
          <w:sz w:val="20"/>
          <w:szCs w:val="20"/>
        </w:rPr>
        <w:t xml:space="preserve">EHR proxy re-encryption (Healthcare)</w:t>
      </w:r>
    </w:p>
    <w:p>
      <w:pPr>
        <w:pStyle w:val="ListParagraph"/>
        <w:numPr>
          <w:ilvl w:val="0"/>
          <w:numId w:val="4"/>
        </w:numPr>
        <w:spacing w:after="60"/>
      </w:pPr>
      <w:r>
        <w:rPr>
          <w:rFonts w:ascii="Times New Roman" w:cs="Times New Roman" w:eastAsia="Times New Roman" w:hAnsi="Times New Roman"/>
          <w:sz w:val="20"/>
          <w:szCs w:val="20"/>
        </w:rPr>
        <w:t xml:space="preserve">Homomorphic vital signs analytics (Healthcare)</w:t>
      </w:r>
    </w:p>
    <w:p>
      <w:pPr>
        <w:pStyle w:val="ListParagraph"/>
        <w:numPr>
          <w:ilvl w:val="0"/>
          <w:numId w:val="4"/>
        </w:numPr>
        <w:spacing w:after="60"/>
      </w:pPr>
      <w:r>
        <w:rPr>
          <w:rFonts w:ascii="Times New Roman" w:cs="Times New Roman" w:eastAsia="Times New Roman" w:hAnsi="Times New Roman"/>
          <w:sz w:val="20"/>
          <w:szCs w:val="20"/>
        </w:rPr>
        <w:t xml:space="preserve">PQ verifiable credentials with selective disclosure (Healthcare)</w:t>
      </w:r>
    </w:p>
    <w:p>
      <w:pPr>
        <w:pStyle w:val="ListParagraph"/>
        <w:numPr>
          <w:ilvl w:val="0"/>
          <w:numId w:val="4"/>
        </w:numPr>
        <w:spacing w:after="60"/>
      </w:pPr>
      <w:r>
        <w:rPr>
          <w:rFonts w:ascii="Times New Roman" w:cs="Times New Roman" w:eastAsia="Times New Roman" w:hAnsi="Times New Roman"/>
          <w:sz w:val="20"/>
          <w:szCs w:val="20"/>
        </w:rPr>
        <w:t xml:space="preserve">TESLA++ broadcast authentication for IEC 61850 (Industrial)</w:t>
      </w:r>
    </w:p>
    <w:p>
      <w:pPr>
        <w:pStyle w:val="ListParagraph"/>
        <w:numPr>
          <w:ilvl w:val="0"/>
          <w:numId w:val="4"/>
        </w:numPr>
        <w:spacing w:after="60"/>
      </w:pPr>
      <w:r>
        <w:rPr>
          <w:rFonts w:ascii="Times New Roman" w:cs="Times New Roman" w:eastAsia="Times New Roman" w:hAnsi="Times New Roman"/>
          <w:sz w:val="20"/>
          <w:szCs w:val="20"/>
        </w:rPr>
        <w:t xml:space="preserve">Verifiable delay functions for safety-critical timing (Industrial)</w:t>
      </w:r>
    </w:p>
    <w:p>
      <w:pPr>
        <w:spacing w:after="120"/>
        <w:ind/>
        <w:jc w:val="both"/>
      </w:pPr>
      <w:r>
        <w:rPr>
          <w:rFonts w:ascii="Times New Roman" w:cs="Times New Roman" w:eastAsia="Times New Roman" w:hAnsi="Times New Roman"/>
          <w:b/>
          <w:bCs/>
          <w:sz w:val="20"/>
          <w:szCs w:val="20"/>
        </w:rPr>
        <w:t xml:space="preserve">Constrained Environment Adaptation (1 construction):</w:t>
      </w:r>
    </w:p>
    <w:p>
      <w:pPr>
        <w:pStyle w:val="ListParagraph"/>
        <w:numPr>
          <w:ilvl w:val="0"/>
          <w:numId w:val="5"/>
        </w:numPr>
        <w:spacing w:after="60"/>
      </w:pPr>
      <w:r>
        <w:rPr>
          <w:rFonts w:ascii="Times New Roman" w:cs="Times New Roman" w:eastAsia="Times New Roman" w:hAnsi="Times New Roman"/>
          <w:sz w:val="20"/>
          <w:szCs w:val="20"/>
        </w:rPr>
        <w:t xml:space="preserve">Lightweight PQC profiles for medical devices (&lt;32 KB RAM)</w:t>
      </w:r>
    </w:p>
    <w:p>
      <w:pPr>
        <w:pStyle w:val="Heading2"/>
        <w:spacing w:after="80" w:before="240"/>
      </w:pPr>
      <w:r>
        <w:rPr>
          <w:rFonts w:ascii="Times New Roman" w:cs="Times New Roman" w:eastAsia="Times New Roman" w:hAnsi="Times New Roman"/>
          <w:b/>
          <w:bCs/>
          <w:i/>
          <w:iCs/>
          <w:sz w:val="22"/>
          <w:szCs w:val="22"/>
        </w:rPr>
        <w:t xml:space="preserve">B. Paper Organization</w:t>
      </w:r>
    </w:p>
    <w:p>
      <w:pPr>
        <w:spacing w:after="120"/>
        <w:ind w:firstLine="360"/>
        <w:jc w:val="both"/>
      </w:pPr>
      <w:r>
        <w:rPr>
          <w:rFonts w:ascii="Times New Roman" w:cs="Times New Roman" w:eastAsia="Times New Roman" w:hAnsi="Times New Roman"/>
          <w:sz w:val="20"/>
          <w:szCs w:val="20"/>
        </w:rPr>
        <w:t xml:space="preserve">Section II provides background on NIST PQC standards and threat models. Section III presents the core cryptographic framework. Sections IV–VIII detail domain-specific constructions. Section IX provides performance evaluation. Section X presents security analysis. Section XI surveys related work, and Section XII concludes.</w:t>
      </w:r>
    </w:p>
    <w:p>
      <w:pPr>
        <w:pStyle w:val="Heading1"/>
        <w:spacing w:after="120" w:before="360"/>
        <w:jc w:val="center"/>
      </w:pPr>
      <w:r>
        <w:rPr>
          <w:rFonts w:ascii="Times New Roman" w:cs="Times New Roman" w:eastAsia="Times New Roman" w:hAnsi="Times New Roman"/>
          <w:b/>
          <w:bCs/>
          <w:caps/>
          <w:sz w:val="24"/>
          <w:szCs w:val="24"/>
        </w:rPr>
        <w:t xml:space="preserve">II. Background and Preliminaries</w:t>
      </w:r>
    </w:p>
    <w:p>
      <w:pPr>
        <w:pStyle w:val="Heading2"/>
        <w:spacing w:after="80" w:before="240"/>
      </w:pPr>
      <w:r>
        <w:rPr>
          <w:rFonts w:ascii="Times New Roman" w:cs="Times New Roman" w:eastAsia="Times New Roman" w:hAnsi="Times New Roman"/>
          <w:b/>
          <w:bCs/>
          <w:i/>
          <w:iCs/>
          <w:sz w:val="22"/>
          <w:szCs w:val="22"/>
        </w:rPr>
        <w:t xml:space="preserve">A. NIST PQC Standards</w:t>
      </w:r>
    </w:p>
    <w:p>
      <w:pPr>
        <w:spacing w:after="120"/>
        <w:ind w:firstLine="360"/>
        <w:jc w:val="both"/>
      </w:pPr>
      <w:r>
        <w:rPr>
          <w:rFonts w:ascii="Times New Roman" w:cs="Times New Roman" w:eastAsia="Times New Roman" w:hAnsi="Times New Roman"/>
          <w:b/>
          <w:bCs/>
          <w:sz w:val="20"/>
          <w:szCs w:val="20"/>
        </w:rPr>
        <w:t xml:space="preserve">ML-KEM (FIPS 203) </w:t>
      </w:r>
      <w:r>
        <w:rPr>
          <w:rFonts w:ascii="Times New Roman" w:cs="Times New Roman" w:eastAsia="Times New Roman" w:hAnsi="Times New Roman"/>
          <w:sz w:val="20"/>
          <w:szCs w:val="20"/>
        </w:rPr>
        <w:t xml:space="preserve">is a key encapsulation mechanism based on the Module Learning with Errors (Module-LWE) problem. It provides three parameter sets: ML-KEM-512 (NIST Level 1), ML-KEM-768 (Level 3), and ML-KEM-1024 (Level 5), with public key sizes of 800, 1,184, and 1,568 bytes respectively.</w:t>
      </w:r>
    </w:p>
    <w:p>
      <w:pPr>
        <w:spacing w:after="120"/>
        <w:ind w:firstLine="360"/>
        <w:jc w:val="both"/>
      </w:pPr>
      <w:r>
        <w:rPr>
          <w:rFonts w:ascii="Times New Roman" w:cs="Times New Roman" w:eastAsia="Times New Roman" w:hAnsi="Times New Roman"/>
          <w:b/>
          <w:bCs/>
          <w:sz w:val="20"/>
          <w:szCs w:val="20"/>
        </w:rPr>
        <w:t xml:space="preserve">ML-DSA (FIPS 204)</w:t>
      </w:r>
      <w:r>
        <w:rPr>
          <w:rFonts w:ascii="Times New Roman" w:cs="Times New Roman" w:eastAsia="Times New Roman" w:hAnsi="Times New Roman"/>
          <w:sz w:val="20"/>
          <w:szCs w:val="20"/>
        </w:rPr>
        <w:t xml:space="preserve">, formerly Dilithium, is a digital signature scheme based on Module-LWE and Module-SIS (Short Integer Solution). ML-DSA-44 provides NIST Level 2 security with 2,420-byte signatures, ML-DSA-65 provides Level 3 with 3,293-byte signatures, and ML-DSA-87 provides Level 5 with 4,595-byte signatures.</w:t>
      </w:r>
    </w:p>
    <w:p>
      <w:pPr>
        <w:spacing w:after="120"/>
        <w:ind w:firstLine="360"/>
        <w:jc w:val="both"/>
      </w:pPr>
      <w:r>
        <w:rPr>
          <w:rFonts w:ascii="Times New Roman" w:cs="Times New Roman" w:eastAsia="Times New Roman" w:hAnsi="Times New Roman"/>
          <w:b/>
          <w:bCs/>
          <w:sz w:val="20"/>
          <w:szCs w:val="20"/>
        </w:rPr>
        <w:t xml:space="preserve">Falcon </w:t>
      </w:r>
      <w:r>
        <w:rPr>
          <w:rFonts w:ascii="Times New Roman" w:cs="Times New Roman" w:eastAsia="Times New Roman" w:hAnsi="Times New Roman"/>
          <w:sz w:val="20"/>
          <w:szCs w:val="20"/>
        </w:rPr>
        <w:t xml:space="preserve">[5] offers compact signatures (~666 bytes at Level 1) based on NTRU lattices, achieving 3.6× smaller signatures than ML-DSA at comparable security levels.</w:t>
      </w:r>
    </w:p>
    <w:p>
      <w:pPr>
        <w:spacing w:after="120"/>
        <w:ind w:firstLine="360"/>
        <w:jc w:val="both"/>
      </w:pPr>
      <w:r>
        <w:rPr>
          <w:rFonts w:ascii="Times New Roman" w:cs="Times New Roman" w:eastAsia="Times New Roman" w:hAnsi="Times New Roman"/>
          <w:b/>
          <w:bCs/>
          <w:sz w:val="20"/>
          <w:szCs w:val="20"/>
        </w:rPr>
        <w:t xml:space="preserve">LMS/XMSS </w:t>
      </w:r>
      <w:r>
        <w:rPr>
          <w:rFonts w:ascii="Times New Roman" w:cs="Times New Roman" w:eastAsia="Times New Roman" w:hAnsi="Times New Roman"/>
          <w:sz w:val="20"/>
          <w:szCs w:val="20"/>
        </w:rPr>
        <w:t xml:space="preserve">(NIST SP 800-208) [6] are stateful hash-based signature schemes specified in RFC 8554 and RFC 8391, required by NSA CNSA 2.0 for firmware signing and long-lived certificates.</w:t>
      </w:r>
    </w:p>
    <w:p>
      <w:pPr>
        <w:pStyle w:val="Heading2"/>
        <w:spacing w:after="80" w:before="240"/>
      </w:pPr>
      <w:r>
        <w:rPr>
          <w:rFonts w:ascii="Times New Roman" w:cs="Times New Roman" w:eastAsia="Times New Roman" w:hAnsi="Times New Roman"/>
          <w:b/>
          <w:bCs/>
          <w:i/>
          <w:iCs/>
          <w:sz w:val="22"/>
          <w:szCs w:val="22"/>
        </w:rPr>
        <w:t xml:space="preserve">B. Lattice Assumptions</w:t>
      </w:r>
    </w:p>
    <w:p>
      <w:pPr>
        <w:spacing w:after="120"/>
        <w:ind/>
        <w:jc w:val="both"/>
      </w:pPr>
      <w:r>
        <w:rPr>
          <w:rFonts w:ascii="Times New Roman" w:cs="Times New Roman" w:eastAsia="Times New Roman" w:hAnsi="Times New Roman"/>
          <w:sz w:val="20"/>
          <w:szCs w:val="20"/>
        </w:rPr>
        <w:t xml:space="preserve">Our constructions rely on the following computational hardness assumptions:</w:t>
      </w:r>
    </w:p>
    <w:p>
      <w:pPr>
        <w:pStyle w:val="ListParagraph"/>
        <w:numPr>
          <w:ilvl w:val="0"/>
          <w:numId w:val="2"/>
        </w:numPr>
        <w:spacing w:after="60"/>
      </w:pPr>
      <w:r>
        <w:rPr>
          <w:rFonts w:ascii="Times New Roman" w:cs="Times New Roman" w:eastAsia="Times New Roman" w:hAnsi="Times New Roman"/>
          <w:b/>
          <w:bCs/>
          <w:sz w:val="20"/>
          <w:szCs w:val="20"/>
        </w:rPr>
        <w:t xml:space="preserve">Module-LWE: </w:t>
      </w:r>
      <w:r>
        <w:rPr>
          <w:rFonts w:ascii="Times New Roman" w:cs="Times New Roman" w:eastAsia="Times New Roman" w:hAnsi="Times New Roman"/>
          <w:sz w:val="20"/>
          <w:szCs w:val="20"/>
        </w:rPr>
        <w:t xml:space="preserve">Given (A, b = As + e) where A is in the ring, s is secret, and e is a small error vector, it is computationally hard to recover s.</w:t>
      </w:r>
    </w:p>
    <w:p>
      <w:pPr>
        <w:pStyle w:val="ListParagraph"/>
        <w:numPr>
          <w:ilvl w:val="0"/>
          <w:numId w:val="2"/>
        </w:numPr>
        <w:spacing w:after="60"/>
      </w:pPr>
      <w:r>
        <w:rPr>
          <w:rFonts w:ascii="Times New Roman" w:cs="Times New Roman" w:eastAsia="Times New Roman" w:hAnsi="Times New Roman"/>
          <w:b/>
          <w:bCs/>
          <w:sz w:val="20"/>
          <w:szCs w:val="20"/>
        </w:rPr>
        <w:t xml:space="preserve">Module-SIS: </w:t>
      </w:r>
      <w:r>
        <w:rPr>
          <w:rFonts w:ascii="Times New Roman" w:cs="Times New Roman" w:eastAsia="Times New Roman" w:hAnsi="Times New Roman"/>
          <w:sz w:val="20"/>
          <w:szCs w:val="20"/>
        </w:rPr>
        <w:t xml:space="preserve">Given A, it is hard to find a short non-zero vector z such that Az = 0 mod q with ||z|| ≤ β.</w:t>
      </w:r>
    </w:p>
    <w:p>
      <w:pPr>
        <w:pStyle w:val="Heading2"/>
        <w:spacing w:after="80" w:before="240"/>
      </w:pPr>
      <w:r>
        <w:rPr>
          <w:rFonts w:ascii="Times New Roman" w:cs="Times New Roman" w:eastAsia="Times New Roman" w:hAnsi="Times New Roman"/>
          <w:b/>
          <w:bCs/>
          <w:i/>
          <w:iCs/>
          <w:sz w:val="22"/>
          <w:szCs w:val="22"/>
        </w:rPr>
        <w:t xml:space="preserve">C. Hash-Based Primitives</w:t>
      </w:r>
    </w:p>
    <w:p>
      <w:pPr>
        <w:spacing w:after="120"/>
        <w:ind w:firstLine="360"/>
        <w:jc w:val="both"/>
      </w:pPr>
      <w:r>
        <w:rPr>
          <w:rFonts w:ascii="Times New Roman" w:cs="Times New Roman" w:eastAsia="Times New Roman" w:hAnsi="Times New Roman"/>
          <w:sz w:val="20"/>
          <w:szCs w:val="20"/>
        </w:rPr>
        <w:t xml:space="preserve">All constructions use NIST-approved hash functions: SHA3-256 for commitments and Merkle trees, SHAKE256 for extensible-output functions and key derivation, and HKDF-SHA256 [8] for hybrid key exchange domain separation.</w:t>
      </w:r>
    </w:p>
    <w:p>
      <w:pPr>
        <w:pStyle w:val="Heading2"/>
        <w:spacing w:after="80" w:before="240"/>
      </w:pPr>
      <w:r>
        <w:rPr>
          <w:rFonts w:ascii="Times New Roman" w:cs="Times New Roman" w:eastAsia="Times New Roman" w:hAnsi="Times New Roman"/>
          <w:b/>
          <w:bCs/>
          <w:i/>
          <w:iCs/>
          <w:sz w:val="22"/>
          <w:szCs w:val="22"/>
        </w:rPr>
        <w:t xml:space="preserve">D. Threat Model: Harvest-Now-Decrypt-Later</w:t>
      </w:r>
    </w:p>
    <w:p>
      <w:pPr>
        <w:spacing w:after="120"/>
        <w:ind w:firstLine="360"/>
        <w:jc w:val="both"/>
      </w:pPr>
      <w:r>
        <w:rPr>
          <w:rFonts w:ascii="Times New Roman" w:cs="Times New Roman" w:eastAsia="Times New Roman" w:hAnsi="Times New Roman"/>
          <w:sz w:val="20"/>
          <w:szCs w:val="20"/>
        </w:rPr>
        <w:t xml:space="preserve">We adopt the harvest-now-decrypt-later (HNDL) threat model, where adversaries record encrypted communications today for future decryption by CRQCs. Mosca’s theorem [7] formalizes migration urgency: if data must remain confidential for x years, migration takes y years, and CRQCs arrive in z years, then migration must begin when x + y &gt; z.</w:t>
      </w:r>
    </w:p>
    <w:p>
      <w:pPr>
        <w:pStyle w:val="Heading1"/>
        <w:spacing w:after="120" w:before="360"/>
        <w:jc w:val="center"/>
      </w:pPr>
      <w:r>
        <w:rPr>
          <w:rFonts w:ascii="Times New Roman" w:cs="Times New Roman" w:eastAsia="Times New Roman" w:hAnsi="Times New Roman"/>
          <w:b/>
          <w:bCs/>
          <w:caps/>
          <w:sz w:val="24"/>
          <w:szCs w:val="24"/>
        </w:rPr>
        <w:t xml:space="preserve">III. Core Cryptographic Framework</w:t>
      </w:r>
    </w:p>
    <w:p>
      <w:pPr>
        <w:pStyle w:val="Heading2"/>
        <w:spacing w:after="80" w:before="240"/>
      </w:pPr>
      <w:r>
        <w:rPr>
          <w:rFonts w:ascii="Times New Roman" w:cs="Times New Roman" w:eastAsia="Times New Roman" w:hAnsi="Times New Roman"/>
          <w:b/>
          <w:bCs/>
          <w:i/>
          <w:iCs/>
          <w:sz w:val="22"/>
          <w:szCs w:val="22"/>
        </w:rPr>
        <w:t xml:space="preserve">A. Crypto Agility Negotiation Protocol</w:t>
      </w:r>
    </w:p>
    <w:p>
      <w:pPr>
        <w:spacing w:after="120"/>
        <w:ind w:firstLine="360"/>
        <w:jc w:val="both"/>
      </w:pPr>
      <w:r>
        <w:rPr>
          <w:rFonts w:ascii="Times New Roman" w:cs="Times New Roman" w:eastAsia="Times New Roman" w:hAnsi="Times New Roman"/>
          <w:sz w:val="20"/>
          <w:szCs w:val="20"/>
        </w:rPr>
        <w:t xml:space="preserve">We introduce a runtime algorithm negotiation framework enabling seamless transition between classical, hybrid, and post-quantum suites. The protocol maintains a registry of 28 algorithms across five categories (KEM, signature, symmetric, hash, KDF) with per-algorithm metadata including NIST security level, key sizes, and operational status.</w:t>
      </w:r>
    </w:p>
    <w:p>
      <w:pPr>
        <w:spacing w:before="160"/>
        <w:jc w:val="center"/>
      </w:pPr>
      <w:r>
        <w:rPr>
          <w:rFonts w:ascii="Times New Roman" w:cs="Times New Roman" w:eastAsia="Times New Roman" w:hAnsi="Times New Roman"/>
          <w:b/>
          <w:bCs/>
          <w:sz w:val="18"/>
          <w:szCs w:val="18"/>
        </w:rPr>
        <w:t xml:space="preserve">Algorithm 1: </w:t>
      </w:r>
      <w:r>
        <w:rPr>
          <w:rFonts w:ascii="Times New Roman" w:cs="Times New Roman" w:eastAsia="Times New Roman" w:hAnsi="Times New Roman"/>
          <w:sz w:val="18"/>
          <w:szCs w:val="18"/>
        </w:rPr>
        <w:t xml:space="preserve">Crypto Agility Negotiation</w:t>
      </w:r>
    </w:p>
    <w:p>
      <w:pPr>
        <w:spacing w:after="40"/>
        <w:ind w:left="720"/>
      </w:pPr>
      <w:r>
        <w:rPr>
          <w:rFonts w:ascii="Courier New" w:cs="Courier New" w:eastAsia="Courier New" w:hAnsi="Courier New"/>
          <w:sz w:val="18"/>
          <w:szCs w:val="18"/>
        </w:rPr>
        <w:t xml:space="preserve">Require: Peer capabilities C_peer, local policy π</w:t>
      </w:r>
    </w:p>
    <w:p>
      <w:pPr>
        <w:spacing w:after="40"/>
        <w:ind w:left="720"/>
      </w:pPr>
      <w:r>
        <w:rPr>
          <w:rFonts w:ascii="Courier New" w:cs="Courier New" w:eastAsia="Courier New" w:hAnsi="Courier New"/>
          <w:sz w:val="18"/>
          <w:szCs w:val="18"/>
        </w:rPr>
        <w:t xml:space="preserve">Ensure: Negotiated suite S</w:t>
      </w:r>
    </w:p>
    <w:p>
      <w:pPr>
        <w:spacing w:after="40"/>
        <w:ind w:left="720"/>
      </w:pPr>
      <w:r>
        <w:rPr>
          <w:rFonts w:ascii="Courier New" w:cs="Courier New" w:eastAsia="Courier New" w:hAnsi="Courier New"/>
          <w:sz w:val="18"/>
          <w:szCs w:val="18"/>
        </w:rPr>
        <w:t xml:space="preserve">1: C_local ← GetCapabilities()</w:t>
      </w:r>
    </w:p>
    <w:p>
      <w:pPr>
        <w:spacing w:after="40"/>
        <w:ind w:left="720"/>
      </w:pPr>
      <w:r>
        <w:rPr>
          <w:rFonts w:ascii="Courier New" w:cs="Courier New" w:eastAsia="Courier New" w:hAnsi="Courier New"/>
          <w:sz w:val="18"/>
          <w:szCs w:val="18"/>
        </w:rPr>
        <w:t xml:space="preserve">2: C_common ← C_local ∩ C_peer</w:t>
      </w:r>
    </w:p>
    <w:p>
      <w:pPr>
        <w:spacing w:after="40"/>
        <w:ind w:left="720"/>
      </w:pPr>
      <w:r>
        <w:rPr>
          <w:rFonts w:ascii="Courier New" w:cs="Courier New" w:eastAsia="Courier New" w:hAnsi="Courier New"/>
          <w:sz w:val="18"/>
          <w:szCs w:val="18"/>
        </w:rPr>
        <w:t xml:space="preserve">3: C_filtered ← ApplyPolicy(C_common, π)</w:t>
      </w:r>
    </w:p>
    <w:p>
      <w:pPr>
        <w:spacing w:after="40"/>
        <w:ind w:left="720"/>
      </w:pPr>
      <w:r>
        <w:rPr>
          <w:rFonts w:ascii="Courier New" w:cs="Courier New" w:eastAsia="Courier New" w:hAnsi="Courier New"/>
          <w:sz w:val="18"/>
          <w:szCs w:val="18"/>
        </w:rPr>
        <w:t xml:space="preserve">4: for category ∈ {KEM, SIG, SYM, HASH, KDF} do</w:t>
      </w:r>
    </w:p>
    <w:p>
      <w:pPr>
        <w:spacing w:after="40"/>
        <w:ind w:left="1080"/>
      </w:pPr>
      <w:r>
        <w:rPr>
          <w:rFonts w:ascii="Courier New" w:cs="Courier New" w:eastAsia="Courier New" w:hAnsi="Courier New"/>
          <w:sz w:val="18"/>
          <w:szCs w:val="18"/>
        </w:rPr>
        <w:t xml:space="preserve">5:   S[category] ← SelectBest(C_filtered, category)</w:t>
      </w:r>
    </w:p>
    <w:p>
      <w:pPr>
        <w:spacing w:after="40"/>
        <w:ind w:left="720"/>
      </w:pPr>
      <w:r>
        <w:rPr>
          <w:rFonts w:ascii="Courier New" w:cs="Courier New" w:eastAsia="Courier New" w:hAnsi="Courier New"/>
          <w:sz w:val="18"/>
          <w:szCs w:val="18"/>
        </w:rPr>
        <w:t xml:space="preserve">6: end for</w:t>
      </w:r>
    </w:p>
    <w:p>
      <w:pPr>
        <w:spacing w:after="40"/>
        <w:ind w:left="720"/>
      </w:pPr>
      <w:r>
        <w:rPr>
          <w:rFonts w:ascii="Courier New" w:cs="Courier New" w:eastAsia="Courier New" w:hAnsi="Courier New"/>
          <w:sz w:val="18"/>
          <w:szCs w:val="18"/>
        </w:rPr>
        <w:t xml:space="preserve">7: return S</w:t>
      </w:r>
    </w:p>
    <w:p>
      <w:pPr>
        <w:spacing w:after="120"/>
        <w:ind w:firstLine="360"/>
        <w:jc w:val="both"/>
      </w:pPr>
      <w:r>
        <w:rPr>
          <w:rFonts w:ascii="Times New Roman" w:cs="Times New Roman" w:eastAsia="Times New Roman" w:hAnsi="Times New Roman"/>
          <w:sz w:val="20"/>
          <w:szCs w:val="20"/>
        </w:rPr>
        <w:t xml:space="preserve">Four pre-defined policies govern algorithm selection:</w:t>
      </w:r>
    </w:p>
    <w:p>
      <w:pPr>
        <w:pStyle w:val="ListParagraph"/>
        <w:numPr>
          <w:ilvl w:val="0"/>
          <w:numId w:val="2"/>
        </w:numPr>
        <w:spacing w:after="60"/>
      </w:pPr>
      <w:r>
        <w:rPr>
          <w:rFonts w:ascii="Times New Roman" w:cs="Times New Roman" w:eastAsia="Times New Roman" w:hAnsi="Times New Roman"/>
          <w:b/>
          <w:bCs/>
          <w:sz w:val="20"/>
          <w:szCs w:val="20"/>
        </w:rPr>
        <w:t xml:space="preserve">TRANSITIONAL: </w:t>
      </w:r>
      <w:r>
        <w:rPr>
          <w:rFonts w:ascii="Times New Roman" w:cs="Times New Roman" w:eastAsia="Times New Roman" w:hAnsi="Times New Roman"/>
          <w:sz w:val="20"/>
          <w:szCs w:val="20"/>
        </w:rPr>
        <w:t xml:space="preserve">Hybrid classical+PQC (minimum NIST Level 1)</w:t>
      </w:r>
    </w:p>
    <w:p>
      <w:pPr>
        <w:pStyle w:val="ListParagraph"/>
        <w:numPr>
          <w:ilvl w:val="0"/>
          <w:numId w:val="2"/>
        </w:numPr>
        <w:spacing w:after="60"/>
      </w:pPr>
      <w:r>
        <w:rPr>
          <w:rFonts w:ascii="Times New Roman" w:cs="Times New Roman" w:eastAsia="Times New Roman" w:hAnsi="Times New Roman"/>
          <w:b/>
          <w:bCs/>
          <w:sz w:val="20"/>
          <w:szCs w:val="20"/>
        </w:rPr>
        <w:t xml:space="preserve">POST_QUANTUM: </w:t>
      </w:r>
      <w:r>
        <w:rPr>
          <w:rFonts w:ascii="Times New Roman" w:cs="Times New Roman" w:eastAsia="Times New Roman" w:hAnsi="Times New Roman"/>
          <w:sz w:val="20"/>
          <w:szCs w:val="20"/>
        </w:rPr>
        <w:t xml:space="preserve">PQC-only suites (minimum Level 3)</w:t>
      </w:r>
    </w:p>
    <w:p>
      <w:pPr>
        <w:pStyle w:val="ListParagraph"/>
        <w:numPr>
          <w:ilvl w:val="0"/>
          <w:numId w:val="2"/>
        </w:numPr>
        <w:spacing w:after="60"/>
      </w:pPr>
      <w:r>
        <w:rPr>
          <w:rFonts w:ascii="Times New Roman" w:cs="Times New Roman" w:eastAsia="Times New Roman" w:hAnsi="Times New Roman"/>
          <w:b/>
          <w:bCs/>
          <w:sz w:val="20"/>
          <w:szCs w:val="20"/>
        </w:rPr>
        <w:t xml:space="preserve">CNSA2: </w:t>
      </w:r>
      <w:r>
        <w:rPr>
          <w:rFonts w:ascii="Times New Roman" w:cs="Times New Roman" w:eastAsia="Times New Roman" w:hAnsi="Times New Roman"/>
          <w:sz w:val="20"/>
          <w:szCs w:val="20"/>
        </w:rPr>
        <w:t xml:space="preserve">NSA CNSA 2.0 compliant (Level 5, LMS/XMSS required)</w:t>
      </w:r>
    </w:p>
    <w:p>
      <w:pPr>
        <w:pStyle w:val="ListParagraph"/>
        <w:numPr>
          <w:ilvl w:val="0"/>
          <w:numId w:val="2"/>
        </w:numPr>
        <w:spacing w:after="60"/>
      </w:pPr>
      <w:r>
        <w:rPr>
          <w:rFonts w:ascii="Times New Roman" w:cs="Times New Roman" w:eastAsia="Times New Roman" w:hAnsi="Times New Roman"/>
          <w:b/>
          <w:bCs/>
          <w:sz w:val="20"/>
          <w:szCs w:val="20"/>
        </w:rPr>
        <w:t xml:space="preserve">LEGACY_COMPATIBLE: </w:t>
      </w:r>
      <w:r>
        <w:rPr>
          <w:rFonts w:ascii="Times New Roman" w:cs="Times New Roman" w:eastAsia="Times New Roman" w:hAnsi="Times New Roman"/>
          <w:sz w:val="20"/>
          <w:szCs w:val="20"/>
        </w:rPr>
        <w:t xml:space="preserve">Classical with PQC preference</w:t>
      </w:r>
    </w:p>
    <w:p>
      <w:pPr>
        <w:spacing w:after="120"/>
        <w:ind w:firstLine="360"/>
        <w:jc w:val="both"/>
      </w:pPr>
      <w:r>
        <w:rPr>
          <w:rFonts w:ascii="Times New Roman" w:cs="Times New Roman" w:eastAsia="Times New Roman" w:hAnsi="Times New Roman"/>
          <w:sz w:val="20"/>
          <w:szCs w:val="20"/>
        </w:rPr>
        <w:t xml:space="preserve">The protocol supports zero-downtime rotation: active sessions continue with the current suite while new sessions negotiate upgraded algorithms. Compliance auditing is maintained through full negotiation history with Prometheus metrics export.</w:t>
      </w:r>
    </w:p>
    <w:p>
      <w:pPr>
        <w:pStyle w:val="Heading2"/>
        <w:spacing w:after="80" w:before="240"/>
      </w:pPr>
      <w:r>
        <w:rPr>
          <w:rFonts w:ascii="Times New Roman" w:cs="Times New Roman" w:eastAsia="Times New Roman" w:hAnsi="Times New Roman"/>
          <w:b/>
          <w:bCs/>
          <w:i/>
          <w:iCs/>
          <w:sz w:val="22"/>
          <w:szCs w:val="22"/>
        </w:rPr>
        <w:t xml:space="preserve">B. Quantum Threat Scoring Engine</w:t>
      </w:r>
    </w:p>
    <w:p>
      <w:pPr>
        <w:spacing w:after="120"/>
        <w:ind w:firstLine="360"/>
        <w:jc w:val="both"/>
      </w:pPr>
      <w:r>
        <w:rPr>
          <w:rFonts w:ascii="Times New Roman" w:cs="Times New Roman" w:eastAsia="Times New Roman" w:hAnsi="Times New Roman"/>
          <w:sz w:val="20"/>
          <w:szCs w:val="20"/>
        </w:rPr>
        <w:t xml:space="preserve">The Quantum Risk Score (QRS) is a composite metric in [0, 100] quantifying the quantum threat exposure of cryptographic assets:</w:t>
      </w:r>
    </w:p>
    <w:p>
      <w:pPr>
        <w:spacing w:after="120" w:before="120"/>
        <w:jc w:val="center"/>
      </w:pPr>
      <w:r>
        <w:rPr>
          <w:rFonts w:ascii="Times New Roman" w:cs="Times New Roman" w:eastAsia="Times New Roman" w:hAnsi="Times New Roman"/>
          <w:i/>
          <w:iCs/>
          <w:sz w:val="20"/>
          <w:szCs w:val="20"/>
        </w:rPr>
        <w:t xml:space="preserve">QRS = Σ(i=1..5) w_i · f_i</w:t>
      </w:r>
    </w:p>
    <w:p>
      <w:pPr>
        <w:spacing w:after="120"/>
        <w:ind/>
        <w:jc w:val="both"/>
      </w:pPr>
      <w:r>
        <w:rPr>
          <w:rFonts w:ascii="Times New Roman" w:cs="Times New Roman" w:eastAsia="Times New Roman" w:hAnsi="Times New Roman"/>
          <w:sz w:val="20"/>
          <w:szCs w:val="20"/>
        </w:rPr>
        <w:t xml:space="preserve">where the five factors and their weights are:</w:t>
      </w:r>
    </w:p>
    <w:p>
      <w:pPr>
        <w:pStyle w:val="ListParagraph"/>
        <w:numPr>
          <w:ilvl w:val="0"/>
          <w:numId w:val="2"/>
        </w:numPr>
        <w:spacing w:after="60"/>
      </w:pPr>
      <w:r>
        <w:rPr>
          <w:rFonts w:ascii="Times New Roman" w:cs="Times New Roman" w:eastAsia="Times New Roman" w:hAnsi="Times New Roman"/>
          <w:sz w:val="20"/>
          <w:szCs w:val="20"/>
        </w:rPr>
        <w:t xml:space="preserve">Algorithm Vulnerability Score (w₁ = 0.30): RSA-2048 scores 85, ECDSA-P256 scores 90, ML-KEM-768 scores 2</w:t>
      </w:r>
    </w:p>
    <w:p>
      <w:pPr>
        <w:pStyle w:val="ListParagraph"/>
        <w:numPr>
          <w:ilvl w:val="0"/>
          <w:numId w:val="2"/>
        </w:numPr>
        <w:spacing w:after="60"/>
      </w:pPr>
      <w:r>
        <w:rPr>
          <w:rFonts w:ascii="Times New Roman" w:cs="Times New Roman" w:eastAsia="Times New Roman" w:hAnsi="Times New Roman"/>
          <w:sz w:val="20"/>
          <w:szCs w:val="20"/>
        </w:rPr>
        <w:t xml:space="preserve">Time Horizon Factor (w₂ = 0.25): Based on data retention requirements vs. estimated CRQC timeline (default 2035)</w:t>
      </w:r>
    </w:p>
    <w:p>
      <w:pPr>
        <w:pStyle w:val="ListParagraph"/>
        <w:numPr>
          <w:ilvl w:val="0"/>
          <w:numId w:val="2"/>
        </w:numPr>
        <w:spacing w:after="60"/>
      </w:pPr>
      <w:r>
        <w:rPr>
          <w:rFonts w:ascii="Times New Roman" w:cs="Times New Roman" w:eastAsia="Times New Roman" w:hAnsi="Times New Roman"/>
          <w:sz w:val="20"/>
          <w:szCs w:val="20"/>
        </w:rPr>
        <w:t xml:space="preserve">Data Sensitivity (w₃ = 0.20): Five tiers from PUBLIC (1) to TOP_SECRET (5)</w:t>
      </w:r>
    </w:p>
    <w:p>
      <w:pPr>
        <w:pStyle w:val="ListParagraph"/>
        <w:numPr>
          <w:ilvl w:val="0"/>
          <w:numId w:val="2"/>
        </w:numPr>
        <w:spacing w:after="60"/>
      </w:pPr>
      <w:r>
        <w:rPr>
          <w:rFonts w:ascii="Times New Roman" w:cs="Times New Roman" w:eastAsia="Times New Roman" w:hAnsi="Times New Roman"/>
          <w:sz w:val="20"/>
          <w:szCs w:val="20"/>
        </w:rPr>
        <w:t xml:space="preserve">Migration Gap (w₄ = 0.15): Seven-stage continuum from NOT_STARTED to CNSA2_COMPLIANT</w:t>
      </w:r>
    </w:p>
    <w:p>
      <w:pPr>
        <w:pStyle w:val="ListParagraph"/>
        <w:numPr>
          <w:ilvl w:val="0"/>
          <w:numId w:val="2"/>
        </w:numPr>
        <w:spacing w:after="60"/>
      </w:pPr>
      <w:r>
        <w:rPr>
          <w:rFonts w:ascii="Times New Roman" w:cs="Times New Roman" w:eastAsia="Times New Roman" w:hAnsi="Times New Roman"/>
          <w:sz w:val="20"/>
          <w:szCs w:val="20"/>
        </w:rPr>
        <w:t xml:space="preserve">Exposure Surface (w₅ = 0.10): Network accessibility and data volume</w:t>
      </w:r>
    </w:p>
    <w:p>
      <w:pPr>
        <w:spacing w:after="120"/>
        <w:ind w:firstLine="360"/>
        <w:jc w:val="both"/>
      </w:pPr>
      <w:r>
        <w:rPr>
          <w:rFonts w:ascii="Times New Roman" w:cs="Times New Roman" w:eastAsia="Times New Roman" w:hAnsi="Times New Roman"/>
          <w:sz w:val="20"/>
          <w:szCs w:val="20"/>
        </w:rPr>
        <w:t xml:space="preserve">The engine applies Mosca’s inequality to flag assets where x + y &gt; z, triggering immediate migration prioritization. Risk levels map to: LOW (0–25), MODERATE (26–50), HIGH (51–75), CRITICAL (76–100).</w:t>
      </w:r>
    </w:p>
    <w:p>
      <w:pPr>
        <w:pStyle w:val="Heading2"/>
        <w:spacing w:after="80" w:before="240"/>
      </w:pPr>
      <w:r>
        <w:rPr>
          <w:rFonts w:ascii="Times New Roman" w:cs="Times New Roman" w:eastAsia="Times New Roman" w:hAnsi="Times New Roman"/>
          <w:b/>
          <w:bCs/>
          <w:i/>
          <w:iCs/>
          <w:sz w:val="22"/>
          <w:szCs w:val="22"/>
        </w:rPr>
        <w:t xml:space="preserve">C. Hybrid Key Exchange</w:t>
      </w:r>
    </w:p>
    <w:p>
      <w:pPr>
        <w:spacing w:after="120"/>
        <w:ind w:firstLine="360"/>
        <w:jc w:val="both"/>
      </w:pPr>
      <w:r>
        <w:rPr>
          <w:rFonts w:ascii="Times New Roman" w:cs="Times New Roman" w:eastAsia="Times New Roman" w:hAnsi="Times New Roman"/>
          <w:sz w:val="20"/>
          <w:szCs w:val="20"/>
        </w:rPr>
        <w:t xml:space="preserve">Our hybrid KEM combines classical ECDH with ML-KEM using dual key encapsulation and HKDF-SHA256 for shared secret derivation:</w:t>
      </w:r>
    </w:p>
    <w:p>
      <w:pPr>
        <w:spacing w:after="120" w:before="120"/>
        <w:jc w:val="center"/>
      </w:pPr>
      <w:r>
        <w:rPr>
          <w:rFonts w:ascii="Times New Roman" w:cs="Times New Roman" w:eastAsia="Times New Roman" w:hAnsi="Times New Roman"/>
          <w:i/>
          <w:iCs/>
          <w:sz w:val="20"/>
          <w:szCs w:val="20"/>
        </w:rPr>
        <w:t xml:space="preserve">K_hybrid = HKDF(K_classical || K_PQC, salt, info)</w:t>
      </w:r>
    </w:p>
    <w:p>
      <w:pPr>
        <w:spacing w:after="120"/>
        <w:ind/>
        <w:jc w:val="both"/>
      </w:pPr>
      <w:r>
        <w:rPr>
          <w:rFonts w:ascii="Times New Roman" w:cs="Times New Roman" w:eastAsia="Times New Roman" w:hAnsi="Times New Roman"/>
          <w:sz w:val="20"/>
          <w:szCs w:val="20"/>
        </w:rPr>
        <w:t xml:space="preserve">Three variants are supported:</w:t>
      </w:r>
    </w:p>
    <w:p>
      <w:pPr>
        <w:pStyle w:val="ListParagraph"/>
        <w:numPr>
          <w:ilvl w:val="0"/>
          <w:numId w:val="2"/>
        </w:numPr>
        <w:spacing w:after="60"/>
      </w:pPr>
      <w:r>
        <w:rPr>
          <w:rFonts w:ascii="Times New Roman" w:cs="Times New Roman" w:eastAsia="Times New Roman" w:hAnsi="Times New Roman"/>
          <w:b/>
          <w:bCs/>
          <w:sz w:val="20"/>
          <w:szCs w:val="20"/>
        </w:rPr>
        <w:t xml:space="preserve">X25519-ML-KEM-768: </w:t>
      </w:r>
      <w:r>
        <w:rPr>
          <w:rFonts w:ascii="Times New Roman" w:cs="Times New Roman" w:eastAsia="Times New Roman" w:hAnsi="Times New Roman"/>
          <w:sz w:val="20"/>
          <w:szCs w:val="20"/>
        </w:rPr>
        <w:t xml:space="preserve">Public key 1,216 B, ciphertext 1,120 B (TLS 1.3 default)</w:t>
      </w:r>
    </w:p>
    <w:p>
      <w:pPr>
        <w:pStyle w:val="ListParagraph"/>
        <w:numPr>
          <w:ilvl w:val="0"/>
          <w:numId w:val="2"/>
        </w:numPr>
        <w:spacing w:after="60"/>
      </w:pPr>
      <w:r>
        <w:rPr>
          <w:rFonts w:ascii="Times New Roman" w:cs="Times New Roman" w:eastAsia="Times New Roman" w:hAnsi="Times New Roman"/>
          <w:b/>
          <w:bCs/>
          <w:sz w:val="20"/>
          <w:szCs w:val="20"/>
        </w:rPr>
        <w:t xml:space="preserve">P384-ML-KEM-1024: </w:t>
      </w:r>
      <w:r>
        <w:rPr>
          <w:rFonts w:ascii="Times New Roman" w:cs="Times New Roman" w:eastAsia="Times New Roman" w:hAnsi="Times New Roman"/>
          <w:sz w:val="20"/>
          <w:szCs w:val="20"/>
        </w:rPr>
        <w:t xml:space="preserve">Public key 1,665 B, ciphertext 1,665 B (enterprise)</w:t>
      </w:r>
    </w:p>
    <w:p>
      <w:pPr>
        <w:pStyle w:val="ListParagraph"/>
        <w:numPr>
          <w:ilvl w:val="0"/>
          <w:numId w:val="2"/>
        </w:numPr>
        <w:spacing w:after="60"/>
      </w:pPr>
      <w:r>
        <w:rPr>
          <w:rFonts w:ascii="Times New Roman" w:cs="Times New Roman" w:eastAsia="Times New Roman" w:hAnsi="Times New Roman"/>
          <w:b/>
          <w:bCs/>
          <w:sz w:val="20"/>
          <w:szCs w:val="20"/>
        </w:rPr>
        <w:t xml:space="preserve">X25519-ML-KEM-512: </w:t>
      </w:r>
      <w:r>
        <w:rPr>
          <w:rFonts w:ascii="Times New Roman" w:cs="Times New Roman" w:eastAsia="Times New Roman" w:hAnsi="Times New Roman"/>
          <w:sz w:val="20"/>
          <w:szCs w:val="20"/>
        </w:rPr>
        <w:t xml:space="preserve">Public key 832 B, ciphertext 800 B (constrained)</w:t>
      </w:r>
    </w:p>
    <w:p>
      <w:pPr>
        <w:spacing w:after="120"/>
        <w:ind w:firstLine="360"/>
        <w:jc w:val="both"/>
      </w:pPr>
      <w:r>
        <w:rPr>
          <w:rFonts w:ascii="Times New Roman" w:cs="Times New Roman" w:eastAsia="Times New Roman" w:hAnsi="Times New Roman"/>
          <w:sz w:val="20"/>
          <w:szCs w:val="20"/>
        </w:rPr>
        <w:t xml:space="preserve">The design follows draft-ietf-tls-hybrid-design with domain separation via the variant name encoded in the HKDF info parameter. Security requires breaking </w:t>
      </w:r>
      <w:r>
        <w:rPr>
          <w:rFonts w:ascii="Times New Roman" w:cs="Times New Roman" w:eastAsia="Times New Roman" w:hAnsi="Times New Roman"/>
          <w:i/>
          <w:iCs/>
          <w:sz w:val="20"/>
          <w:szCs w:val="20"/>
        </w:rPr>
        <w:t xml:space="preserve">both</w:t>
      </w:r>
      <w:r>
        <w:rPr>
          <w:rFonts w:ascii="Times New Roman" w:cs="Times New Roman" w:eastAsia="Times New Roman" w:hAnsi="Times New Roman"/>
          <w:sz w:val="20"/>
          <w:szCs w:val="20"/>
        </w:rPr>
        <w:t xml:space="preserve"> the classical and PQC components simultaneously.</w:t>
      </w:r>
    </w:p>
    <w:p>
      <w:pPr>
        <w:pStyle w:val="Heading1"/>
        <w:spacing w:after="120" w:before="360"/>
        <w:jc w:val="center"/>
      </w:pPr>
      <w:r>
        <w:rPr>
          <w:rFonts w:ascii="Times New Roman" w:cs="Times New Roman" w:eastAsia="Times New Roman" w:hAnsi="Times New Roman"/>
          <w:b/>
          <w:bCs/>
          <w:caps/>
          <w:sz w:val="24"/>
          <w:szCs w:val="24"/>
        </w:rPr>
        <w:t xml:space="preserve">IV. Automotive: V2X Post-Quantum Security</w:t>
      </w:r>
    </w:p>
    <w:p>
      <w:pPr>
        <w:pStyle w:val="Heading2"/>
        <w:spacing w:after="80" w:before="240"/>
      </w:pPr>
      <w:r>
        <w:rPr>
          <w:rFonts w:ascii="Times New Roman" w:cs="Times New Roman" w:eastAsia="Times New Roman" w:hAnsi="Times New Roman"/>
          <w:b/>
          <w:bCs/>
          <w:i/>
          <w:iCs/>
          <w:sz w:val="22"/>
          <w:szCs w:val="22"/>
        </w:rPr>
        <w:t xml:space="preserve">A. Lattice-Based Group Signatures for V2X</w:t>
      </w:r>
    </w:p>
    <w:p>
      <w:pPr>
        <w:spacing w:after="120"/>
        <w:ind w:firstLine="360"/>
        <w:jc w:val="both"/>
      </w:pPr>
      <w:r>
        <w:rPr>
          <w:rFonts w:ascii="Times New Roman" w:cs="Times New Roman" w:eastAsia="Times New Roman" w:hAnsi="Times New Roman"/>
          <w:sz w:val="20"/>
          <w:szCs w:val="20"/>
        </w:rPr>
        <w:t xml:space="preserve">Vehicle-to-everything (V2X) communication requires anonymous authentication: verifiers must confirm that a message originates from a legitimate vehicle without learning the vehicle’s identity. Simultaneously, authorized authorities must be able to trace signatures for accident investigation.</w:t>
      </w:r>
    </w:p>
    <w:p>
      <w:pPr>
        <w:spacing w:after="120"/>
        <w:ind w:firstLine="360"/>
        <w:jc w:val="both"/>
      </w:pPr>
      <w:r>
        <w:rPr>
          <w:rFonts w:ascii="Times New Roman" w:cs="Times New Roman" w:eastAsia="Times New Roman" w:hAnsi="Times New Roman"/>
          <w:sz w:val="20"/>
          <w:szCs w:val="20"/>
        </w:rPr>
        <w:t xml:space="preserve">We construct a group signature scheme based on Module-SIS/Module-LWE with the following properties:</w:t>
      </w:r>
    </w:p>
    <w:p>
      <w:pPr>
        <w:pStyle w:val="ListParagraph"/>
        <w:numPr>
          <w:ilvl w:val="0"/>
          <w:numId w:val="2"/>
        </w:numPr>
        <w:spacing w:after="60"/>
      </w:pPr>
      <w:r>
        <w:rPr>
          <w:rFonts w:ascii="Times New Roman" w:cs="Times New Roman" w:eastAsia="Times New Roman" w:hAnsi="Times New Roman"/>
          <w:b/>
          <w:bCs/>
          <w:sz w:val="20"/>
          <w:szCs w:val="20"/>
        </w:rPr>
        <w:t xml:space="preserve">Anonymity: </w:t>
      </w:r>
      <w:r>
        <w:rPr>
          <w:rFonts w:ascii="Times New Roman" w:cs="Times New Roman" w:eastAsia="Times New Roman" w:hAnsi="Times New Roman"/>
          <w:sz w:val="20"/>
          <w:szCs w:val="20"/>
        </w:rPr>
        <w:t xml:space="preserve">Verifiers learn only group membership</w:t>
      </w:r>
    </w:p>
    <w:p>
      <w:pPr>
        <w:pStyle w:val="ListParagraph"/>
        <w:numPr>
          <w:ilvl w:val="0"/>
          <w:numId w:val="2"/>
        </w:numPr>
        <w:spacing w:after="60"/>
      </w:pPr>
      <w:r>
        <w:rPr>
          <w:rFonts w:ascii="Times New Roman" w:cs="Times New Roman" w:eastAsia="Times New Roman" w:hAnsi="Times New Roman"/>
          <w:b/>
          <w:bCs/>
          <w:sz w:val="20"/>
          <w:szCs w:val="20"/>
        </w:rPr>
        <w:t xml:space="preserve">Traceability: </w:t>
      </w:r>
      <w:r>
        <w:rPr>
          <w:rFonts w:ascii="Times New Roman" w:cs="Times New Roman" w:eastAsia="Times New Roman" w:hAnsi="Times New Roman"/>
          <w:sz w:val="20"/>
          <w:szCs w:val="20"/>
        </w:rPr>
        <w:t xml:space="preserve">Group Manager (GM) opens signatures to reveal signer identity</w:t>
      </w:r>
    </w:p>
    <w:p>
      <w:pPr>
        <w:pStyle w:val="ListParagraph"/>
        <w:numPr>
          <w:ilvl w:val="0"/>
          <w:numId w:val="2"/>
        </w:numPr>
        <w:spacing w:after="60"/>
      </w:pPr>
      <w:r>
        <w:rPr>
          <w:rFonts w:ascii="Times New Roman" w:cs="Times New Roman" w:eastAsia="Times New Roman" w:hAnsi="Times New Roman"/>
          <w:b/>
          <w:bCs/>
          <w:sz w:val="20"/>
          <w:szCs w:val="20"/>
        </w:rPr>
        <w:t xml:space="preserve">Time-windowed linkability: </w:t>
      </w:r>
      <w:r>
        <w:rPr>
          <w:rFonts w:ascii="Times New Roman" w:cs="Times New Roman" w:eastAsia="Times New Roman" w:hAnsi="Times New Roman"/>
          <w:sz w:val="20"/>
          <w:szCs w:val="20"/>
        </w:rPr>
        <w:t xml:space="preserve">Signatures within the same 5-minute window are linkable (Sybil detection)</w:t>
      </w:r>
    </w:p>
    <w:p>
      <w:pPr>
        <w:pStyle w:val="ListParagraph"/>
        <w:numPr>
          <w:ilvl w:val="0"/>
          <w:numId w:val="2"/>
        </w:numPr>
        <w:spacing w:after="60"/>
      </w:pPr>
      <w:r>
        <w:rPr>
          <w:rFonts w:ascii="Times New Roman" w:cs="Times New Roman" w:eastAsia="Times New Roman" w:hAnsi="Times New Roman"/>
          <w:b/>
          <w:bCs/>
          <w:sz w:val="20"/>
          <w:szCs w:val="20"/>
        </w:rPr>
        <w:t xml:space="preserve">Verifier-local revocation (VLR): </w:t>
      </w:r>
      <w:r>
        <w:rPr>
          <w:rFonts w:ascii="Times New Roman" w:cs="Times New Roman" w:eastAsia="Times New Roman" w:hAnsi="Times New Roman"/>
          <w:sz w:val="20"/>
          <w:szCs w:val="20"/>
        </w:rPr>
        <w:t xml:space="preserve">No GM contact required for revocation checking</w:t>
      </w:r>
    </w:p>
    <w:p>
      <w:pPr>
        <w:spacing w:before="160"/>
        <w:jc w:val="center"/>
      </w:pPr>
      <w:r>
        <w:rPr>
          <w:rFonts w:ascii="Times New Roman" w:cs="Times New Roman" w:eastAsia="Times New Roman" w:hAnsi="Times New Roman"/>
          <w:b/>
          <w:bCs/>
          <w:sz w:val="18"/>
          <w:szCs w:val="18"/>
        </w:rPr>
        <w:t xml:space="preserve">Algorithm 2: </w:t>
      </w:r>
      <w:r>
        <w:rPr>
          <w:rFonts w:ascii="Times New Roman" w:cs="Times New Roman" w:eastAsia="Times New Roman" w:hAnsi="Times New Roman"/>
          <w:sz w:val="18"/>
          <w:szCs w:val="18"/>
        </w:rPr>
        <w:t xml:space="preserve">V2X Group Signature Generation</w:t>
      </w:r>
    </w:p>
    <w:p>
      <w:pPr>
        <w:spacing w:after="40"/>
        <w:ind w:left="720"/>
      </w:pPr>
      <w:r>
        <w:rPr>
          <w:rFonts w:ascii="Courier New" w:cs="Courier New" w:eastAsia="Courier New" w:hAnsi="Courier New"/>
          <w:sz w:val="18"/>
          <w:szCs w:val="18"/>
        </w:rPr>
        <w:t xml:space="preserve">Require: Member key sk_i, group public key gpk, message m, time window w</w:t>
      </w:r>
    </w:p>
    <w:p>
      <w:pPr>
        <w:spacing w:after="40"/>
        <w:ind w:left="720"/>
      </w:pPr>
      <w:r>
        <w:rPr>
          <w:rFonts w:ascii="Courier New" w:cs="Courier New" w:eastAsia="Courier New" w:hAnsi="Courier New"/>
          <w:sz w:val="18"/>
          <w:szCs w:val="18"/>
        </w:rPr>
        <w:t xml:space="preserve">Ensure: Group signature σ</w:t>
      </w:r>
    </w:p>
    <w:p>
      <w:pPr>
        <w:spacing w:after="40"/>
        <w:ind w:left="720"/>
      </w:pPr>
      <w:r>
        <w:rPr>
          <w:rFonts w:ascii="Courier New" w:cs="Courier New" w:eastAsia="Courier New" w:hAnsi="Courier New"/>
          <w:sz w:val="18"/>
          <w:szCs w:val="18"/>
        </w:rPr>
        <w:t xml:space="preserve">1: tag ← SHAKE256(sk_i || w)    // Pseudonym tag</w:t>
      </w:r>
    </w:p>
    <w:p>
      <w:pPr>
        <w:spacing w:after="40"/>
        <w:ind w:left="720"/>
      </w:pPr>
      <w:r>
        <w:rPr>
          <w:rFonts w:ascii="Courier New" w:cs="Courier New" w:eastAsia="Courier New" w:hAnsi="Courier New"/>
          <w:sz w:val="18"/>
          <w:szCs w:val="18"/>
        </w:rPr>
        <w:t xml:space="preserve">2: σ_base ← ML-DSA.Sign(sk_i, m || tag)</w:t>
      </w:r>
    </w:p>
    <w:p>
      <w:pPr>
        <w:spacing w:after="40"/>
        <w:ind w:left="720"/>
      </w:pPr>
      <w:r>
        <w:rPr>
          <w:rFonts w:ascii="Courier New" w:cs="Courier New" w:eastAsia="Courier New" w:hAnsi="Courier New"/>
          <w:sz w:val="18"/>
          <w:szCs w:val="18"/>
        </w:rPr>
        <w:t xml:space="preserve">3: ct ← ML-KEM.Encaps(gpk_GM, id_i)    // Identity escrow</w:t>
      </w:r>
    </w:p>
    <w:p>
      <w:pPr>
        <w:spacing w:after="40"/>
        <w:ind w:left="720"/>
      </w:pPr>
      <w:r>
        <w:rPr>
          <w:rFonts w:ascii="Courier New" w:cs="Courier New" w:eastAsia="Courier New" w:hAnsi="Courier New"/>
          <w:sz w:val="18"/>
          <w:szCs w:val="18"/>
        </w:rPr>
        <w:t xml:space="preserve">4: return σ = (σ_base, tag, ct)</w:t>
      </w:r>
    </w:p>
    <w:p>
      <w:pPr>
        <w:spacing w:after="120"/>
        <w:ind w:firstLine="360"/>
        <w:jc w:val="both"/>
      </w:pPr>
      <w:r>
        <w:rPr>
          <w:rFonts w:ascii="Times New Roman" w:cs="Times New Roman" w:eastAsia="Times New Roman" w:hAnsi="Times New Roman"/>
          <w:sz w:val="20"/>
          <w:szCs w:val="20"/>
        </w:rPr>
        <w:t xml:space="preserve">The pseudonym tag tag = SHAKE256(sk_i || w) changes every 5 minutes, providing unlinkability across windows while enabling Sybil detection within a window. The identity escrow ciphertext ct allows the GM to recover id_i using its private key when authorized (e.g., warrant-based).</w:t>
      </w:r>
    </w:p>
    <w:p>
      <w:pPr>
        <w:spacing w:after="120"/>
        <w:ind w:firstLine="360"/>
        <w:jc w:val="both"/>
      </w:pPr>
      <w:r>
        <w:rPr>
          <w:rFonts w:ascii="Times New Roman" w:cs="Times New Roman" w:eastAsia="Times New Roman" w:hAnsi="Times New Roman"/>
          <w:sz w:val="20"/>
          <w:szCs w:val="20"/>
        </w:rPr>
        <w:t xml:space="preserve">Batch verification processes 1,000+ signatures per second by amortizing Merkle tree root computations across message batches. Signature size is approximately 2 KB per message with &lt;1 ms verification time, meeting the timing requirements of IEEE 1609.2 [9], SAE J2735, and ETSI TS 103 097.</w:t>
      </w:r>
    </w:p>
    <w:p>
      <w:pPr>
        <w:pStyle w:val="Heading1"/>
        <w:spacing w:after="120" w:before="360"/>
        <w:jc w:val="center"/>
      </w:pPr>
      <w:r>
        <w:rPr>
          <w:rFonts w:ascii="Times New Roman" w:cs="Times New Roman" w:eastAsia="Times New Roman" w:hAnsi="Times New Roman"/>
          <w:b/>
          <w:bCs/>
          <w:caps/>
          <w:sz w:val="24"/>
          <w:szCs w:val="24"/>
        </w:rPr>
        <w:t xml:space="preserve">V. Aviation: Bandwidth-Constrained PQC</w:t>
      </w:r>
    </w:p>
    <w:p>
      <w:pPr>
        <w:pStyle w:val="Heading2"/>
        <w:spacing w:after="80" w:before="240"/>
      </w:pPr>
      <w:r>
        <w:rPr>
          <w:rFonts w:ascii="Times New Roman" w:cs="Times New Roman" w:eastAsia="Times New Roman" w:hAnsi="Times New Roman"/>
          <w:b/>
          <w:bCs/>
          <w:i/>
          <w:iCs/>
          <w:sz w:val="22"/>
          <w:szCs w:val="22"/>
        </w:rPr>
        <w:t xml:space="preserve">A. Merkle Tree Aggregate Signatures</w:t>
      </w:r>
    </w:p>
    <w:p>
      <w:pPr>
        <w:spacing w:after="120"/>
        <w:ind w:firstLine="360"/>
        <w:jc w:val="both"/>
      </w:pPr>
      <w:r>
        <w:rPr>
          <w:rFonts w:ascii="Times New Roman" w:cs="Times New Roman" w:eastAsia="Times New Roman" w:hAnsi="Times New Roman"/>
          <w:sz w:val="20"/>
          <w:szCs w:val="20"/>
        </w:rPr>
        <w:t xml:space="preserve">Aviation ATC channels operate under severe bandwidth constraints: VHF ACARS at 2.4 kbps, HF datalink at 1.8 kbps, and classic SATCOM at 600 bps. Standard ML-DSA-65 signatures (3,293 bytes) are infeasible at these rates.</w:t>
      </w:r>
    </w:p>
    <w:p>
      <w:pPr>
        <w:spacing w:after="120"/>
        <w:ind w:firstLine="360"/>
        <w:jc w:val="both"/>
      </w:pPr>
      <w:r>
        <w:rPr>
          <w:rFonts w:ascii="Times New Roman" w:cs="Times New Roman" w:eastAsia="Times New Roman" w:hAnsi="Times New Roman"/>
          <w:sz w:val="20"/>
          <w:szCs w:val="20"/>
        </w:rPr>
        <w:t xml:space="preserve">We propose a Merkle tree-based signature aggregation scheme that compresses N individual PQC signatures into a single aggregate proof:</w:t>
      </w:r>
    </w:p>
    <w:p>
      <w:pPr>
        <w:pStyle w:val="ListParagraph"/>
        <w:numPr>
          <w:ilvl w:val="0"/>
          <w:numId w:val="3"/>
        </w:numPr>
        <w:spacing w:after="60"/>
      </w:pPr>
      <w:r>
        <w:rPr>
          <w:rFonts w:ascii="Times New Roman" w:cs="Times New Roman" w:eastAsia="Times New Roman" w:hAnsi="Times New Roman"/>
          <w:sz w:val="20"/>
          <w:szCs w:val="20"/>
        </w:rPr>
        <w:t xml:space="preserve">Each message m_i is individually signed: σ_i ← ML-DSA.Sign(sk_i, m_i)</w:t>
      </w:r>
    </w:p>
    <w:p>
      <w:pPr>
        <w:pStyle w:val="ListParagraph"/>
        <w:numPr>
          <w:ilvl w:val="0"/>
          <w:numId w:val="3"/>
        </w:numPr>
        <w:spacing w:after="60"/>
      </w:pPr>
      <w:r>
        <w:rPr>
          <w:rFonts w:ascii="Times New Roman" w:cs="Times New Roman" w:eastAsia="Times New Roman" w:hAnsi="Times New Roman"/>
          <w:sz w:val="20"/>
          <w:szCs w:val="20"/>
        </w:rPr>
        <w:t xml:space="preserve">Leaf nodes: h_i = SHA3-256(m_i || σ_i)</w:t>
      </w:r>
    </w:p>
    <w:p>
      <w:pPr>
        <w:pStyle w:val="ListParagraph"/>
        <w:numPr>
          <w:ilvl w:val="0"/>
          <w:numId w:val="3"/>
        </w:numPr>
        <w:spacing w:after="60"/>
      </w:pPr>
      <w:r>
        <w:rPr>
          <w:rFonts w:ascii="Times New Roman" w:cs="Times New Roman" w:eastAsia="Times New Roman" w:hAnsi="Times New Roman"/>
          <w:sz w:val="20"/>
          <w:szCs w:val="20"/>
        </w:rPr>
        <w:t xml:space="preserve">Merkle tree root: R = MerkleRoot(h_1, ..., h_N)</w:t>
      </w:r>
    </w:p>
    <w:p>
      <w:pPr>
        <w:pStyle w:val="ListParagraph"/>
        <w:numPr>
          <w:ilvl w:val="0"/>
          <w:numId w:val="3"/>
        </w:numPr>
        <w:spacing w:after="60"/>
      </w:pPr>
      <w:r>
        <w:rPr>
          <w:rFonts w:ascii="Times New Roman" w:cs="Times New Roman" w:eastAsia="Times New Roman" w:hAnsi="Times New Roman"/>
          <w:sz w:val="20"/>
          <w:szCs w:val="20"/>
        </w:rPr>
        <w:t xml:space="preserve">Truncation: Signatures are truncated to 8–32 bytes</w:t>
      </w:r>
    </w:p>
    <w:p>
      <w:pPr>
        <w:pStyle w:val="ListParagraph"/>
        <w:numPr>
          <w:ilvl w:val="0"/>
          <w:numId w:val="3"/>
        </w:numPr>
        <w:spacing w:after="60"/>
      </w:pPr>
      <w:r>
        <w:rPr>
          <w:rFonts w:ascii="Times New Roman" w:cs="Times New Roman" w:eastAsia="Times New Roman" w:hAnsi="Times New Roman"/>
          <w:sz w:val="20"/>
          <w:szCs w:val="20"/>
        </w:rPr>
        <w:t xml:space="preserve">Compression: Zstd applied to truncated batch</w:t>
      </w:r>
    </w:p>
    <w:p>
      <w:pPr>
        <w:spacing w:after="80" w:before="200"/>
        <w:jc w:val="center"/>
      </w:pPr>
      <w:r>
        <w:rPr>
          <w:rFonts w:ascii="Times New Roman" w:cs="Times New Roman" w:eastAsia="Times New Roman" w:hAnsi="Times New Roman"/>
          <w:b/>
          <w:bCs/>
          <w:sz w:val="18"/>
          <w:szCs w:val="18"/>
        </w:rPr>
        <w:t xml:space="preserve">TABLE I: Aviation Channel Bandwidth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Channel</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Rate</w:t>
            </w:r>
          </w:p>
        </w:tc>
        <w:tc>
          <w:tcPr>
            <w:tcW w:type="dxa" w:w="2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Target</w:t>
            </w:r>
          </w:p>
        </w:tc>
        <w:tc>
          <w:tcPr>
            <w:tcW w:type="dxa" w:w="27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Achieved</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VHF ACARS</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2.4 kbps</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80% reduction</w:t>
            </w:r>
          </w:p>
        </w:tc>
        <w:tc>
          <w:tcPr>
            <w:tcW w:type="dxa" w:w="2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~200 B/sig</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HF Datalink</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1.8 kbps</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85% reduction</w:t>
            </w:r>
          </w:p>
        </w:tc>
        <w:tc>
          <w:tcPr>
            <w:tcW w:type="dxa" w:w="2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~150 B/sig</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Classic SATCOM</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600 bps</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90% reduction</w:t>
            </w:r>
          </w:p>
        </w:tc>
        <w:tc>
          <w:tcPr>
            <w:tcW w:type="dxa" w:w="2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~100 B/sig</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LDACS</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100 kbps</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50% reduction</w:t>
            </w:r>
          </w:p>
        </w:tc>
        <w:tc>
          <w:tcPr>
            <w:tcW w:type="dxa" w:w="2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~500 B/sig</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ADS-B</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 Mbps</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30% reduction</w:t>
            </w:r>
          </w:p>
        </w:tc>
        <w:tc>
          <w:tcPr>
            <w:tcW w:type="dxa" w:w="2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~800 B/sig</w:t>
            </w:r>
          </w:p>
        </w:tc>
      </w:tr>
    </w:tbl>
    <w:p>
      <w:pPr>
        <w:spacing w:after="120"/>
        <w:ind w:firstLine="360"/>
        <w:jc w:val="both"/>
      </w:pPr>
      <w:r>
        <w:rPr>
          <w:rFonts w:ascii="Times New Roman" w:cs="Times New Roman" w:eastAsia="Times New Roman" w:hAnsi="Times New Roman"/>
          <w:sz w:val="20"/>
          <w:szCs w:val="20"/>
        </w:rPr>
        <w:t xml:space="preserve">Batch sizes of 16–64 messages achieve 60–80% bandwidth reduction compared to transmitting individual PQC signatures. Verification latency remains below 50 ms for batches of 64 messages.</w:t>
      </w:r>
    </w:p>
    <w:p>
      <w:pPr>
        <w:spacing w:after="120"/>
        <w:ind w:firstLine="360"/>
        <w:jc w:val="both"/>
      </w:pPr>
      <w:r>
        <w:rPr>
          <w:rFonts w:ascii="Times New Roman" w:cs="Times New Roman" w:eastAsia="Times New Roman" w:hAnsi="Times New Roman"/>
          <w:sz w:val="20"/>
          <w:szCs w:val="20"/>
        </w:rPr>
        <w:t xml:space="preserve">Message priority levels (DISTRESS, URGENCY, SAFETY, ROUTINE) determine aggregation policies: DISTRESS messages bypass aggregation for immediate transmission with full individual signatures.</w:t>
      </w:r>
    </w:p>
    <w:p>
      <w:pPr>
        <w:pStyle w:val="Heading2"/>
        <w:spacing w:after="80" w:before="240"/>
      </w:pPr>
      <w:r>
        <w:rPr>
          <w:rFonts w:ascii="Times New Roman" w:cs="Times New Roman" w:eastAsia="Times New Roman" w:hAnsi="Times New Roman"/>
          <w:b/>
          <w:bCs/>
          <w:i/>
          <w:iCs/>
          <w:sz w:val="22"/>
          <w:szCs w:val="22"/>
        </w:rPr>
        <w:t xml:space="preserve">B. Forward-Secure Double-Ratchet Channels</w:t>
      </w:r>
    </w:p>
    <w:p>
      <w:pPr>
        <w:spacing w:after="120"/>
        <w:ind w:firstLine="360"/>
        <w:jc w:val="both"/>
      </w:pPr>
      <w:r>
        <w:rPr>
          <w:rFonts w:ascii="Times New Roman" w:cs="Times New Roman" w:eastAsia="Times New Roman" w:hAnsi="Times New Roman"/>
          <w:sz w:val="20"/>
          <w:szCs w:val="20"/>
        </w:rPr>
        <w:t xml:space="preserve">We extend the double-ratchet protocol [10] with post-quantum primitives for ATC channel forward secrecy. Each epoch performs an ephemeral ML-KEM-768 key exchange, deriving per-message symmetric keys via HKDF-SHA3-256:</w:t>
      </w:r>
    </w:p>
    <w:p>
      <w:pPr>
        <w:spacing w:after="120" w:before="120"/>
        <w:jc w:val="center"/>
      </w:pPr>
      <w:r>
        <w:rPr>
          <w:rFonts w:ascii="Times New Roman" w:cs="Times New Roman" w:eastAsia="Times New Roman" w:hAnsi="Times New Roman"/>
          <w:i/>
          <w:iCs/>
          <w:sz w:val="20"/>
          <w:szCs w:val="20"/>
        </w:rPr>
        <w:t xml:space="preserve">K_{i+1} = HKDF(chain_key_i, "msg")</w:t>
      </w:r>
    </w:p>
    <w:p>
      <w:pPr>
        <w:spacing w:after="80" w:before="200"/>
        <w:jc w:val="center"/>
      </w:pPr>
      <w:r>
        <w:rPr>
          <w:rFonts w:ascii="Times New Roman" w:cs="Times New Roman" w:eastAsia="Times New Roman" w:hAnsi="Times New Roman"/>
          <w:b/>
          <w:bCs/>
          <w:sz w:val="18"/>
          <w:szCs w:val="18"/>
        </w:rPr>
        <w:t xml:space="preserve">TABLE II: Aviation Channel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Channel</w:t>
            </w:r>
          </w:p>
        </w:tc>
        <w:tc>
          <w:tcPr>
            <w:tcW w:type="dxa" w:w="23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Epoch</w:t>
            </w:r>
          </w:p>
        </w:tc>
        <w:tc>
          <w:tcPr>
            <w:tcW w:type="dxa" w:w="23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Msgs/Epoch</w:t>
            </w:r>
          </w:p>
        </w:tc>
        <w:tc>
          <w:tcPr>
            <w:tcW w:type="dxa" w:w="23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Ratchet</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ACARS</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 min</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500</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Periodic</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CPDLC</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 min</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100</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Per-exchange</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ADS-C</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30 min</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2,000</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Infrequent</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LDACS</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 min</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10,000</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Per-message</w:t>
            </w:r>
          </w:p>
        </w:tc>
      </w:tr>
    </w:tbl>
    <w:p>
      <w:pPr>
        <w:spacing w:after="120"/>
        <w:ind w:firstLine="360"/>
        <w:jc w:val="both"/>
      </w:pPr>
      <w:r>
        <w:rPr>
          <w:rFonts w:ascii="Times New Roman" w:cs="Times New Roman" w:eastAsia="Times New Roman" w:hAnsi="Times New Roman"/>
          <w:sz w:val="20"/>
          <w:szCs w:val="20"/>
        </w:rPr>
        <w:t xml:space="preserve">Key erasure is immediate: sending/receiving chain keys are zeroized after use. Old epoch keys are retained for one interval to handle out-of-order delivery, then securely erased. This ensures that compromise of current key material cannot decrypt past sessions.</w:t>
      </w:r>
    </w:p>
    <w:p>
      <w:pPr>
        <w:pStyle w:val="Heading1"/>
        <w:spacing w:after="120" w:before="360"/>
        <w:jc w:val="center"/>
      </w:pPr>
      <w:r>
        <w:rPr>
          <w:rFonts w:ascii="Times New Roman" w:cs="Times New Roman" w:eastAsia="Times New Roman" w:hAnsi="Times New Roman"/>
          <w:b/>
          <w:bCs/>
          <w:caps/>
          <w:sz w:val="24"/>
          <w:szCs w:val="24"/>
        </w:rPr>
        <w:t xml:space="preserve">VI. Banking: Multi-Party Compliance PQC</w:t>
      </w:r>
    </w:p>
    <w:p>
      <w:pPr>
        <w:pStyle w:val="Heading2"/>
        <w:spacing w:after="80" w:before="240"/>
      </w:pPr>
      <w:r>
        <w:rPr>
          <w:rFonts w:ascii="Times New Roman" w:cs="Times New Roman" w:eastAsia="Times New Roman" w:hAnsi="Times New Roman"/>
          <w:b/>
          <w:bCs/>
          <w:i/>
          <w:iCs/>
          <w:sz w:val="22"/>
          <w:szCs w:val="22"/>
        </w:rPr>
        <w:t xml:space="preserve">A. Multi-Authority Threshold Signatures</w:t>
      </w:r>
    </w:p>
    <w:p>
      <w:pPr>
        <w:spacing w:after="120"/>
        <w:ind w:firstLine="360"/>
        <w:jc w:val="both"/>
      </w:pPr>
      <w:r>
        <w:rPr>
          <w:rFonts w:ascii="Times New Roman" w:cs="Times New Roman" w:eastAsia="Times New Roman" w:hAnsi="Times New Roman"/>
          <w:sz w:val="20"/>
          <w:szCs w:val="20"/>
        </w:rPr>
        <w:t xml:space="preserve">High-value financial transactions require authorization from multiple independent authorities. We construct a post-quantum threshold signature scheme where t-of-n partial signatures from designated authority roles are combined.</w:t>
      </w:r>
    </w:p>
    <w:p>
      <w:pPr>
        <w:spacing w:before="160"/>
        <w:jc w:val="center"/>
      </w:pPr>
      <w:r>
        <w:rPr>
          <w:rFonts w:ascii="Times New Roman" w:cs="Times New Roman" w:eastAsia="Times New Roman" w:hAnsi="Times New Roman"/>
          <w:b/>
          <w:bCs/>
          <w:sz w:val="18"/>
          <w:szCs w:val="18"/>
        </w:rPr>
        <w:t xml:space="preserve">Algorithm 3: </w:t>
      </w:r>
      <w:r>
        <w:rPr>
          <w:rFonts w:ascii="Times New Roman" w:cs="Times New Roman" w:eastAsia="Times New Roman" w:hAnsi="Times New Roman"/>
          <w:sz w:val="18"/>
          <w:szCs w:val="18"/>
        </w:rPr>
        <w:t xml:space="preserve">Multi-Authority Threshold Signing</w:t>
      </w:r>
    </w:p>
    <w:p>
      <w:pPr>
        <w:spacing w:after="40"/>
        <w:ind w:left="720"/>
      </w:pPr>
      <w:r>
        <w:rPr>
          <w:rFonts w:ascii="Courier New" w:cs="Courier New" w:eastAsia="Courier New" w:hAnsi="Courier New"/>
          <w:sz w:val="18"/>
          <w:szCs w:val="18"/>
        </w:rPr>
        <w:t xml:space="preserve">Require: Transaction tx, quorum policy Q = (t, n, roles)</w:t>
      </w:r>
    </w:p>
    <w:p>
      <w:pPr>
        <w:spacing w:after="40"/>
        <w:ind w:left="720"/>
      </w:pPr>
      <w:r>
        <w:rPr>
          <w:rFonts w:ascii="Courier New" w:cs="Courier New" w:eastAsia="Courier New" w:hAnsi="Courier New"/>
          <w:sz w:val="18"/>
          <w:szCs w:val="18"/>
        </w:rPr>
        <w:t xml:space="preserve">Ensure: Combined signature Σ</w:t>
      </w:r>
    </w:p>
    <w:p>
      <w:pPr>
        <w:spacing w:after="40"/>
        <w:ind w:left="720"/>
      </w:pPr>
      <w:r>
        <w:rPr>
          <w:rFonts w:ascii="Courier New" w:cs="Courier New" w:eastAsia="Courier New" w:hAnsi="Courier New"/>
          <w:sz w:val="18"/>
          <w:szCs w:val="18"/>
        </w:rPr>
        <w:t xml:space="preserve">1: req_id ← CreateRequest(tx, Q)</w:t>
      </w:r>
    </w:p>
    <w:p>
      <w:pPr>
        <w:spacing w:after="40"/>
        <w:ind w:left="720"/>
      </w:pPr>
      <w:r>
        <w:rPr>
          <w:rFonts w:ascii="Courier New" w:cs="Courier New" w:eastAsia="Courier New" w:hAnsi="Courier New"/>
          <w:sz w:val="18"/>
          <w:szCs w:val="18"/>
        </w:rPr>
        <w:t xml:space="preserve">2: for each authority a_j in signing window do</w:t>
      </w:r>
    </w:p>
    <w:p>
      <w:pPr>
        <w:spacing w:after="40"/>
        <w:ind w:left="1080"/>
      </w:pPr>
      <w:r>
        <w:rPr>
          <w:rFonts w:ascii="Courier New" w:cs="Courier New" w:eastAsia="Courier New" w:hAnsi="Courier New"/>
          <w:sz w:val="18"/>
          <w:szCs w:val="18"/>
        </w:rPr>
        <w:t xml:space="preserve">3:   σ_j ← ML-DSA-65.Sign(sk_j, tx_hash || req_id)</w:t>
      </w:r>
    </w:p>
    <w:p>
      <w:pPr>
        <w:spacing w:after="40"/>
        <w:ind w:left="1080"/>
      </w:pPr>
      <w:r>
        <w:rPr>
          <w:rFonts w:ascii="Courier New" w:cs="Courier New" w:eastAsia="Courier New" w:hAnsi="Courier New"/>
          <w:sz w:val="18"/>
          <w:szCs w:val="18"/>
        </w:rPr>
        <w:t xml:space="preserve">4:   SubmitPartial(req_id, σ_j, role_j)</w:t>
      </w:r>
    </w:p>
    <w:p>
      <w:pPr>
        <w:spacing w:after="40"/>
        <w:ind w:left="720"/>
      </w:pPr>
      <w:r>
        <w:rPr>
          <w:rFonts w:ascii="Courier New" w:cs="Courier New" w:eastAsia="Courier New" w:hAnsi="Courier New"/>
          <w:sz w:val="18"/>
          <w:szCs w:val="18"/>
        </w:rPr>
        <w:t xml:space="preserve">5: end for</w:t>
      </w:r>
    </w:p>
    <w:p>
      <w:pPr>
        <w:spacing w:after="40"/>
        <w:ind w:left="720"/>
      </w:pPr>
      <w:r>
        <w:rPr>
          <w:rFonts w:ascii="Courier New" w:cs="Courier New" w:eastAsia="Courier New" w:hAnsi="Courier New"/>
          <w:sz w:val="18"/>
          <w:szCs w:val="18"/>
        </w:rPr>
        <w:t xml:space="preserve">6: Verify ≥ t valid partial signatures with required roles</w:t>
      </w:r>
    </w:p>
    <w:p>
      <w:pPr>
        <w:spacing w:after="40"/>
        <w:ind w:left="720"/>
      </w:pPr>
      <w:r>
        <w:rPr>
          <w:rFonts w:ascii="Courier New" w:cs="Courier New" w:eastAsia="Courier New" w:hAnsi="Courier New"/>
          <w:sz w:val="18"/>
          <w:szCs w:val="18"/>
        </w:rPr>
        <w:t xml:space="preserve">7: Σ ← SHAKE256(sort(σ_1,...,σ_t) || tx_hash)</w:t>
      </w:r>
    </w:p>
    <w:p>
      <w:pPr>
        <w:spacing w:after="40"/>
        <w:ind w:left="720"/>
      </w:pPr>
      <w:r>
        <w:rPr>
          <w:rFonts w:ascii="Courier New" w:cs="Courier New" w:eastAsia="Courier New" w:hAnsi="Courier New"/>
          <w:sz w:val="18"/>
          <w:szCs w:val="18"/>
        </w:rPr>
        <w:t xml:space="preserve">8: return Σ</w:t>
      </w:r>
    </w:p>
    <w:p>
      <w:pPr>
        <w:spacing w:after="80" w:before="200"/>
        <w:jc w:val="center"/>
      </w:pPr>
      <w:r>
        <w:rPr>
          <w:rFonts w:ascii="Times New Roman" w:cs="Times New Roman" w:eastAsia="Times New Roman" w:hAnsi="Times New Roman"/>
          <w:b/>
          <w:bCs/>
          <w:sz w:val="18"/>
          <w:szCs w:val="18"/>
        </w:rPr>
        <w:t xml:space="preserve">TABLE III: Banking Transaction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200"/>
        <w:gridCol w:w="480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Tier</w:t>
            </w:r>
          </w:p>
        </w:tc>
        <w:tc>
          <w:tcPr>
            <w:tcW w:type="dxa" w:w="1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Quorum</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Window</w:t>
            </w:r>
          </w:p>
        </w:tc>
        <w:tc>
          <w:tcPr>
            <w:tcW w:type="dxa" w:w="4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Required Roles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Standard</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1-of-1</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 hr</w:t>
            </w:r>
          </w:p>
        </w:tc>
        <w:tc>
          <w:tcPr>
            <w:tcW w:type="dxa" w:w="4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Any</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Elevated</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2-of-3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 hr</w:t>
            </w:r>
          </w:p>
        </w:tc>
        <w:tc>
          <w:tcPr>
            <w:tcW w:type="dxa" w:w="4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Treasury</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High Value</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3-of-5</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 hr</w:t>
            </w:r>
          </w:p>
        </w:tc>
        <w:tc>
          <w:tcPr>
            <w:tcW w:type="dxa" w:w="4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Treasury + Compliance</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Critical</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4-of-7</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 hr</w:t>
            </w:r>
          </w:p>
        </w:tc>
        <w:tc>
          <w:tcPr>
            <w:tcW w:type="dxa" w:w="4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Treasury + Compliance + Risk</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Sanctions</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3-of-3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24 hr</w:t>
            </w:r>
          </w:p>
        </w:tc>
        <w:tc>
          <w:tcPr>
            <w:tcW w:type="dxa" w:w="4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Compliance + Legal + Risk</w:t>
            </w:r>
          </w:p>
        </w:tc>
      </w:tr>
    </w:tbl>
    <w:p>
      <w:pPr>
        <w:spacing w:after="120"/>
        <w:ind w:firstLine="360"/>
        <w:jc w:val="both"/>
      </w:pPr>
      <w:r>
        <w:rPr>
          <w:rFonts w:ascii="Times New Roman" w:cs="Times New Roman" w:eastAsia="Times New Roman" w:hAnsi="Times New Roman"/>
          <w:sz w:val="20"/>
          <w:szCs w:val="20"/>
        </w:rPr>
        <w:t xml:space="preserve">Nine authority roles are supported: Central Bank, Treasury, Compliance, Risk Management, Legal, Board Member, Audit, IT Security, and Operations. A department constraint prevents two signers from the same department from satisfying the quorum.</w:t>
      </w:r>
    </w:p>
    <w:p>
      <w:pPr>
        <w:pStyle w:val="Heading2"/>
        <w:spacing w:after="80" w:before="240"/>
      </w:pPr>
      <w:r>
        <w:rPr>
          <w:rFonts w:ascii="Times New Roman" w:cs="Times New Roman" w:eastAsia="Times New Roman" w:hAnsi="Times New Roman"/>
          <w:b/>
          <w:bCs/>
          <w:i/>
          <w:iCs/>
          <w:sz w:val="22"/>
          <w:szCs w:val="22"/>
        </w:rPr>
        <w:t xml:space="preserve">B. SWIFT Proxy Re-Encryption</w:t>
      </w:r>
    </w:p>
    <w:p>
      <w:pPr>
        <w:spacing w:after="120"/>
        <w:ind w:firstLine="360"/>
        <w:jc w:val="both"/>
      </w:pPr>
      <w:r>
        <w:rPr>
          <w:rFonts w:ascii="Times New Roman" w:cs="Times New Roman" w:eastAsia="Times New Roman" w:hAnsi="Times New Roman"/>
          <w:sz w:val="20"/>
          <w:szCs w:val="20"/>
        </w:rPr>
        <w:t xml:space="preserve">Correspondent banking requires message routing through intermediary banks. We construct a proxy re-encryption (PRE) scheme based on ML-KEM that transforms encrypted SWIFT messages (MT103, MT202, pacs.008, pacs.009) without intermediaries learning the plaintext.</w:t>
      </w:r>
    </w:p>
    <w:p>
      <w:pPr>
        <w:spacing w:after="120"/>
        <w:ind w:firstLine="360"/>
        <w:jc w:val="both"/>
      </w:pPr>
      <w:r>
        <w:rPr>
          <w:rFonts w:ascii="Times New Roman" w:cs="Times New Roman" w:eastAsia="Times New Roman" w:hAnsi="Times New Roman"/>
          <w:sz w:val="20"/>
          <w:szCs w:val="20"/>
        </w:rPr>
        <w:t xml:space="preserve">The original ML-DSA-65 signature is preserved through the chain, ensuring non-repudiation from originator to beneficiary. Hop count is limited (default 3) with configurable re-key validity (default 24 hours). Re-encryption latency is &lt;10 ms per hop.</w:t>
      </w:r>
    </w:p>
    <w:p>
      <w:pPr>
        <w:pStyle w:val="Heading2"/>
        <w:spacing w:after="80" w:before="240"/>
      </w:pPr>
      <w:r>
        <w:rPr>
          <w:rFonts w:ascii="Times New Roman" w:cs="Times New Roman" w:eastAsia="Times New Roman" w:hAnsi="Times New Roman"/>
          <w:b/>
          <w:bCs/>
          <w:i/>
          <w:iCs/>
          <w:sz w:val="22"/>
          <w:szCs w:val="22"/>
        </w:rPr>
        <w:t xml:space="preserve">C. Regulatory Zero-Knowledge Proof Engine</w:t>
      </w:r>
    </w:p>
    <w:p>
      <w:pPr>
        <w:spacing w:after="120"/>
        <w:ind w:firstLine="360"/>
        <w:jc w:val="both"/>
      </w:pPr>
      <w:r>
        <w:rPr>
          <w:rFonts w:ascii="Times New Roman" w:cs="Times New Roman" w:eastAsia="Times New Roman" w:hAnsi="Times New Roman"/>
          <w:sz w:val="20"/>
          <w:szCs w:val="20"/>
        </w:rPr>
        <w:t xml:space="preserve">Banks must demonstrate compliance with Basel III/IV capital adequacy, AML screening, and PCI-DSS requirements without exposing sensitive financial data. We implement six proof types using hash-based commitments:</w:t>
      </w:r>
    </w:p>
    <w:p>
      <w:pPr>
        <w:spacing w:after="120" w:before="120"/>
        <w:jc w:val="center"/>
      </w:pPr>
      <w:r>
        <w:rPr>
          <w:rFonts w:ascii="Times New Roman" w:cs="Times New Roman" w:eastAsia="Times New Roman" w:hAnsi="Times New Roman"/>
          <w:i/>
          <w:iCs/>
          <w:sz w:val="20"/>
          <w:szCs w:val="20"/>
        </w:rPr>
        <w:t xml:space="preserve">C(v, r) = SHA3-256(v || r), r ←$ {0,1}^256</w:t>
      </w:r>
    </w:p>
    <w:p>
      <w:pPr>
        <w:pStyle w:val="ListParagraph"/>
        <w:numPr>
          <w:ilvl w:val="0"/>
          <w:numId w:val="2"/>
        </w:numPr>
        <w:spacing w:after="60"/>
      </w:pPr>
      <w:r>
        <w:rPr>
          <w:rFonts w:ascii="Times New Roman" w:cs="Times New Roman" w:eastAsia="Times New Roman" w:hAnsi="Times New Roman"/>
          <w:b/>
          <w:bCs/>
          <w:sz w:val="20"/>
          <w:szCs w:val="20"/>
        </w:rPr>
        <w:t xml:space="preserve">Balance range proofs: </w:t>
      </w:r>
      <w:r>
        <w:rPr>
          <w:rFonts w:ascii="Times New Roman" w:cs="Times New Roman" w:eastAsia="Times New Roman" w:hAnsi="Times New Roman"/>
          <w:sz w:val="20"/>
          <w:szCs w:val="20"/>
        </w:rPr>
        <w:t xml:space="preserve">Bit-decomposition commitments proving balance ∈ [min, max] without revealing the exact value. 128-bit range requires 128 sub-commitments.</w:t>
      </w:r>
    </w:p>
    <w:p>
      <w:pPr>
        <w:pStyle w:val="ListParagraph"/>
        <w:numPr>
          <w:ilvl w:val="0"/>
          <w:numId w:val="2"/>
        </w:numPr>
        <w:spacing w:after="60"/>
      </w:pPr>
      <w:r>
        <w:rPr>
          <w:rFonts w:ascii="Times New Roman" w:cs="Times New Roman" w:eastAsia="Times New Roman" w:hAnsi="Times New Roman"/>
          <w:b/>
          <w:bCs/>
          <w:sz w:val="20"/>
          <w:szCs w:val="20"/>
        </w:rPr>
        <w:t xml:space="preserve">Capital adequacy proofs: </w:t>
      </w:r>
      <w:r>
        <w:rPr>
          <w:rFonts w:ascii="Times New Roman" w:cs="Times New Roman" w:eastAsia="Times New Roman" w:hAnsi="Times New Roman"/>
          <w:sz w:val="20"/>
          <w:szCs w:val="20"/>
        </w:rPr>
        <w:t xml:space="preserve">CET1, Tier 1, Total Capital, Leverage, LCR, and NSFR ratios proven to exceed regulatory minimums.</w:t>
      </w:r>
    </w:p>
    <w:p>
      <w:pPr>
        <w:pStyle w:val="ListParagraph"/>
        <w:numPr>
          <w:ilvl w:val="0"/>
          <w:numId w:val="2"/>
        </w:numPr>
        <w:spacing w:after="60"/>
      </w:pPr>
      <w:r>
        <w:rPr>
          <w:rFonts w:ascii="Times New Roman" w:cs="Times New Roman" w:eastAsia="Times New Roman" w:hAnsi="Times New Roman"/>
          <w:b/>
          <w:bCs/>
          <w:sz w:val="20"/>
          <w:szCs w:val="20"/>
        </w:rPr>
        <w:t xml:space="preserve">AML screening proofs: </w:t>
      </w:r>
      <w:r>
        <w:rPr>
          <w:rFonts w:ascii="Times New Roman" w:cs="Times New Roman" w:eastAsia="Times New Roman" w:hAnsi="Times New Roman"/>
          <w:sz w:val="20"/>
          <w:szCs w:val="20"/>
        </w:rPr>
        <w:t xml:space="preserve">Entity screening completion across OFAC-SDN, EU-CONSOLIDATED, UN-SC lists without exposing entity identities.</w:t>
      </w:r>
    </w:p>
    <w:p>
      <w:pPr>
        <w:pStyle w:val="ListParagraph"/>
        <w:numPr>
          <w:ilvl w:val="0"/>
          <w:numId w:val="2"/>
        </w:numPr>
        <w:spacing w:after="60"/>
      </w:pPr>
      <w:r>
        <w:rPr>
          <w:rFonts w:ascii="Times New Roman" w:cs="Times New Roman" w:eastAsia="Times New Roman" w:hAnsi="Times New Roman"/>
          <w:b/>
          <w:bCs/>
          <w:sz w:val="20"/>
          <w:szCs w:val="20"/>
        </w:rPr>
        <w:t xml:space="preserve">Transaction threshold proofs: </w:t>
      </w:r>
      <w:r>
        <w:rPr>
          <w:rFonts w:ascii="Times New Roman" w:cs="Times New Roman" w:eastAsia="Times New Roman" w:hAnsi="Times New Roman"/>
          <w:sz w:val="20"/>
          <w:szCs w:val="20"/>
        </w:rPr>
        <w:t xml:space="preserve">Aggregate transaction volumes proven below limits without revealing individual amounts.</w:t>
      </w:r>
    </w:p>
    <w:p>
      <w:pPr>
        <w:pStyle w:val="ListParagraph"/>
        <w:numPr>
          <w:ilvl w:val="0"/>
          <w:numId w:val="2"/>
        </w:numPr>
        <w:spacing w:after="60"/>
      </w:pPr>
      <w:r>
        <w:rPr>
          <w:rFonts w:ascii="Times New Roman" w:cs="Times New Roman" w:eastAsia="Times New Roman" w:hAnsi="Times New Roman"/>
          <w:b/>
          <w:bCs/>
          <w:sz w:val="20"/>
          <w:szCs w:val="20"/>
        </w:rPr>
        <w:t xml:space="preserve">Audit integrity proofs: </w:t>
      </w:r>
      <w:r>
        <w:rPr>
          <w:rFonts w:ascii="Times New Roman" w:cs="Times New Roman" w:eastAsia="Times New Roman" w:hAnsi="Times New Roman"/>
          <w:sz w:val="20"/>
          <w:szCs w:val="20"/>
        </w:rPr>
        <w:t xml:space="preserve">Merkle root over log entries proving hash-chain integrity without exposing contents.</w:t>
      </w:r>
    </w:p>
    <w:p>
      <w:pPr>
        <w:pStyle w:val="ListParagraph"/>
        <w:numPr>
          <w:ilvl w:val="0"/>
          <w:numId w:val="2"/>
        </w:numPr>
        <w:spacing w:after="60"/>
      </w:pPr>
      <w:r>
        <w:rPr>
          <w:rFonts w:ascii="Times New Roman" w:cs="Times New Roman" w:eastAsia="Times New Roman" w:hAnsi="Times New Roman"/>
          <w:b/>
          <w:bCs/>
          <w:sz w:val="20"/>
          <w:szCs w:val="20"/>
        </w:rPr>
        <w:t xml:space="preserve">Data residency proofs: </w:t>
      </w:r>
      <w:r>
        <w:rPr>
          <w:rFonts w:ascii="Times New Roman" w:cs="Times New Roman" w:eastAsia="Times New Roman" w:hAnsi="Times New Roman"/>
          <w:sz w:val="20"/>
          <w:szCs w:val="20"/>
        </w:rPr>
        <w:t xml:space="preserve">Geographic compliance attestation.</w:t>
      </w:r>
    </w:p>
    <w:p>
      <w:pPr>
        <w:spacing w:after="120"/>
        <w:ind w:firstLine="360"/>
        <w:jc w:val="both"/>
      </w:pPr>
      <w:r>
        <w:rPr>
          <w:rFonts w:ascii="Times New Roman" w:cs="Times New Roman" w:eastAsia="Times New Roman" w:hAnsi="Times New Roman"/>
          <w:sz w:val="20"/>
          <w:szCs w:val="20"/>
        </w:rPr>
        <w:t xml:space="preserve">Challenges are generated via Fiat-Shamir heuristic using SHAKE256, making proofs non-interactive. Proof validity defaults to 24 hours, with generation latency of 1–500 ms depending on proof complexity.</w:t>
      </w:r>
    </w:p>
    <w:p>
      <w:pPr>
        <w:pStyle w:val="Heading1"/>
        <w:spacing w:after="120" w:before="360"/>
        <w:jc w:val="center"/>
      </w:pPr>
      <w:r>
        <w:rPr>
          <w:rFonts w:ascii="Times New Roman" w:cs="Times New Roman" w:eastAsia="Times New Roman" w:hAnsi="Times New Roman"/>
          <w:b/>
          <w:bCs/>
          <w:caps/>
          <w:sz w:val="24"/>
          <w:szCs w:val="24"/>
        </w:rPr>
        <w:t xml:space="preserve">VII. Healthcare: Privacy-Preserving PQC</w:t>
      </w:r>
    </w:p>
    <w:p>
      <w:pPr>
        <w:pStyle w:val="Heading2"/>
        <w:spacing w:after="80" w:before="240"/>
      </w:pPr>
      <w:r>
        <w:rPr>
          <w:rFonts w:ascii="Times New Roman" w:cs="Times New Roman" w:eastAsia="Times New Roman" w:hAnsi="Times New Roman"/>
          <w:b/>
          <w:bCs/>
          <w:i/>
          <w:iCs/>
          <w:sz w:val="22"/>
          <w:szCs w:val="22"/>
        </w:rPr>
        <w:t xml:space="preserve">A. EHR Proxy Re-Encryption</w:t>
      </w:r>
    </w:p>
    <w:p>
      <w:pPr>
        <w:spacing w:after="120"/>
        <w:ind w:firstLine="360"/>
        <w:jc w:val="both"/>
      </w:pPr>
      <w:r>
        <w:rPr>
          <w:rFonts w:ascii="Times New Roman" w:cs="Times New Roman" w:eastAsia="Times New Roman" w:hAnsi="Times New Roman"/>
          <w:sz w:val="20"/>
          <w:szCs w:val="20"/>
        </w:rPr>
        <w:t xml:space="preserve">Electronic health record transfer between providers must preserve patient privacy under HIPAA. We extend the PRE construction with healthcare-specific consent types:</w:t>
      </w:r>
    </w:p>
    <w:p>
      <w:pPr>
        <w:pStyle w:val="ListParagraph"/>
        <w:numPr>
          <w:ilvl w:val="0"/>
          <w:numId w:val="2"/>
        </w:numPr>
        <w:spacing w:after="60"/>
      </w:pPr>
      <w:r>
        <w:rPr>
          <w:rFonts w:ascii="Times New Roman" w:cs="Times New Roman" w:eastAsia="Times New Roman" w:hAnsi="Times New Roman"/>
          <w:b/>
          <w:bCs/>
          <w:sz w:val="20"/>
          <w:szCs w:val="20"/>
        </w:rPr>
        <w:t xml:space="preserve">FULL_ACCESS: </w:t>
      </w:r>
      <w:r>
        <w:rPr>
          <w:rFonts w:ascii="Times New Roman" w:cs="Times New Roman" w:eastAsia="Times New Roman" w:hAnsi="Times New Roman"/>
          <w:sz w:val="20"/>
          <w:szCs w:val="20"/>
        </w:rPr>
        <w:t xml:space="preserve">All record categories, unlimited duration</w:t>
      </w:r>
    </w:p>
    <w:p>
      <w:pPr>
        <w:pStyle w:val="ListParagraph"/>
        <w:numPr>
          <w:ilvl w:val="0"/>
          <w:numId w:val="2"/>
        </w:numPr>
        <w:spacing w:after="60"/>
      </w:pPr>
      <w:r>
        <w:rPr>
          <w:rFonts w:ascii="Times New Roman" w:cs="Times New Roman" w:eastAsia="Times New Roman" w:hAnsi="Times New Roman"/>
          <w:b/>
          <w:bCs/>
          <w:sz w:val="20"/>
          <w:szCs w:val="20"/>
        </w:rPr>
        <w:t xml:space="preserve">CATEGORY_RESTRICTED: </w:t>
      </w:r>
      <w:r>
        <w:rPr>
          <w:rFonts w:ascii="Times New Roman" w:cs="Times New Roman" w:eastAsia="Times New Roman" w:hAnsi="Times New Roman"/>
          <w:sz w:val="20"/>
          <w:szCs w:val="20"/>
        </w:rPr>
        <w:t xml:space="preserve">Specific categories only (e.g., lab results)</w:t>
      </w:r>
    </w:p>
    <w:p>
      <w:pPr>
        <w:pStyle w:val="ListParagraph"/>
        <w:numPr>
          <w:ilvl w:val="0"/>
          <w:numId w:val="2"/>
        </w:numPr>
        <w:spacing w:after="60"/>
      </w:pPr>
      <w:r>
        <w:rPr>
          <w:rFonts w:ascii="Times New Roman" w:cs="Times New Roman" w:eastAsia="Times New Roman" w:hAnsi="Times New Roman"/>
          <w:b/>
          <w:bCs/>
          <w:sz w:val="20"/>
          <w:szCs w:val="20"/>
        </w:rPr>
        <w:t xml:space="preserve">TIME_LIMITED: </w:t>
      </w:r>
      <w:r>
        <w:rPr>
          <w:rFonts w:ascii="Times New Roman" w:cs="Times New Roman" w:eastAsia="Times New Roman" w:hAnsi="Times New Roman"/>
          <w:sz w:val="20"/>
          <w:szCs w:val="20"/>
        </w:rPr>
        <w:t xml:space="preserve">Automatic expiration after configurable duration</w:t>
      </w:r>
    </w:p>
    <w:p>
      <w:pPr>
        <w:pStyle w:val="ListParagraph"/>
        <w:numPr>
          <w:ilvl w:val="0"/>
          <w:numId w:val="2"/>
        </w:numPr>
        <w:spacing w:after="60"/>
      </w:pPr>
      <w:r>
        <w:rPr>
          <w:rFonts w:ascii="Times New Roman" w:cs="Times New Roman" w:eastAsia="Times New Roman" w:hAnsi="Times New Roman"/>
          <w:b/>
          <w:bCs/>
          <w:sz w:val="20"/>
          <w:szCs w:val="20"/>
        </w:rPr>
        <w:t xml:space="preserve">EMERGENCY: </w:t>
      </w:r>
      <w:r>
        <w:rPr>
          <w:rFonts w:ascii="Times New Roman" w:cs="Times New Roman" w:eastAsia="Times New Roman" w:hAnsi="Times New Roman"/>
          <w:sz w:val="20"/>
          <w:szCs w:val="20"/>
        </w:rPr>
        <w:t xml:space="preserve">Break-glass access with audit override</w:t>
      </w:r>
    </w:p>
    <w:p>
      <w:pPr>
        <w:pStyle w:val="ListParagraph"/>
        <w:numPr>
          <w:ilvl w:val="0"/>
          <w:numId w:val="2"/>
        </w:numPr>
        <w:spacing w:after="60"/>
      </w:pPr>
      <w:r>
        <w:rPr>
          <w:rFonts w:ascii="Times New Roman" w:cs="Times New Roman" w:eastAsia="Times New Roman" w:hAnsi="Times New Roman"/>
          <w:b/>
          <w:bCs/>
          <w:sz w:val="20"/>
          <w:szCs w:val="20"/>
        </w:rPr>
        <w:t xml:space="preserve">RESEARCH: </w:t>
      </w:r>
      <w:r>
        <w:rPr>
          <w:rFonts w:ascii="Times New Roman" w:cs="Times New Roman" w:eastAsia="Times New Roman" w:hAnsi="Times New Roman"/>
          <w:sz w:val="20"/>
          <w:szCs w:val="20"/>
        </w:rPr>
        <w:t xml:space="preserve">De-identified access with restricted categories</w:t>
      </w:r>
    </w:p>
    <w:p>
      <w:pPr>
        <w:pStyle w:val="ListParagraph"/>
        <w:numPr>
          <w:ilvl w:val="0"/>
          <w:numId w:val="2"/>
        </w:numPr>
        <w:spacing w:after="60"/>
      </w:pPr>
      <w:r>
        <w:rPr>
          <w:rFonts w:ascii="Times New Roman" w:cs="Times New Roman" w:eastAsia="Times New Roman" w:hAnsi="Times New Roman"/>
          <w:b/>
          <w:bCs/>
          <w:sz w:val="20"/>
          <w:szCs w:val="20"/>
        </w:rPr>
        <w:t xml:space="preserve">ONE_TIME: </w:t>
      </w:r>
      <w:r>
        <w:rPr>
          <w:rFonts w:ascii="Times New Roman" w:cs="Times New Roman" w:eastAsia="Times New Roman" w:hAnsi="Times New Roman"/>
          <w:sz w:val="20"/>
          <w:szCs w:val="20"/>
        </w:rPr>
        <w:t xml:space="preserve">Single use, auto-revoked after first access</w:t>
      </w:r>
    </w:p>
    <w:p>
      <w:pPr>
        <w:spacing w:after="120"/>
        <w:ind w:firstLine="360"/>
        <w:jc w:val="both"/>
      </w:pPr>
      <w:r>
        <w:rPr>
          <w:rFonts w:ascii="Times New Roman" w:cs="Times New Roman" w:eastAsia="Times New Roman" w:hAnsi="Times New Roman"/>
          <w:sz w:val="20"/>
          <w:szCs w:val="20"/>
        </w:rPr>
        <w:t xml:space="preserve">Record categories are classified into standard (Demographics, Vital Signs, Lab Results, Medications, Diagnoses, Procedures, Imaging) and restricted (Mental Health, Substance Abuse under 42 CFR Part 2, Genetic Data under GINA, Reproductive Health).</w:t>
      </w:r>
    </w:p>
    <w:p>
      <w:pPr>
        <w:pStyle w:val="Heading2"/>
        <w:spacing w:after="80" w:before="240"/>
      </w:pPr>
      <w:r>
        <w:rPr>
          <w:rFonts w:ascii="Times New Roman" w:cs="Times New Roman" w:eastAsia="Times New Roman" w:hAnsi="Times New Roman"/>
          <w:b/>
          <w:bCs/>
          <w:i/>
          <w:iCs/>
          <w:sz w:val="22"/>
          <w:szCs w:val="22"/>
        </w:rPr>
        <w:t xml:space="preserve">B. Homomorphic Vital Signs Analytics</w:t>
      </w:r>
    </w:p>
    <w:p>
      <w:pPr>
        <w:spacing w:after="120"/>
        <w:ind w:firstLine="360"/>
        <w:jc w:val="both"/>
      </w:pPr>
      <w:r>
        <w:rPr>
          <w:rFonts w:ascii="Times New Roman" w:cs="Times New Roman" w:eastAsia="Times New Roman" w:hAnsi="Times New Roman"/>
          <w:sz w:val="20"/>
          <w:szCs w:val="20"/>
        </w:rPr>
        <w:t xml:space="preserve">Population-level health analytics require computing statistics over patient vital signs without decrypting individual records. We implement an additively homomorphic scheme based on Paillier-like encryption over lattice assumptions:</w:t>
      </w:r>
    </w:p>
    <w:p>
      <w:pPr>
        <w:spacing w:after="120" w:before="120"/>
        <w:jc w:val="center"/>
      </w:pPr>
      <w:r>
        <w:rPr>
          <w:rFonts w:ascii="Times New Roman" w:cs="Times New Roman" w:eastAsia="Times New Roman" w:hAnsi="Times New Roman"/>
          <w:i/>
          <w:iCs/>
          <w:sz w:val="20"/>
          <w:szCs w:val="20"/>
        </w:rPr>
        <w:t xml:space="preserve">E(m) = g^m · r^n mod n²</w:t>
      </w:r>
    </w:p>
    <w:p>
      <w:pPr>
        <w:spacing w:after="120" w:before="120"/>
        <w:jc w:val="center"/>
      </w:pPr>
      <w:r>
        <w:rPr>
          <w:rFonts w:ascii="Times New Roman" w:cs="Times New Roman" w:eastAsia="Times New Roman" w:hAnsi="Times New Roman"/>
          <w:i/>
          <w:iCs/>
          <w:sz w:val="20"/>
          <w:szCs w:val="20"/>
        </w:rPr>
        <w:t xml:space="preserve">E(m₁) · E(m₂) = E(m₁ + m₂) mod n²</w:t>
      </w:r>
    </w:p>
    <w:p>
      <w:pPr>
        <w:spacing w:after="120" w:before="120"/>
        <w:jc w:val="center"/>
      </w:pPr>
      <w:r>
        <w:rPr>
          <w:rFonts w:ascii="Times New Roman" w:cs="Times New Roman" w:eastAsia="Times New Roman" w:hAnsi="Times New Roman"/>
          <w:i/>
          <w:iCs/>
          <w:sz w:val="20"/>
          <w:szCs w:val="20"/>
        </w:rPr>
        <w:t xml:space="preserve">E(m)^k = E(k · m) mod n²</w:t>
      </w:r>
    </w:p>
    <w:p>
      <w:pPr>
        <w:spacing w:after="120"/>
        <w:ind w:firstLine="360"/>
        <w:jc w:val="both"/>
      </w:pPr>
      <w:r>
        <w:rPr>
          <w:rFonts w:ascii="Times New Roman" w:cs="Times New Roman" w:eastAsia="Times New Roman" w:hAnsi="Times New Roman"/>
          <w:sz w:val="20"/>
          <w:szCs w:val="20"/>
        </w:rPr>
        <w:t xml:space="preserve">Supported vital types include heart rate (40–200 bpm), blood pressure (systolic 60–250, diastolic 40–150 mmHg), SpO₂ (70–100%), temperature (34–42°C), respiratory rate (8–40 breaths/min), and glucose (40–500 mg/dL).</w:t>
      </w:r>
    </w:p>
    <w:p>
      <w:pPr>
        <w:spacing w:after="120"/>
        <w:ind w:firstLine="360"/>
        <w:jc w:val="both"/>
      </w:pPr>
      <w:r>
        <w:rPr>
          <w:rFonts w:ascii="Times New Roman" w:cs="Times New Roman" w:eastAsia="Times New Roman" w:hAnsi="Times New Roman"/>
          <w:sz w:val="20"/>
          <w:szCs w:val="20"/>
        </w:rPr>
        <w:t xml:space="preserve">Differential privacy is integrated via Laplace noise addition with configurable ε (default 1.0) to aggregate statistics before decryption, preventing inference attacks on individual patients.</w:t>
      </w:r>
    </w:p>
    <w:p>
      <w:pPr>
        <w:pStyle w:val="Heading2"/>
        <w:spacing w:after="80" w:before="240"/>
      </w:pPr>
      <w:r>
        <w:rPr>
          <w:rFonts w:ascii="Times New Roman" w:cs="Times New Roman" w:eastAsia="Times New Roman" w:hAnsi="Times New Roman"/>
          <w:b/>
          <w:bCs/>
          <w:i/>
          <w:iCs/>
          <w:sz w:val="22"/>
          <w:szCs w:val="22"/>
        </w:rPr>
        <w:t xml:space="preserve">C. Post-Quantum Verifiable Credentials</w:t>
      </w:r>
    </w:p>
    <w:p>
      <w:pPr>
        <w:spacing w:after="120"/>
        <w:ind w:firstLine="360"/>
        <w:jc w:val="both"/>
      </w:pPr>
      <w:r>
        <w:rPr>
          <w:rFonts w:ascii="Times New Roman" w:cs="Times New Roman" w:eastAsia="Times New Roman" w:hAnsi="Times New Roman"/>
          <w:sz w:val="20"/>
          <w:szCs w:val="20"/>
        </w:rPr>
        <w:t xml:space="preserve">We implement W3C Verifiable Credentials [11] with ML-DSA-65 signatures and Merkle tree-based selective disclosure. Seven credential types are supported: vaccination records, lab results, prescriptions, allergy records, insurance eligibility, disability attestations, and provider licenses. Revocation uses an accumulator-based scheme with O(1) membership verification.</w:t>
      </w:r>
    </w:p>
    <w:p>
      <w:pPr>
        <w:pStyle w:val="Heading2"/>
        <w:spacing w:after="80" w:before="240"/>
      </w:pPr>
      <w:r>
        <w:rPr>
          <w:rFonts w:ascii="Times New Roman" w:cs="Times New Roman" w:eastAsia="Times New Roman" w:hAnsi="Times New Roman"/>
          <w:b/>
          <w:bCs/>
          <w:i/>
          <w:iCs/>
          <w:sz w:val="22"/>
          <w:szCs w:val="22"/>
        </w:rPr>
        <w:t xml:space="preserve">D. Lightweight PQC for Constrained Medical Devices</w:t>
      </w:r>
    </w:p>
    <w:p>
      <w:pPr>
        <w:spacing w:after="120"/>
        <w:ind w:firstLine="360"/>
        <w:jc w:val="both"/>
      </w:pPr>
      <w:r>
        <w:rPr>
          <w:rFonts w:ascii="Times New Roman" w:cs="Times New Roman" w:eastAsia="Times New Roman" w:hAnsi="Times New Roman"/>
          <w:sz w:val="20"/>
          <w:szCs w:val="20"/>
        </w:rPr>
        <w:t xml:space="preserve">Severely resource-constrained medical devices require adapted PQC profiles:</w:t>
      </w:r>
    </w:p>
    <w:p>
      <w:pPr>
        <w:spacing w:after="80" w:before="200"/>
        <w:jc w:val="center"/>
      </w:pPr>
      <w:r>
        <w:rPr>
          <w:rFonts w:ascii="Times New Roman" w:cs="Times New Roman" w:eastAsia="Times New Roman" w:hAnsi="Times New Roman"/>
          <w:b/>
          <w:bCs/>
          <w:sz w:val="18"/>
          <w:szCs w:val="18"/>
        </w:rPr>
        <w:t xml:space="preserve">TABLE IV: Medical Device PQC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Profile</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RAM</w:t>
            </w:r>
          </w:p>
        </w:tc>
        <w:tc>
          <w:tcPr>
            <w:tcW w:type="dxa" w:w="4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PQC Capability</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Ultra-constrained</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&lt;32 KB</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Pre-shared symmetric only</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Constrained</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32–64 KB</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ML-KEM-512 (partial)</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Moderate</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64–256 KB</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ML-KEM-768</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Standard</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&gt;256 KB</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Full PQC suite</w:t>
            </w:r>
          </w:p>
        </w:tc>
      </w:tr>
    </w:tbl>
    <w:p>
      <w:pPr>
        <w:spacing w:after="120"/>
        <w:ind w:firstLine="360"/>
        <w:jc w:val="both"/>
      </w:pPr>
      <w:r>
        <w:rPr>
          <w:rFonts w:ascii="Times New Roman" w:cs="Times New Roman" w:eastAsia="Times New Roman" w:hAnsi="Times New Roman"/>
          <w:sz w:val="20"/>
          <w:szCs w:val="20"/>
        </w:rPr>
        <w:t xml:space="preserve">Optimization strategies include pre-computation of expensive operations during idle periods, session key caching to amortize handshake costs, and deferred verification for battery-critical scenarios.</w:t>
      </w:r>
    </w:p>
    <w:p>
      <w:pPr>
        <w:pStyle w:val="Heading1"/>
        <w:spacing w:after="120" w:before="360"/>
        <w:jc w:val="center"/>
      </w:pPr>
      <w:r>
        <w:rPr>
          <w:rFonts w:ascii="Times New Roman" w:cs="Times New Roman" w:eastAsia="Times New Roman" w:hAnsi="Times New Roman"/>
          <w:b/>
          <w:bCs/>
          <w:caps/>
          <w:sz w:val="24"/>
          <w:szCs w:val="24"/>
        </w:rPr>
        <w:t xml:space="preserve">VIII. Industrial: Real-Time PQC</w:t>
      </w:r>
    </w:p>
    <w:p>
      <w:pPr>
        <w:pStyle w:val="Heading2"/>
        <w:spacing w:after="80" w:before="240"/>
      </w:pPr>
      <w:r>
        <w:rPr>
          <w:rFonts w:ascii="Times New Roman" w:cs="Times New Roman" w:eastAsia="Times New Roman" w:hAnsi="Times New Roman"/>
          <w:b/>
          <w:bCs/>
          <w:i/>
          <w:iCs/>
          <w:sz w:val="22"/>
          <w:szCs w:val="22"/>
        </w:rPr>
        <w:t xml:space="preserve">A. TESLA++ Broadcast Authentication</w:t>
      </w:r>
    </w:p>
    <w:p>
      <w:pPr>
        <w:spacing w:after="120"/>
        <w:ind w:firstLine="360"/>
        <w:jc w:val="both"/>
      </w:pPr>
      <w:r>
        <w:rPr>
          <w:rFonts w:ascii="Times New Roman" w:cs="Times New Roman" w:eastAsia="Times New Roman" w:hAnsi="Times New Roman"/>
          <w:sz w:val="20"/>
          <w:szCs w:val="20"/>
        </w:rPr>
        <w:t xml:space="preserve">IEC 61850 GOOSE and Sampled Values (SV) protocols require multicast authentication with microsecond-scale latency. We extend the TESLA protocol [12] with post-quantum primitives.</w:t>
      </w:r>
    </w:p>
    <w:p>
      <w:pPr>
        <w:spacing w:after="120"/>
        <w:ind/>
        <w:jc w:val="both"/>
      </w:pPr>
      <w:r>
        <w:rPr>
          <w:rFonts w:ascii="Times New Roman" w:cs="Times New Roman" w:eastAsia="Times New Roman" w:hAnsi="Times New Roman"/>
          <w:b/>
          <w:bCs/>
          <w:sz w:val="20"/>
          <w:szCs w:val="20"/>
        </w:rPr>
        <w:t xml:space="preserve">Hash Chain Construction: </w:t>
      </w:r>
      <w:r>
        <w:rPr>
          <w:rFonts w:ascii="Times New Roman" w:cs="Times New Roman" w:eastAsia="Times New Roman" w:hAnsi="Times New Roman"/>
          <w:sz w:val="20"/>
          <w:szCs w:val="20"/>
        </w:rPr>
        <w:t xml:space="preserve">A one-way chain is generated using SHAKE256:</w:t>
      </w:r>
    </w:p>
    <w:p>
      <w:pPr>
        <w:spacing w:after="120" w:before="120"/>
        <w:jc w:val="center"/>
      </w:pPr>
      <w:r>
        <w:rPr>
          <w:rFonts w:ascii="Times New Roman" w:cs="Times New Roman" w:eastAsia="Times New Roman" w:hAnsi="Times New Roman"/>
          <w:i/>
          <w:iCs/>
          <w:sz w:val="20"/>
          <w:szCs w:val="20"/>
        </w:rPr>
        <w:t xml:space="preserve">K₀ = SHAKE256(K₁), K_i = SHAKE256(K_{i+1}), i = n-1 ... 0</w:t>
      </w:r>
    </w:p>
    <w:p>
      <w:pPr>
        <w:spacing w:after="120"/>
        <w:ind w:firstLine="360"/>
        <w:jc w:val="both"/>
      </w:pPr>
      <w:r>
        <w:rPr>
          <w:rFonts w:ascii="Times New Roman" w:cs="Times New Roman" w:eastAsia="Times New Roman" w:hAnsi="Times New Roman"/>
          <w:sz w:val="20"/>
          <w:szCs w:val="20"/>
        </w:rPr>
        <w:t xml:space="preserve">where K_n is the secret seed and K₀ is the public anchor. The anchor is committed via ML-DSA-65 signature for non-repudiation.</w:t>
      </w:r>
    </w:p>
    <w:p>
      <w:pPr>
        <w:spacing w:after="120"/>
        <w:ind/>
        <w:jc w:val="both"/>
      </w:pPr>
      <w:r>
        <w:rPr>
          <w:rFonts w:ascii="Times New Roman" w:cs="Times New Roman" w:eastAsia="Times New Roman" w:hAnsi="Times New Roman"/>
          <w:b/>
          <w:bCs/>
          <w:sz w:val="20"/>
          <w:szCs w:val="20"/>
        </w:rPr>
        <w:t xml:space="preserve">Per-message authentication:</w:t>
      </w:r>
    </w:p>
    <w:p>
      <w:pPr>
        <w:spacing w:after="120" w:before="120"/>
        <w:jc w:val="center"/>
      </w:pPr>
      <w:r>
        <w:rPr>
          <w:rFonts w:ascii="Times New Roman" w:cs="Times New Roman" w:eastAsia="Times New Roman" w:hAnsi="Times New Roman"/>
          <w:i/>
          <w:iCs/>
          <w:sz w:val="20"/>
          <w:szCs w:val="20"/>
        </w:rPr>
        <w:t xml:space="preserve">MAC_i = HMAC-SHAKE256(K_j, j || payload)</w:t>
      </w:r>
    </w:p>
    <w:p>
      <w:pPr>
        <w:spacing w:after="80" w:before="200"/>
        <w:jc w:val="center"/>
      </w:pPr>
      <w:r>
        <w:rPr>
          <w:rFonts w:ascii="Times New Roman" w:cs="Times New Roman" w:eastAsia="Times New Roman" w:hAnsi="Times New Roman"/>
          <w:b/>
          <w:bCs/>
          <w:sz w:val="18"/>
          <w:szCs w:val="18"/>
        </w:rPr>
        <w:t xml:space="preserve">TABLE V: IEC 61850 Protocol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Protocol</w:t>
            </w:r>
          </w:p>
        </w:tc>
        <w:tc>
          <w:tcPr>
            <w:tcW w:type="dxa" w:w="1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Chain</w:t>
            </w:r>
          </w:p>
        </w:tc>
        <w:tc>
          <w:tcPr>
            <w:tcW w:type="dxa" w:w="1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Interval</w:t>
            </w:r>
          </w:p>
        </w:tc>
        <w:tc>
          <w:tcPr>
            <w:tcW w:type="dxa" w:w="1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MAC</w:t>
            </w:r>
          </w:p>
        </w:tc>
        <w:tc>
          <w:tcPr>
            <w:tcW w:type="dxa" w:w="1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Delay</w:t>
            </w:r>
          </w:p>
        </w:tc>
        <w:tc>
          <w:tcPr>
            <w:tcW w:type="dxa" w:w="1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Latency</w:t>
            </w:r>
          </w:p>
        </w:tc>
      </w:tr>
      <w:tr>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GOOSE</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10K</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 ms</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16 B</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&lt;200 µs</w:t>
            </w:r>
          </w:p>
        </w:tc>
      </w:tr>
      <w:tr>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SV (4kHz)</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100K</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250 µs</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 B</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&lt;50 µs</w:t>
            </w:r>
          </w:p>
        </w:tc>
      </w:tr>
      <w:tr>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MMS</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5K</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100 ms</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32 B</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&lt;1 ms</w:t>
            </w:r>
          </w:p>
        </w:tc>
      </w:tr>
    </w:tbl>
    <w:p>
      <w:pPr>
        <w:spacing w:after="120"/>
        <w:ind w:firstLine="360"/>
        <w:jc w:val="both"/>
      </w:pPr>
      <w:r>
        <w:rPr>
          <w:rFonts w:ascii="Times New Roman" w:cs="Times New Roman" w:eastAsia="Times New Roman" w:hAnsi="Times New Roman"/>
          <w:sz w:val="20"/>
          <w:szCs w:val="20"/>
        </w:rPr>
        <w:t xml:space="preserve">Checkpoints are stored every T/128 iterations for Wesolowski-style verification proofs (~256 bytes). Chain rotation is seamless: new chains overlap with old chains during pending key disclosures, with capacity warnings at &lt;100 keys remaining.</w:t>
      </w:r>
    </w:p>
    <w:p>
      <w:pPr>
        <w:pStyle w:val="Heading2"/>
        <w:spacing w:after="80" w:before="240"/>
      </w:pPr>
      <w:r>
        <w:rPr>
          <w:rFonts w:ascii="Times New Roman" w:cs="Times New Roman" w:eastAsia="Times New Roman" w:hAnsi="Times New Roman"/>
          <w:b/>
          <w:bCs/>
          <w:i/>
          <w:iCs/>
          <w:sz w:val="22"/>
          <w:szCs w:val="22"/>
        </w:rPr>
        <w:t xml:space="preserve">B. Verifiable Delay Functions for Safety-Critical Timing</w:t>
      </w:r>
    </w:p>
    <w:p>
      <w:pPr>
        <w:spacing w:after="120"/>
        <w:ind w:firstLine="360"/>
        <w:jc w:val="both"/>
      </w:pPr>
      <w:r>
        <w:rPr>
          <w:rFonts w:ascii="Times New Roman" w:cs="Times New Roman" w:eastAsia="Times New Roman" w:hAnsi="Times New Roman"/>
          <w:sz w:val="20"/>
          <w:szCs w:val="20"/>
        </w:rPr>
        <w:t xml:space="preserve">Safety-critical industrial systems require provable minimum delays for operations such as emergency shutdown cooldown, interlock release, and chemical hold periods. We construct a VDF based on iterated SHA3-256:</w:t>
      </w:r>
    </w:p>
    <w:p>
      <w:pPr>
        <w:spacing w:after="120" w:before="120"/>
        <w:jc w:val="center"/>
      </w:pPr>
      <w:r>
        <w:rPr>
          <w:rFonts w:ascii="Times New Roman" w:cs="Times New Roman" w:eastAsia="Times New Roman" w:hAnsi="Times New Roman"/>
          <w:i/>
          <w:iCs/>
          <w:sz w:val="20"/>
          <w:szCs w:val="20"/>
        </w:rPr>
        <w:t xml:space="preserve">h₀ = SHA3-256(input), h_i = SHA3-256(h_{i-1}), i = 1 ... T</w:t>
      </w:r>
    </w:p>
    <w:p>
      <w:pPr>
        <w:spacing w:after="80" w:before="200"/>
        <w:jc w:val="center"/>
      </w:pPr>
      <w:r>
        <w:rPr>
          <w:rFonts w:ascii="Times New Roman" w:cs="Times New Roman" w:eastAsia="Times New Roman" w:hAnsi="Times New Roman"/>
          <w:b/>
          <w:bCs/>
          <w:sz w:val="18"/>
          <w:szCs w:val="18"/>
        </w:rPr>
        <w:t xml:space="preserve">TABLE VI: Industrial Safety VDF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Use Case</w:t>
            </w:r>
          </w:p>
        </w:tc>
        <w:tc>
          <w:tcPr>
            <w:tcW w:type="dxa" w:w="20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Delay</w:t>
            </w:r>
          </w:p>
        </w:tc>
        <w:tc>
          <w:tcPr>
            <w:tcW w:type="dxa" w:w="20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Iterations</w:t>
            </w:r>
          </w:p>
        </w:tc>
        <w:tc>
          <w:tcPr>
            <w:tcW w:type="dxa" w:w="20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SIL</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ESD Cooldown</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30 s</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30M</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Interlock Release</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 s</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10M</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Chemical Hold</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60 s</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60M</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Pressure Equal.</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15 s</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15M</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w:t>
            </w:r>
          </w:p>
        </w:tc>
      </w:tr>
      <w:tr>
        <w:tc>
          <w:tcPr>
            <w:tcW w:type="dxa" w:w="31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Purge Cycle</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120 s</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120M</w:t>
            </w:r>
          </w:p>
        </w:tc>
        <w:tc>
          <w:tcPr>
            <w:tcW w:type="dxa" w:w="2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w:t>
            </w:r>
          </w:p>
        </w:tc>
      </w:tr>
    </w:tbl>
    <w:p>
      <w:pPr>
        <w:spacing w:after="120"/>
        <w:ind w:firstLine="360"/>
        <w:jc w:val="both"/>
      </w:pPr>
      <w:r>
        <w:rPr>
          <w:rFonts w:ascii="Times New Roman" w:cs="Times New Roman" w:eastAsia="Times New Roman" w:hAnsi="Times New Roman"/>
          <w:sz w:val="20"/>
          <w:szCs w:val="20"/>
        </w:rPr>
        <w:t xml:space="preserve">Each VDF output includes an attestation signed with ML-DSA-65 containing the equipment ID, operator ID, SIL level, and timing proof. Calibration adjusts iteration counts per hardware (typical rate: 1M–10M SHA3-256 hashes/sec) with 5% tolerance.</w:t>
      </w:r>
    </w:p>
    <w:p>
      <w:pPr>
        <w:pStyle w:val="Heading1"/>
        <w:spacing w:after="120" w:before="360"/>
        <w:jc w:val="center"/>
      </w:pPr>
      <w:r>
        <w:rPr>
          <w:rFonts w:ascii="Times New Roman" w:cs="Times New Roman" w:eastAsia="Times New Roman" w:hAnsi="Times New Roman"/>
          <w:b/>
          <w:bCs/>
          <w:caps/>
          <w:sz w:val="24"/>
          <w:szCs w:val="24"/>
        </w:rPr>
        <w:t xml:space="preserve">IX. Performance Evaluation</w:t>
      </w:r>
    </w:p>
    <w:p>
      <w:pPr>
        <w:pStyle w:val="Heading2"/>
        <w:spacing w:after="80" w:before="240"/>
      </w:pPr>
      <w:r>
        <w:rPr>
          <w:rFonts w:ascii="Times New Roman" w:cs="Times New Roman" w:eastAsia="Times New Roman" w:hAnsi="Times New Roman"/>
          <w:b/>
          <w:bCs/>
          <w:i/>
          <w:iCs/>
          <w:sz w:val="22"/>
          <w:szCs w:val="22"/>
        </w:rPr>
        <w:t xml:space="preserve">A. Algorithm Parameter Comparison</w:t>
      </w:r>
    </w:p>
    <w:p>
      <w:pPr>
        <w:spacing w:after="120"/>
        <w:ind w:firstLine="360"/>
        <w:jc w:val="both"/>
      </w:pPr>
      <w:r>
        <w:rPr>
          <w:rFonts w:ascii="Times New Roman" w:cs="Times New Roman" w:eastAsia="Times New Roman" w:hAnsi="Times New Roman"/>
          <w:sz w:val="20"/>
          <w:szCs w:val="20"/>
        </w:rPr>
        <w:t xml:space="preserve">Table VII summarizes key parameters across all 15 constructions.</w:t>
      </w:r>
    </w:p>
    <w:p>
      <w:pPr>
        <w:spacing w:after="80" w:before="200"/>
        <w:jc w:val="center"/>
      </w:pPr>
      <w:r>
        <w:rPr>
          <w:rFonts w:ascii="Times New Roman" w:cs="Times New Roman" w:eastAsia="Times New Roman" w:hAnsi="Times New Roman"/>
          <w:b/>
          <w:bCs/>
          <w:sz w:val="18"/>
          <w:szCs w:val="18"/>
        </w:rPr>
        <w:t xml:space="preserve">TABLE VII: Algorithm Parameters and Performance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440"/>
        <w:gridCol w:w="1440"/>
        <w:gridCol w:w="1320"/>
        <w:gridCol w:w="1320"/>
        <w:gridCol w:w="1320"/>
      </w:tblGrid>
      <w:tr>
        <w:tc>
          <w:tcPr>
            <w:tcW w:type="dxa" w:w="21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Construction</w:t>
            </w:r>
          </w:p>
        </w:tc>
        <w:tc>
          <w:tcPr>
            <w:tcW w:type="dxa" w:w="10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Domain</w:t>
            </w:r>
          </w:p>
        </w:tc>
        <w:tc>
          <w:tcPr>
            <w:tcW w:type="dxa" w:w="14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Key Size</w:t>
            </w:r>
          </w:p>
        </w:tc>
        <w:tc>
          <w:tcPr>
            <w:tcW w:type="dxa" w:w="14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Output</w:t>
            </w:r>
          </w:p>
        </w:tc>
        <w:tc>
          <w:tcPr>
            <w:tcW w:type="dxa" w:w="132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Latency</w:t>
            </w:r>
          </w:p>
        </w:tc>
        <w:tc>
          <w:tcPr>
            <w:tcW w:type="dxa" w:w="132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NIST Lvl</w:t>
            </w:r>
          </w:p>
        </w:tc>
        <w:tc>
          <w:tcPr>
            <w:tcW w:type="dxa" w:w="132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Throughput</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Crypto Agility</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Core</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N/A</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N/A</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&lt;1 ms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Policy</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28 algs</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QRS Engine</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Core</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N/A</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 B</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1–10 ms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N/A</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Portfolio</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Hybrid KEM</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Core</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1,216 B</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1,120 B</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 ms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L3</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~1K/s</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V2X Group Sig</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Auto</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1,024 B</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 KB</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&lt;1 ms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L3</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1K+/s</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Aggregate Sig</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Aviation</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Per-signer</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100–800 B</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&lt;50 ms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L3</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64 batch</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Fwd-Secure Ch.</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Aviation</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1,184 B</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 B</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&lt;100 ms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L3</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Per-epoch</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Multi-Auth</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Banking</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3,293 B</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128 B</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&lt;500 ms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L3</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Tier-dep.</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SWIFT PRE</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Banking</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1,184 B</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~ct size</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&lt;10 ms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L3</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 hops</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Regulatory ZKP</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Banking</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N/A</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64–4K B</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1–500 ms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PQ</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Per-proof</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EHR PRE</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Health</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1,184 B</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~ct size</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1–500 ms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L3</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Per-rec.</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Hom. Vitals</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Health</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2,048-bit</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ct/vital</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1–10 ms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~112</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Additive</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Verif. Creds</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Health</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3,293 B</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 B root</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&lt;10 ms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L3</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Per-claim</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Lightweight</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Health</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Profile</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Profile</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Varies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L1–L3</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Device</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TESLA++</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Indust.</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 B/key</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8–32 B</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&lt;50 µs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256-bit</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4K Hz</w:t>
            </w:r>
          </w:p>
        </w:tc>
      </w:tr>
      <w:tr>
        <w:tc>
          <w:tcPr>
            <w:tcW w:type="dxa" w:w="21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VDF Safety</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Indust.</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 B</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32 B+pf</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10–120 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256-bit</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Seq.</w:t>
            </w:r>
          </w:p>
        </w:tc>
      </w:tr>
    </w:tbl>
    <w:p>
      <w:pPr>
        <w:pStyle w:val="Heading2"/>
        <w:spacing w:after="80" w:before="240"/>
      </w:pPr>
      <w:r>
        <w:rPr>
          <w:rFonts w:ascii="Times New Roman" w:cs="Times New Roman" w:eastAsia="Times New Roman" w:hAnsi="Times New Roman"/>
          <w:b/>
          <w:bCs/>
          <w:i/>
          <w:iCs/>
          <w:sz w:val="22"/>
          <w:szCs w:val="22"/>
        </w:rPr>
        <w:t xml:space="preserve">B. Bandwidth Overhead Analysis</w:t>
      </w:r>
    </w:p>
    <w:p>
      <w:pPr>
        <w:spacing w:after="120"/>
        <w:ind w:firstLine="360"/>
        <w:jc w:val="both"/>
      </w:pPr>
      <w:r>
        <w:rPr>
          <w:rFonts w:ascii="Times New Roman" w:cs="Times New Roman" w:eastAsia="Times New Roman" w:hAnsi="Times New Roman"/>
          <w:sz w:val="20"/>
          <w:szCs w:val="20"/>
        </w:rPr>
        <w:t xml:space="preserve">For aviation channels, at 2.4 kbps (VHF ACARS), transmitting a single ML-DSA-65 signature (3,293 bytes) requires approximately 11 seconds. With aggregate signatures and 80% compression, effective per-message overhead drops to ~200 bytes (0.67 seconds), enabling practical PQC deployment on legacy ATC infrastructure.</w:t>
      </w:r>
    </w:p>
    <w:p>
      <w:pPr>
        <w:pStyle w:val="Heading2"/>
        <w:spacing w:after="80" w:before="240"/>
      </w:pPr>
      <w:r>
        <w:rPr>
          <w:rFonts w:ascii="Times New Roman" w:cs="Times New Roman" w:eastAsia="Times New Roman" w:hAnsi="Times New Roman"/>
          <w:b/>
          <w:bCs/>
          <w:i/>
          <w:iCs/>
          <w:sz w:val="22"/>
          <w:szCs w:val="22"/>
        </w:rPr>
        <w:t xml:space="preserve">C. Memory Footprint Analysis</w:t>
      </w:r>
    </w:p>
    <w:p>
      <w:pPr>
        <w:spacing w:after="120"/>
        <w:ind w:firstLine="360"/>
        <w:jc w:val="both"/>
      </w:pPr>
      <w:r>
        <w:rPr>
          <w:rFonts w:ascii="Times New Roman" w:cs="Times New Roman" w:eastAsia="Times New Roman" w:hAnsi="Times New Roman"/>
          <w:sz w:val="20"/>
          <w:szCs w:val="20"/>
        </w:rPr>
        <w:t xml:space="preserve">For constrained healthcare devices, Table IV demonstrates the feasibility boundary. Devices with &lt;32 KB RAM cannot support any standard PQC algorithm and must rely on pre-shared symmetric keys. At 32–64 KB, partial ML-KEM-512 is possible with pre-computation. Full PQC suite operation requires &gt;256 KB RAM, available on modern medical gateways but not implantable devices.</w:t>
      </w:r>
    </w:p>
    <w:p>
      <w:pPr>
        <w:pStyle w:val="Heading2"/>
        <w:spacing w:after="80" w:before="240"/>
      </w:pPr>
      <w:r>
        <w:rPr>
          <w:rFonts w:ascii="Times New Roman" w:cs="Times New Roman" w:eastAsia="Times New Roman" w:hAnsi="Times New Roman"/>
          <w:b/>
          <w:bCs/>
          <w:i/>
          <w:iCs/>
          <w:sz w:val="22"/>
          <w:szCs w:val="22"/>
        </w:rPr>
        <w:t xml:space="preserve">D. Latency Budget Analysis</w:t>
      </w:r>
    </w:p>
    <w:p>
      <w:pPr>
        <w:spacing w:after="120"/>
        <w:ind w:firstLine="360"/>
        <w:jc w:val="both"/>
      </w:pPr>
      <w:r>
        <w:rPr>
          <w:rFonts w:ascii="Times New Roman" w:cs="Times New Roman" w:eastAsia="Times New Roman" w:hAnsi="Times New Roman"/>
          <w:sz w:val="20"/>
          <w:szCs w:val="20"/>
        </w:rPr>
        <w:t xml:space="preserve">The most demanding latency constraint is IEC 61850 SV at 4,000 Hz, requiring per-sample intervals of 250 µs. Our TESLA++ implementation achieves &lt;50 µs MAC computation using 8-byte truncated HMAC-SHAKE256, leaving 200 µs for message processing and network transit—well within the IEC 62351-6 timing budget.</w:t>
      </w:r>
    </w:p>
    <w:p>
      <w:pPr>
        <w:pStyle w:val="Heading1"/>
        <w:spacing w:after="120" w:before="360"/>
        <w:jc w:val="center"/>
      </w:pPr>
      <w:r>
        <w:rPr>
          <w:rFonts w:ascii="Times New Roman" w:cs="Times New Roman" w:eastAsia="Times New Roman" w:hAnsi="Times New Roman"/>
          <w:b/>
          <w:bCs/>
          <w:caps/>
          <w:sz w:val="24"/>
          <w:szCs w:val="24"/>
        </w:rPr>
        <w:t xml:space="preserve">X. Security Analysis</w:t>
      </w:r>
    </w:p>
    <w:p>
      <w:pPr>
        <w:pStyle w:val="Heading2"/>
        <w:spacing w:after="80" w:before="240"/>
      </w:pPr>
      <w:r>
        <w:rPr>
          <w:rFonts w:ascii="Times New Roman" w:cs="Times New Roman" w:eastAsia="Times New Roman" w:hAnsi="Times New Roman"/>
          <w:b/>
          <w:bCs/>
          <w:i/>
          <w:iCs/>
          <w:sz w:val="22"/>
          <w:szCs w:val="22"/>
        </w:rPr>
        <w:t xml:space="preserve">A. Formal Security Properties</w:t>
      </w:r>
    </w:p>
    <w:p>
      <w:pPr>
        <w:spacing w:after="120"/>
        <w:ind w:firstLine="360"/>
        <w:jc w:val="both"/>
      </w:pPr>
      <w:r>
        <w:rPr>
          <w:rFonts w:ascii="Times New Roman" w:cs="Times New Roman" w:eastAsia="Times New Roman" w:hAnsi="Times New Roman"/>
          <w:sz w:val="20"/>
          <w:szCs w:val="20"/>
        </w:rPr>
        <w:t xml:space="preserve">Each construction inherits security from its underlying NIST-standardized primitive:</w:t>
      </w:r>
    </w:p>
    <w:p>
      <w:pPr>
        <w:pStyle w:val="ListParagraph"/>
        <w:numPr>
          <w:ilvl w:val="0"/>
          <w:numId w:val="2"/>
        </w:numPr>
        <w:spacing w:after="60"/>
      </w:pPr>
      <w:r>
        <w:rPr>
          <w:rFonts w:ascii="Times New Roman" w:cs="Times New Roman" w:eastAsia="Times New Roman" w:hAnsi="Times New Roman"/>
          <w:b/>
          <w:bCs/>
          <w:sz w:val="20"/>
          <w:szCs w:val="20"/>
        </w:rPr>
        <w:t xml:space="preserve">V2X Group Signatures: </w:t>
      </w:r>
      <w:r>
        <w:rPr>
          <w:rFonts w:ascii="Times New Roman" w:cs="Times New Roman" w:eastAsia="Times New Roman" w:hAnsi="Times New Roman"/>
          <w:sz w:val="20"/>
          <w:szCs w:val="20"/>
        </w:rPr>
        <w:t xml:space="preserve">CCA-anonymity under Module-LWE, traceability under Module-SIS, non-frameability under ML-DSA EUF-CMA security.</w:t>
      </w:r>
    </w:p>
    <w:p>
      <w:pPr>
        <w:pStyle w:val="ListParagraph"/>
        <w:numPr>
          <w:ilvl w:val="0"/>
          <w:numId w:val="2"/>
        </w:numPr>
        <w:spacing w:after="60"/>
      </w:pPr>
      <w:r>
        <w:rPr>
          <w:rFonts w:ascii="Times New Roman" w:cs="Times New Roman" w:eastAsia="Times New Roman" w:hAnsi="Times New Roman"/>
          <w:b/>
          <w:bCs/>
          <w:sz w:val="20"/>
          <w:szCs w:val="20"/>
        </w:rPr>
        <w:t xml:space="preserve">Aggregate Signatures: </w:t>
      </w:r>
      <w:r>
        <w:rPr>
          <w:rFonts w:ascii="Times New Roman" w:cs="Times New Roman" w:eastAsia="Times New Roman" w:hAnsi="Times New Roman"/>
          <w:sz w:val="20"/>
          <w:szCs w:val="20"/>
        </w:rPr>
        <w:t xml:space="preserve">Existential unforgeability reduces to ML-DSA EUF-CMA plus SHA3-256 collision resistance.</w:t>
      </w:r>
    </w:p>
    <w:p>
      <w:pPr>
        <w:pStyle w:val="ListParagraph"/>
        <w:numPr>
          <w:ilvl w:val="0"/>
          <w:numId w:val="2"/>
        </w:numPr>
        <w:spacing w:after="60"/>
      </w:pPr>
      <w:r>
        <w:rPr>
          <w:rFonts w:ascii="Times New Roman" w:cs="Times New Roman" w:eastAsia="Times New Roman" w:hAnsi="Times New Roman"/>
          <w:b/>
          <w:bCs/>
          <w:sz w:val="20"/>
          <w:szCs w:val="20"/>
        </w:rPr>
        <w:t xml:space="preserve">Forward-Secure Channels: </w:t>
      </w:r>
      <w:r>
        <w:rPr>
          <w:rFonts w:ascii="Times New Roman" w:cs="Times New Roman" w:eastAsia="Times New Roman" w:hAnsi="Times New Roman"/>
          <w:sz w:val="20"/>
          <w:szCs w:val="20"/>
        </w:rPr>
        <w:t xml:space="preserve">Forward secrecy from ephemeral ML-KEM IND-CCA2 security; key erasure prevents retrospective decryption.</w:t>
      </w:r>
    </w:p>
    <w:p>
      <w:pPr>
        <w:pStyle w:val="ListParagraph"/>
        <w:numPr>
          <w:ilvl w:val="0"/>
          <w:numId w:val="2"/>
        </w:numPr>
        <w:spacing w:after="60"/>
      </w:pPr>
      <w:r>
        <w:rPr>
          <w:rFonts w:ascii="Times New Roman" w:cs="Times New Roman" w:eastAsia="Times New Roman" w:hAnsi="Times New Roman"/>
          <w:b/>
          <w:bCs/>
          <w:sz w:val="20"/>
          <w:szCs w:val="20"/>
        </w:rPr>
        <w:t xml:space="preserve">Threshold Signatures: </w:t>
      </w:r>
      <w:r>
        <w:rPr>
          <w:rFonts w:ascii="Times New Roman" w:cs="Times New Roman" w:eastAsia="Times New Roman" w:hAnsi="Times New Roman"/>
          <w:sz w:val="20"/>
          <w:szCs w:val="20"/>
        </w:rPr>
        <w:t xml:space="preserve">Unforgeability requires t colluding authorities, reducing to ML-DSA EUF-CMA.</w:t>
      </w:r>
    </w:p>
    <w:p>
      <w:pPr>
        <w:pStyle w:val="ListParagraph"/>
        <w:numPr>
          <w:ilvl w:val="0"/>
          <w:numId w:val="2"/>
        </w:numPr>
        <w:spacing w:after="60"/>
      </w:pPr>
      <w:r>
        <w:rPr>
          <w:rFonts w:ascii="Times New Roman" w:cs="Times New Roman" w:eastAsia="Times New Roman" w:hAnsi="Times New Roman"/>
          <w:b/>
          <w:bCs/>
          <w:sz w:val="20"/>
          <w:szCs w:val="20"/>
        </w:rPr>
        <w:t xml:space="preserve">Proxy Re-Encryption: </w:t>
      </w:r>
      <w:r>
        <w:rPr>
          <w:rFonts w:ascii="Times New Roman" w:cs="Times New Roman" w:eastAsia="Times New Roman" w:hAnsi="Times New Roman"/>
          <w:sz w:val="20"/>
          <w:szCs w:val="20"/>
        </w:rPr>
        <w:t xml:space="preserve">IND-CPA under ML-KEM; re-encryption key unidirectional and non-transitive.</w:t>
      </w:r>
    </w:p>
    <w:p>
      <w:pPr>
        <w:pStyle w:val="ListParagraph"/>
        <w:numPr>
          <w:ilvl w:val="0"/>
          <w:numId w:val="2"/>
        </w:numPr>
        <w:spacing w:after="60"/>
      </w:pPr>
      <w:r>
        <w:rPr>
          <w:rFonts w:ascii="Times New Roman" w:cs="Times New Roman" w:eastAsia="Times New Roman" w:hAnsi="Times New Roman"/>
          <w:b/>
          <w:bCs/>
          <w:sz w:val="20"/>
          <w:szCs w:val="20"/>
        </w:rPr>
        <w:t xml:space="preserve">ZKP Engine: </w:t>
      </w:r>
      <w:r>
        <w:rPr>
          <w:rFonts w:ascii="Times New Roman" w:cs="Times New Roman" w:eastAsia="Times New Roman" w:hAnsi="Times New Roman"/>
          <w:sz w:val="20"/>
          <w:szCs w:val="20"/>
        </w:rPr>
        <w:t xml:space="preserve">Computational zero-knowledge under SHA3-256 preimage resistance; soundness from Fiat-Shamir in the random oracle model.</w:t>
      </w:r>
    </w:p>
    <w:p>
      <w:pPr>
        <w:pStyle w:val="ListParagraph"/>
        <w:numPr>
          <w:ilvl w:val="0"/>
          <w:numId w:val="2"/>
        </w:numPr>
        <w:spacing w:after="60"/>
      </w:pPr>
      <w:r>
        <w:rPr>
          <w:rFonts w:ascii="Times New Roman" w:cs="Times New Roman" w:eastAsia="Times New Roman" w:hAnsi="Times New Roman"/>
          <w:b/>
          <w:bCs/>
          <w:sz w:val="20"/>
          <w:szCs w:val="20"/>
        </w:rPr>
        <w:t xml:space="preserve">Homomorphic Vitals: </w:t>
      </w:r>
      <w:r>
        <w:rPr>
          <w:rFonts w:ascii="Times New Roman" w:cs="Times New Roman" w:eastAsia="Times New Roman" w:hAnsi="Times New Roman"/>
          <w:sz w:val="20"/>
          <w:szCs w:val="20"/>
        </w:rPr>
        <w:t xml:space="preserve">Semantic security under decisional composite residuosity extended with lattice noise for PQ resistance.</w:t>
      </w:r>
    </w:p>
    <w:p>
      <w:pPr>
        <w:pStyle w:val="ListParagraph"/>
        <w:numPr>
          <w:ilvl w:val="0"/>
          <w:numId w:val="2"/>
        </w:numPr>
        <w:spacing w:after="60"/>
      </w:pPr>
      <w:r>
        <w:rPr>
          <w:rFonts w:ascii="Times New Roman" w:cs="Times New Roman" w:eastAsia="Times New Roman" w:hAnsi="Times New Roman"/>
          <w:b/>
          <w:bCs/>
          <w:sz w:val="20"/>
          <w:szCs w:val="20"/>
        </w:rPr>
        <w:t xml:space="preserve">Verifiable Credentials: </w:t>
      </w:r>
      <w:r>
        <w:rPr>
          <w:rFonts w:ascii="Times New Roman" w:cs="Times New Roman" w:eastAsia="Times New Roman" w:hAnsi="Times New Roman"/>
          <w:sz w:val="20"/>
          <w:szCs w:val="20"/>
        </w:rPr>
        <w:t xml:space="preserve">Unforgeability from ML-DSA-65 EUF-CMA; selective disclosure from Merkle tree binding.</w:t>
      </w:r>
    </w:p>
    <w:p>
      <w:pPr>
        <w:pStyle w:val="ListParagraph"/>
        <w:numPr>
          <w:ilvl w:val="0"/>
          <w:numId w:val="2"/>
        </w:numPr>
        <w:spacing w:after="60"/>
      </w:pPr>
      <w:r>
        <w:rPr>
          <w:rFonts w:ascii="Times New Roman" w:cs="Times New Roman" w:eastAsia="Times New Roman" w:hAnsi="Times New Roman"/>
          <w:b/>
          <w:bCs/>
          <w:sz w:val="20"/>
          <w:szCs w:val="20"/>
        </w:rPr>
        <w:t xml:space="preserve">TESLA++: </w:t>
      </w:r>
      <w:r>
        <w:rPr>
          <w:rFonts w:ascii="Times New Roman" w:cs="Times New Roman" w:eastAsia="Times New Roman" w:hAnsi="Times New Roman"/>
          <w:sz w:val="20"/>
          <w:szCs w:val="20"/>
        </w:rPr>
        <w:t xml:space="preserve">Source authentication from one-way hash chain (SHAKE256 preimage resistance); timeliness from delayed key disclosure.</w:t>
      </w:r>
    </w:p>
    <w:p>
      <w:pPr>
        <w:pStyle w:val="ListParagraph"/>
        <w:numPr>
          <w:ilvl w:val="0"/>
          <w:numId w:val="2"/>
        </w:numPr>
        <w:spacing w:after="60"/>
      </w:pPr>
      <w:r>
        <w:rPr>
          <w:rFonts w:ascii="Times New Roman" w:cs="Times New Roman" w:eastAsia="Times New Roman" w:hAnsi="Times New Roman"/>
          <w:b/>
          <w:bCs/>
          <w:sz w:val="20"/>
          <w:szCs w:val="20"/>
        </w:rPr>
        <w:t xml:space="preserve">VDF: </w:t>
      </w:r>
      <w:r>
        <w:rPr>
          <w:rFonts w:ascii="Times New Roman" w:cs="Times New Roman" w:eastAsia="Times New Roman" w:hAnsi="Times New Roman"/>
          <w:sz w:val="20"/>
          <w:szCs w:val="20"/>
        </w:rPr>
        <w:t xml:space="preserve">Sequentiality from SHA3-256 non-parallelizability assumption; uniqueness from deterministic hashing.</w:t>
      </w:r>
    </w:p>
    <w:p>
      <w:pPr>
        <w:pStyle w:val="Heading2"/>
        <w:spacing w:after="80" w:before="240"/>
      </w:pPr>
      <w:r>
        <w:rPr>
          <w:rFonts w:ascii="Times New Roman" w:cs="Times New Roman" w:eastAsia="Times New Roman" w:hAnsi="Times New Roman"/>
          <w:b/>
          <w:bCs/>
          <w:i/>
          <w:iCs/>
          <w:sz w:val="22"/>
          <w:szCs w:val="22"/>
        </w:rPr>
        <w:t xml:space="preserve">B. Quantum Security Margins</w:t>
      </w:r>
    </w:p>
    <w:p>
      <w:pPr>
        <w:spacing w:after="120"/>
        <w:ind w:firstLine="360"/>
        <w:jc w:val="both"/>
      </w:pPr>
      <w:r>
        <w:rPr>
          <w:rFonts w:ascii="Times New Roman" w:cs="Times New Roman" w:eastAsia="Times New Roman" w:hAnsi="Times New Roman"/>
          <w:sz w:val="20"/>
          <w:szCs w:val="20"/>
        </w:rPr>
        <w:t xml:space="preserve">All signature-based constructions achieve NIST Level 3 (192-bit quantum security) via ML-DSA-65. Hash-based constructions (SHAKE256, SHA3-256) achieve 256-bit security against quantum generic attacks (Grover’s algorithm provides only quadratic speedup for preimage search, yielding 128-bit quantum security for 256-bit hashes). The hybrid KEM achieves Level 3 from the PQC component, with the classical component providing defense-in-depth.</w:t>
      </w:r>
    </w:p>
    <w:p>
      <w:pPr>
        <w:pStyle w:val="Heading2"/>
        <w:spacing w:after="80" w:before="240"/>
      </w:pPr>
      <w:r>
        <w:rPr>
          <w:rFonts w:ascii="Times New Roman" w:cs="Times New Roman" w:eastAsia="Times New Roman" w:hAnsi="Times New Roman"/>
          <w:b/>
          <w:bCs/>
          <w:i/>
          <w:iCs/>
          <w:sz w:val="22"/>
          <w:szCs w:val="22"/>
        </w:rPr>
        <w:t xml:space="preserve">C. Limitations</w:t>
      </w:r>
    </w:p>
    <w:p>
      <w:pPr>
        <w:pStyle w:val="ListParagraph"/>
        <w:numPr>
          <w:ilvl w:val="0"/>
          <w:numId w:val="2"/>
        </w:numPr>
        <w:spacing w:after="60"/>
      </w:pPr>
      <w:r>
        <w:rPr>
          <w:rFonts w:ascii="Times New Roman" w:cs="Times New Roman" w:eastAsia="Times New Roman" w:hAnsi="Times New Roman"/>
          <w:sz w:val="20"/>
          <w:szCs w:val="20"/>
        </w:rPr>
        <w:t xml:space="preserve">The homomorphic scheme supports only additive operations; multiplicative homomorphism (required for variance computation) requires additional rounds.</w:t>
      </w:r>
    </w:p>
    <w:p>
      <w:pPr>
        <w:pStyle w:val="ListParagraph"/>
        <w:numPr>
          <w:ilvl w:val="0"/>
          <w:numId w:val="2"/>
        </w:numPr>
        <w:spacing w:after="60"/>
      </w:pPr>
      <w:r>
        <w:rPr>
          <w:rFonts w:ascii="Times New Roman" w:cs="Times New Roman" w:eastAsia="Times New Roman" w:hAnsi="Times New Roman"/>
          <w:sz w:val="20"/>
          <w:szCs w:val="20"/>
        </w:rPr>
        <w:t xml:space="preserve">VDF sequentiality relies on the assumption that SHA3-256 iteration cannot be significantly parallelized; specialized hardware (ASICs) may reduce this margin.</w:t>
      </w:r>
    </w:p>
    <w:p>
      <w:pPr>
        <w:pStyle w:val="ListParagraph"/>
        <w:numPr>
          <w:ilvl w:val="0"/>
          <w:numId w:val="2"/>
        </w:numPr>
        <w:spacing w:after="60"/>
      </w:pPr>
      <w:r>
        <w:rPr>
          <w:rFonts w:ascii="Times New Roman" w:cs="Times New Roman" w:eastAsia="Times New Roman" w:hAnsi="Times New Roman"/>
          <w:sz w:val="20"/>
          <w:szCs w:val="20"/>
        </w:rPr>
        <w:t xml:space="preserve">Group signature size (~2 KB) exceeds classical ECDSA signatures by an order of magnitude; V2X bandwidth budgets must accommodate this.</w:t>
      </w:r>
    </w:p>
    <w:p>
      <w:pPr>
        <w:pStyle w:val="ListParagraph"/>
        <w:numPr>
          <w:ilvl w:val="0"/>
          <w:numId w:val="2"/>
        </w:numPr>
        <w:spacing w:after="60"/>
      </w:pPr>
      <w:r>
        <w:rPr>
          <w:rFonts w:ascii="Times New Roman" w:cs="Times New Roman" w:eastAsia="Times New Roman" w:hAnsi="Times New Roman"/>
          <w:sz w:val="20"/>
          <w:szCs w:val="20"/>
        </w:rPr>
        <w:t xml:space="preserve">Lightweight PQC for ultra-constrained devices (&lt;32 KB) relies on pre-shared keys, not achieving full PQC key establishment.</w:t>
      </w:r>
    </w:p>
    <w:p>
      <w:pPr>
        <w:pStyle w:val="Heading1"/>
        <w:spacing w:after="120" w:before="360"/>
        <w:jc w:val="center"/>
      </w:pPr>
      <w:r>
        <w:rPr>
          <w:rFonts w:ascii="Times New Roman" w:cs="Times New Roman" w:eastAsia="Times New Roman" w:hAnsi="Times New Roman"/>
          <w:b/>
          <w:bCs/>
          <w:caps/>
          <w:sz w:val="24"/>
          <w:szCs w:val="24"/>
        </w:rPr>
        <w:t xml:space="preserve">XI. Related Work</w:t>
      </w:r>
    </w:p>
    <w:p>
      <w:pPr>
        <w:spacing w:after="120"/>
        <w:ind/>
        <w:jc w:val="both"/>
      </w:pPr>
      <w:r>
        <w:rPr>
          <w:rFonts w:ascii="Times New Roman" w:cs="Times New Roman" w:eastAsia="Times New Roman" w:hAnsi="Times New Roman"/>
          <w:b/>
          <w:bCs/>
          <w:sz w:val="20"/>
          <w:szCs w:val="20"/>
        </w:rPr>
        <w:t xml:space="preserve">PQC Standardization. </w:t>
      </w:r>
      <w:r>
        <w:rPr>
          <w:rFonts w:ascii="Times New Roman" w:cs="Times New Roman" w:eastAsia="Times New Roman" w:hAnsi="Times New Roman"/>
          <w:sz w:val="20"/>
          <w:szCs w:val="20"/>
        </w:rPr>
        <w:t xml:space="preserve">NIST completed its PQC standardization process with the publication of FIPS 203, 204, and 205 in 2024 [2][3][4]. The CNSA 2.0 suite [13] mandates specific algorithms and transition timelines for national security systems.</w:t>
      </w:r>
    </w:p>
    <w:p>
      <w:pPr>
        <w:spacing w:after="120"/>
        <w:ind/>
        <w:jc w:val="both"/>
      </w:pPr>
      <w:r>
        <w:rPr>
          <w:rFonts w:ascii="Times New Roman" w:cs="Times New Roman" w:eastAsia="Times New Roman" w:hAnsi="Times New Roman"/>
          <w:b/>
          <w:bCs/>
          <w:sz w:val="20"/>
          <w:szCs w:val="20"/>
        </w:rPr>
        <w:t xml:space="preserve">Hybrid Schemes. </w:t>
      </w:r>
      <w:r>
        <w:rPr>
          <w:rFonts w:ascii="Times New Roman" w:cs="Times New Roman" w:eastAsia="Times New Roman" w:hAnsi="Times New Roman"/>
          <w:sz w:val="20"/>
          <w:szCs w:val="20"/>
        </w:rPr>
        <w:t xml:space="preserve">Hybrid classical-PQC key exchange has been deployed at scale by Cloudflare [14] and Google Chrome [15] using X25519-Kyber768. The IETF draft draft-ietf-tls-hybrid-design formalizes the approach.</w:t>
      </w:r>
    </w:p>
    <w:p>
      <w:pPr>
        <w:spacing w:after="120"/>
        <w:ind/>
        <w:jc w:val="both"/>
      </w:pPr>
      <w:r>
        <w:rPr>
          <w:rFonts w:ascii="Times New Roman" w:cs="Times New Roman" w:eastAsia="Times New Roman" w:hAnsi="Times New Roman"/>
          <w:b/>
          <w:bCs/>
          <w:sz w:val="20"/>
          <w:szCs w:val="20"/>
        </w:rPr>
        <w:t xml:space="preserve">V2X Security. </w:t>
      </w:r>
      <w:r>
        <w:rPr>
          <w:rFonts w:ascii="Times New Roman" w:cs="Times New Roman" w:eastAsia="Times New Roman" w:hAnsi="Times New Roman"/>
          <w:sz w:val="20"/>
          <w:szCs w:val="20"/>
        </w:rPr>
        <w:t xml:space="preserve">IEEE 1609.2 [9] and ETSI TS 103 097 define V2X security profiles using classical ECDSA. Post-quantum V2X has been explored in [16] but without group signature support.</w:t>
      </w:r>
    </w:p>
    <w:p>
      <w:pPr>
        <w:spacing w:after="120"/>
        <w:ind/>
        <w:jc w:val="both"/>
      </w:pPr>
      <w:r>
        <w:rPr>
          <w:rFonts w:ascii="Times New Roman" w:cs="Times New Roman" w:eastAsia="Times New Roman" w:hAnsi="Times New Roman"/>
          <w:b/>
          <w:bCs/>
          <w:sz w:val="20"/>
          <w:szCs w:val="20"/>
        </w:rPr>
        <w:t xml:space="preserve">Aviation Security. </w:t>
      </w:r>
      <w:r>
        <w:rPr>
          <w:rFonts w:ascii="Times New Roman" w:cs="Times New Roman" w:eastAsia="Times New Roman" w:hAnsi="Times New Roman"/>
          <w:sz w:val="20"/>
          <w:szCs w:val="20"/>
        </w:rPr>
        <w:t xml:space="preserve">ARINC 823 and ICAO Doc 9896 specify classical cryptographic protections for ATC datalinks. To our knowledge, no prior work has addressed PQC deployment on bandwidth-constrained ATC channels.</w:t>
      </w:r>
    </w:p>
    <w:p>
      <w:pPr>
        <w:spacing w:after="120"/>
        <w:ind/>
        <w:jc w:val="both"/>
      </w:pPr>
      <w:r>
        <w:rPr>
          <w:rFonts w:ascii="Times New Roman" w:cs="Times New Roman" w:eastAsia="Times New Roman" w:hAnsi="Times New Roman"/>
          <w:b/>
          <w:bCs/>
          <w:sz w:val="20"/>
          <w:szCs w:val="20"/>
        </w:rPr>
        <w:t xml:space="preserve">Healthcare Privacy. </w:t>
      </w:r>
      <w:r>
        <w:rPr>
          <w:rFonts w:ascii="Times New Roman" w:cs="Times New Roman" w:eastAsia="Times New Roman" w:hAnsi="Times New Roman"/>
          <w:sz w:val="20"/>
          <w:szCs w:val="20"/>
        </w:rPr>
        <w:t xml:space="preserve">Proxy re-encryption for healthcare was proposed in [17] using classical constructions. Homomorphic encryption for health analytics has been explored in [18] with fully homomorphic schemes, which remain impractical for real-time vitals.</w:t>
      </w:r>
    </w:p>
    <w:p>
      <w:pPr>
        <w:spacing w:after="120"/>
        <w:ind/>
        <w:jc w:val="both"/>
      </w:pPr>
      <w:r>
        <w:rPr>
          <w:rFonts w:ascii="Times New Roman" w:cs="Times New Roman" w:eastAsia="Times New Roman" w:hAnsi="Times New Roman"/>
          <w:b/>
          <w:bCs/>
          <w:sz w:val="20"/>
          <w:szCs w:val="20"/>
        </w:rPr>
        <w:t xml:space="preserve">Industrial SCADA Security. </w:t>
      </w:r>
      <w:r>
        <w:rPr>
          <w:rFonts w:ascii="Times New Roman" w:cs="Times New Roman" w:eastAsia="Times New Roman" w:hAnsi="Times New Roman"/>
          <w:sz w:val="20"/>
          <w:szCs w:val="20"/>
        </w:rPr>
        <w:t xml:space="preserve">TESLA for IEC 61850 was proposed in IEC 62351-6 [19]. Our TESLA++ extension replaces HMAC-SHA256 with HMAC-SHAKE256 and adds ML-DSA commitment signing for post-quantum resistance.</w:t>
      </w:r>
    </w:p>
    <w:p>
      <w:pPr>
        <w:spacing w:after="120"/>
        <w:ind/>
        <w:jc w:val="both"/>
      </w:pPr>
      <w:r>
        <w:rPr>
          <w:rFonts w:ascii="Times New Roman" w:cs="Times New Roman" w:eastAsia="Times New Roman" w:hAnsi="Times New Roman"/>
          <w:b/>
          <w:bCs/>
          <w:sz w:val="20"/>
          <w:szCs w:val="20"/>
        </w:rPr>
        <w:t xml:space="preserve">Verifiable Delay Functions. </w:t>
      </w:r>
      <w:r>
        <w:rPr>
          <w:rFonts w:ascii="Times New Roman" w:cs="Times New Roman" w:eastAsia="Times New Roman" w:hAnsi="Times New Roman"/>
          <w:sz w:val="20"/>
          <w:szCs w:val="20"/>
        </w:rPr>
        <w:t xml:space="preserve">VDFs were formalized by Boneh et al. [20]. Our construction specializes VDFs for safety-critical industrial timing using iterated SHA3-256 rather than algebraic constructions susceptible to quantum attacks.</w:t>
      </w:r>
    </w:p>
    <w:p>
      <w:pPr>
        <w:pStyle w:val="Heading1"/>
        <w:spacing w:after="120" w:before="360"/>
        <w:jc w:val="center"/>
      </w:pPr>
      <w:r>
        <w:rPr>
          <w:rFonts w:ascii="Times New Roman" w:cs="Times New Roman" w:eastAsia="Times New Roman" w:hAnsi="Times New Roman"/>
          <w:b/>
          <w:bCs/>
          <w:caps/>
          <w:sz w:val="24"/>
          <w:szCs w:val="24"/>
        </w:rPr>
        <w:t xml:space="preserve">XII. Conclusion and Future Work</w:t>
      </w:r>
    </w:p>
    <w:p>
      <w:pPr>
        <w:spacing w:after="120"/>
        <w:ind w:firstLine="360"/>
        <w:jc w:val="both"/>
      </w:pPr>
      <w:r>
        <w:rPr>
          <w:rFonts w:ascii="Times New Roman" w:cs="Times New Roman" w:eastAsia="Times New Roman" w:hAnsi="Times New Roman"/>
          <w:sz w:val="20"/>
          <w:szCs w:val="20"/>
        </w:rPr>
        <w:t xml:space="preserve">We have presented 15 domain-specific post-quantum cryptographic constructions addressing the unique requirements of automotive V2X, aviation ATC, banking compliance, healthcare privacy, and industrial SCADA systems. Our constructions build upon NIST-standardized primitives (ML-KEM, ML-DSA, SHA-3) while introducing domain-specific optimizations: group signatures for anonymous vehicle authentication, aggregate signatures for bandwidth-constrained channels, proxy re-encryption for privacy-preserving data transfer, homomorphic encryption for encrypted analytics, and TESLA++ for microsecond-scale broadcast authentication.</w:t>
      </w:r>
    </w:p>
    <w:p>
      <w:pPr>
        <w:spacing w:after="120"/>
        <w:ind w:firstLine="360"/>
        <w:jc w:val="both"/>
      </w:pPr>
      <w:r>
        <w:rPr>
          <w:rFonts w:ascii="Times New Roman" w:cs="Times New Roman" w:eastAsia="Times New Roman" w:hAnsi="Times New Roman"/>
          <w:sz w:val="20"/>
          <w:szCs w:val="20"/>
        </w:rPr>
        <w:t xml:space="preserve">Implementation results demonstrate practical feasibility: V2X batch verification exceeds 1,000 signatures per second, aviation aggregate signatures achieve 60–80% bandwidth reduction, and TESLA++ MAC computation meets the sub-50 µs requirement of IEC 61850 SV at 4,000 Hz.</w:t>
      </w:r>
    </w:p>
    <w:p>
      <w:pPr>
        <w:spacing w:after="120"/>
        <w:ind w:firstLine="360"/>
        <w:jc w:val="both"/>
      </w:pPr>
      <w:r>
        <w:rPr>
          <w:rFonts w:ascii="Times New Roman" w:cs="Times New Roman" w:eastAsia="Times New Roman" w:hAnsi="Times New Roman"/>
          <w:b/>
          <w:bCs/>
          <w:sz w:val="20"/>
          <w:szCs w:val="20"/>
        </w:rPr>
        <w:t xml:space="preserve">Future work </w:t>
      </w:r>
      <w:r>
        <w:rPr>
          <w:rFonts w:ascii="Times New Roman" w:cs="Times New Roman" w:eastAsia="Times New Roman" w:hAnsi="Times New Roman"/>
          <w:sz w:val="20"/>
          <w:szCs w:val="20"/>
        </w:rPr>
        <w:t xml:space="preserve">includes: (1) formal verification using automated theorem provers (e.g., CryptoVerif, EasyCrypt); (2) hardware acceleration via FPGA/ASIC implementations for latency-critical industrial deployments; (3) interoperability testing with existing V2X, ATC, SWIFT, and FHIR infrastructure; and (4) extension to fully homomorphic encryption for richer healthcare analytics.</w:t>
      </w:r>
    </w:p>
    <w:p>
      <w:pPr>
        <w:spacing w:after="120" w:before="360"/>
        <w:jc w:val="center"/>
      </w:pPr>
      <w:r>
        <w:rPr>
          <w:rFonts w:ascii="Times New Roman" w:cs="Times New Roman" w:eastAsia="Times New Roman" w:hAnsi="Times New Roman"/>
          <w:b/>
          <w:bCs/>
          <w:sz w:val="20"/>
          <w:szCs w:val="20"/>
        </w:rPr>
        <w:t xml:space="preserve">ACKNOWLEDGMENTS</w:t>
      </w:r>
    </w:p>
    <w:p>
      <w:pPr>
        <w:spacing w:after="120"/>
        <w:ind w:firstLine="360"/>
        <w:jc w:val="both"/>
      </w:pPr>
      <w:r>
        <w:rPr>
          <w:rFonts w:ascii="Times New Roman" w:cs="Times New Roman" w:eastAsia="Times New Roman" w:hAnsi="Times New Roman"/>
          <w:sz w:val="20"/>
          <w:szCs w:val="20"/>
        </w:rPr>
        <w:t xml:space="preserve">The authors thank the NIST PQC team for their standardization efforts and the open-source cryptography community for reference implementations.</w:t>
      </w:r>
    </w:p>
    <w:p>
      <w:pPr>
        <w:spacing w:after="120" w:before="360"/>
        <w:jc w:val="center"/>
      </w:pPr>
      <w:r>
        <w:rPr>
          <w:rFonts w:ascii="Times New Roman" w:cs="Times New Roman" w:eastAsia="Times New Roman" w:hAnsi="Times New Roman"/>
          <w:b/>
          <w:bCs/>
          <w:sz w:val="20"/>
          <w:szCs w:val="20"/>
        </w:rPr>
        <w:t xml:space="preserve">REFERENCES</w:t>
      </w:r>
    </w:p>
    <w:p>
      <w:pPr>
        <w:spacing w:after="40"/>
        <w:ind w:left="360" w:hanging="360"/>
      </w:pPr>
      <w:r>
        <w:rPr>
          <w:rFonts w:ascii="Times New Roman" w:cs="Times New Roman" w:eastAsia="Times New Roman" w:hAnsi="Times New Roman"/>
          <w:sz w:val="16"/>
          <w:szCs w:val="16"/>
        </w:rPr>
        <w:t xml:space="preserve">[1] P. W. Shor, “Polynomial-Time Algorithms for Prime Factorization and Discrete Logarithms on a Quantum Computer,” SIAM J. Comput., vol. 26, no. 5, pp. 1484–1509, 1997.</w:t>
      </w:r>
    </w:p>
    <w:p>
      <w:pPr>
        <w:spacing w:after="40"/>
        <w:ind w:left="360" w:hanging="360"/>
      </w:pPr>
      <w:r>
        <w:rPr>
          <w:rFonts w:ascii="Times New Roman" w:cs="Times New Roman" w:eastAsia="Times New Roman" w:hAnsi="Times New Roman"/>
          <w:sz w:val="16"/>
          <w:szCs w:val="16"/>
        </w:rPr>
        <w:t xml:space="preserve">[2] NIST, “Module-Lattice-Based Key-Encapsulation Mechanism Standard,” FIPS 203, 2024.</w:t>
      </w:r>
    </w:p>
    <w:p>
      <w:pPr>
        <w:spacing w:after="40"/>
        <w:ind w:left="360" w:hanging="360"/>
      </w:pPr>
      <w:r>
        <w:rPr>
          <w:rFonts w:ascii="Times New Roman" w:cs="Times New Roman" w:eastAsia="Times New Roman" w:hAnsi="Times New Roman"/>
          <w:sz w:val="16"/>
          <w:szCs w:val="16"/>
        </w:rPr>
        <w:t xml:space="preserve">[3] NIST, “Module-Lattice-Based Digital Signature Standard,” FIPS 204, 2024.</w:t>
      </w:r>
    </w:p>
    <w:p>
      <w:pPr>
        <w:spacing w:after="40"/>
        <w:ind w:left="360" w:hanging="360"/>
      </w:pPr>
      <w:r>
        <w:rPr>
          <w:rFonts w:ascii="Times New Roman" w:cs="Times New Roman" w:eastAsia="Times New Roman" w:hAnsi="Times New Roman"/>
          <w:sz w:val="16"/>
          <w:szCs w:val="16"/>
        </w:rPr>
        <w:t xml:space="preserve">[4] NIST, “Stateless Hash-Based Digital Signature Standard,” FIPS 205, 2024.</w:t>
      </w:r>
    </w:p>
    <w:p>
      <w:pPr>
        <w:spacing w:after="40"/>
        <w:ind w:left="360" w:hanging="360"/>
      </w:pPr>
      <w:r>
        <w:rPr>
          <w:rFonts w:ascii="Times New Roman" w:cs="Times New Roman" w:eastAsia="Times New Roman" w:hAnsi="Times New Roman"/>
          <w:sz w:val="16"/>
          <w:szCs w:val="16"/>
        </w:rPr>
        <w:t xml:space="preserve">[5] P.-A. Fouque et al., “Falcon: Fast-Fourier Lattice-based Compact Signatures over NTRU,” NIST PQC Round 3, 2020.</w:t>
      </w:r>
    </w:p>
    <w:p>
      <w:pPr>
        <w:spacing w:after="40"/>
        <w:ind w:left="360" w:hanging="360"/>
      </w:pPr>
      <w:r>
        <w:rPr>
          <w:rFonts w:ascii="Times New Roman" w:cs="Times New Roman" w:eastAsia="Times New Roman" w:hAnsi="Times New Roman"/>
          <w:sz w:val="16"/>
          <w:szCs w:val="16"/>
        </w:rPr>
        <w:t xml:space="preserve">[6] D. Cooper et al., “Recommendation for Stateful Hash-Based Signature Schemes,” NIST SP 800-208, 2020.</w:t>
      </w:r>
    </w:p>
    <w:p>
      <w:pPr>
        <w:spacing w:after="40"/>
        <w:ind w:left="360" w:hanging="360"/>
      </w:pPr>
      <w:r>
        <w:rPr>
          <w:rFonts w:ascii="Times New Roman" w:cs="Times New Roman" w:eastAsia="Times New Roman" w:hAnsi="Times New Roman"/>
          <w:sz w:val="16"/>
          <w:szCs w:val="16"/>
        </w:rPr>
        <w:t xml:space="preserve">[7] M. Mosca, “Cybersecurity in an Era with Quantum Computers: Will We Be Ready?” IEEE Security &amp; Privacy, vol. 16, no. 5, pp. 38–41, 2018.</w:t>
      </w:r>
    </w:p>
    <w:p>
      <w:pPr>
        <w:spacing w:after="40"/>
        <w:ind w:left="360" w:hanging="360"/>
      </w:pPr>
      <w:r>
        <w:rPr>
          <w:rFonts w:ascii="Times New Roman" w:cs="Times New Roman" w:eastAsia="Times New Roman" w:hAnsi="Times New Roman"/>
          <w:sz w:val="16"/>
          <w:szCs w:val="16"/>
        </w:rPr>
        <w:t xml:space="preserve">[8] H. Krawczyk and P. Eronen, “HMAC-based Extract-and-Expand Key Derivation Function (HKDF),” RFC 5869, 2010.</w:t>
      </w:r>
    </w:p>
    <w:p>
      <w:pPr>
        <w:spacing w:after="40"/>
        <w:ind w:left="360" w:hanging="360"/>
      </w:pPr>
      <w:r>
        <w:rPr>
          <w:rFonts w:ascii="Times New Roman" w:cs="Times New Roman" w:eastAsia="Times New Roman" w:hAnsi="Times New Roman"/>
          <w:sz w:val="16"/>
          <w:szCs w:val="16"/>
        </w:rPr>
        <w:t xml:space="preserve">[9] IEEE, “IEEE Standard for Wireless Access in Vehicular Environments – Security Services,” IEEE 1609.2, 2022.</w:t>
      </w:r>
    </w:p>
    <w:p>
      <w:pPr>
        <w:spacing w:after="40"/>
        <w:ind w:left="360" w:hanging="360"/>
      </w:pPr>
      <w:r>
        <w:rPr>
          <w:rFonts w:ascii="Times New Roman" w:cs="Times New Roman" w:eastAsia="Times New Roman" w:hAnsi="Times New Roman"/>
          <w:sz w:val="16"/>
          <w:szCs w:val="16"/>
        </w:rPr>
        <w:t xml:space="preserve">[10] T. Perrin and M. Marlinspike, “The Double Ratchet Algorithm,” Signal Protocol, 2016.</w:t>
      </w:r>
    </w:p>
    <w:p>
      <w:pPr>
        <w:spacing w:after="40"/>
        <w:ind w:left="360" w:hanging="360"/>
      </w:pPr>
      <w:r>
        <w:rPr>
          <w:rFonts w:ascii="Times New Roman" w:cs="Times New Roman" w:eastAsia="Times New Roman" w:hAnsi="Times New Roman"/>
          <w:sz w:val="16"/>
          <w:szCs w:val="16"/>
        </w:rPr>
        <w:t xml:space="preserve">[11] W3C, “Verifiable Credentials Data Model v2.0,” W3C Recommendation, 2024.</w:t>
      </w:r>
    </w:p>
    <w:p>
      <w:pPr>
        <w:spacing w:after="40"/>
        <w:ind w:left="360" w:hanging="360"/>
      </w:pPr>
      <w:r>
        <w:rPr>
          <w:rFonts w:ascii="Times New Roman" w:cs="Times New Roman" w:eastAsia="Times New Roman" w:hAnsi="Times New Roman"/>
          <w:sz w:val="16"/>
          <w:szCs w:val="16"/>
        </w:rPr>
        <w:t xml:space="preserve">[12] A. Perrig et al., “Efficient Authentication and Signing of Multicast Streams over Lossy Channels,” IEEE S&amp;P, pp. 56–73, 2000.</w:t>
      </w:r>
    </w:p>
    <w:p>
      <w:pPr>
        <w:spacing w:after="40"/>
        <w:ind w:left="360" w:hanging="360"/>
      </w:pPr>
      <w:r>
        <w:rPr>
          <w:rFonts w:ascii="Times New Roman" w:cs="Times New Roman" w:eastAsia="Times New Roman" w:hAnsi="Times New Roman"/>
          <w:sz w:val="16"/>
          <w:szCs w:val="16"/>
        </w:rPr>
        <w:t xml:space="preserve">[13] NSA, “Commercial National Security Algorithm Suite 2.0,” 2022.</w:t>
      </w:r>
    </w:p>
    <w:p>
      <w:pPr>
        <w:spacing w:after="40"/>
        <w:ind w:left="360" w:hanging="360"/>
      </w:pPr>
      <w:r>
        <w:rPr>
          <w:rFonts w:ascii="Times New Roman" w:cs="Times New Roman" w:eastAsia="Times New Roman" w:hAnsi="Times New Roman"/>
          <w:sz w:val="16"/>
          <w:szCs w:val="16"/>
        </w:rPr>
        <w:t xml:space="preserve">[14] B. Westerbaan and C. D. Rubin, “Post-Quantum Key Agreement for TLS,” Cloudflare Blog, 2024.</w:t>
      </w:r>
    </w:p>
    <w:p>
      <w:pPr>
        <w:spacing w:after="40"/>
        <w:ind w:left="360" w:hanging="360"/>
      </w:pPr>
      <w:r>
        <w:rPr>
          <w:rFonts w:ascii="Times New Roman" w:cs="Times New Roman" w:eastAsia="Times New Roman" w:hAnsi="Times New Roman"/>
          <w:sz w:val="16"/>
          <w:szCs w:val="16"/>
        </w:rPr>
        <w:t xml:space="preserve">[15] D. O’Brien, “Protecting Chrome Traffic with Hybrid Kyber KEM,” Google Security Blog, 2024.</w:t>
      </w:r>
    </w:p>
    <w:p>
      <w:pPr>
        <w:spacing w:after="40"/>
        <w:ind w:left="360" w:hanging="360"/>
      </w:pPr>
      <w:r>
        <w:rPr>
          <w:rFonts w:ascii="Times New Roman" w:cs="Times New Roman" w:eastAsia="Times New Roman" w:hAnsi="Times New Roman"/>
          <w:sz w:val="16"/>
          <w:szCs w:val="16"/>
        </w:rPr>
        <w:t xml:space="preserve">[16] G. Twardokus et al., “Towards Post-Quantum Security for Vehicle-to-Everything Communication,” IEEE Commun. Surveys Tuts., 2024.</w:t>
      </w:r>
    </w:p>
    <w:p>
      <w:pPr>
        <w:spacing w:after="40"/>
        <w:ind w:left="360" w:hanging="360"/>
      </w:pPr>
      <w:r>
        <w:rPr>
          <w:rFonts w:ascii="Times New Roman" w:cs="Times New Roman" w:eastAsia="Times New Roman" w:hAnsi="Times New Roman"/>
          <w:sz w:val="16"/>
          <w:szCs w:val="16"/>
        </w:rPr>
        <w:t xml:space="preserve">[17] G. Ateniese et al., “Improved Proxy Re-Encryption Schemes with Applications to Secure Distributed Storage,” NDSS, 2006.</w:t>
      </w:r>
    </w:p>
    <w:p>
      <w:pPr>
        <w:spacing w:after="40"/>
        <w:ind w:left="360" w:hanging="360"/>
      </w:pPr>
      <w:r>
        <w:rPr>
          <w:rFonts w:ascii="Times New Roman" w:cs="Times New Roman" w:eastAsia="Times New Roman" w:hAnsi="Times New Roman"/>
          <w:sz w:val="16"/>
          <w:szCs w:val="16"/>
        </w:rPr>
        <w:t xml:space="preserve">[18] M. Kim et al., “Secure Logistic Regression Based on Homomorphic Encryption,” JMIR Med. Inform., vol. 6, no. 2, 2018.</w:t>
      </w:r>
    </w:p>
    <w:p>
      <w:pPr>
        <w:spacing w:after="40"/>
        <w:ind w:left="360" w:hanging="360"/>
      </w:pPr>
      <w:r>
        <w:rPr>
          <w:rFonts w:ascii="Times New Roman" w:cs="Times New Roman" w:eastAsia="Times New Roman" w:hAnsi="Times New Roman"/>
          <w:sz w:val="16"/>
          <w:szCs w:val="16"/>
        </w:rPr>
        <w:t xml:space="preserve">[19] IEC, “Power systems management – Data and communications security for IEC 61850,” IEC 62351-6, 2020.</w:t>
      </w:r>
    </w:p>
    <w:p>
      <w:pPr>
        <w:spacing w:after="40"/>
        <w:ind w:left="360" w:hanging="360"/>
      </w:pPr>
      <w:r>
        <w:rPr>
          <w:rFonts w:ascii="Times New Roman" w:cs="Times New Roman" w:eastAsia="Times New Roman" w:hAnsi="Times New Roman"/>
          <w:sz w:val="16"/>
          <w:szCs w:val="16"/>
        </w:rPr>
        <w:t xml:space="preserve">[20] D. Boneh et al., “Verifiable Delay Functions,” CRYPTO 2018, LNCS 10991, pp. 757–788, 2018.</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6"/>
        <w:szCs w:val="16"/>
      </w:rPr>
      <w:t xml:space="preserve">IEEE Conference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4"/>
      <w:numFmt w:val="decimal"/>
      <w:lvlText w:val="%1."/>
      <w:lvlJc w:val="left"/>
      <w:pPr>
        <w:ind w:left="720" w:hanging="360"/>
      </w:pPr>
    </w:lvl>
  </w:abstractNum>
  <w:abstractNum w:abstractNumId="5" w15:restartNumberingAfterBreak="0">
    <w:multiLevelType w:val="hybridMultilevel"/>
    <w:lvl w:ilvl="0" w15:tentative="1">
      <w:start w:val="15"/>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4"/>
    </w:lvlOverride>
  </w:num>
  <w:num w:numId="5">
    <w:abstractNumId w:val="5"/>
    <w:lvlOverride w:ilvl="0">
      <w:startOverride w:val="15"/>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2026-03-16T08:59:09.937Z</dcterms:created>
  <dcterms:modified xsi:type="dcterms:W3CDTF">2026-03-16T08:59:09.938Z</dcterms:modified>
</cp:coreProperties>
</file>

<file path=docProps/custom.xml><?xml version="1.0" encoding="utf-8"?>
<Properties xmlns="http://schemas.openxmlformats.org/officeDocument/2006/custom-properties" xmlns:vt="http://schemas.openxmlformats.org/officeDocument/2006/docPropsVTypes"/>
</file>