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Post-Quantum Crypto Agility Framework:</w:t>
      </w:r>
      <w:r>
        <w:br/>
      </w:r>
      <w:r>
        <w:t xml:space="preserve">Runtime Algorithm Negotiation, Quantum Threat Scoring, and Hybrid Key Exchange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 imminent arrival of cryptographically relevant quantum computers (CRQCs)</w:t>
      </w:r>
      <w:r>
        <w:t xml:space="preserve"> </w:t>
      </w:r>
      <w:r>
        <w:t xml:space="preserve">demands that deployed systems migrate away from RSA and elliptic-curve</w:t>
      </w:r>
      <w:r>
        <w:t xml:space="preserve"> </w:t>
      </w:r>
      <w:r>
        <w:t xml:space="preserve">cryptography toward post-quantum alternatives standardized by NIST.</w:t>
      </w:r>
      <w:r>
        <w:t xml:space="preserve"> </w:t>
      </w:r>
      <w:r>
        <w:t xml:space="preserve">However, enterprise environments encompass thousands of heterogeneous</w:t>
      </w:r>
      <w:r>
        <w:t xml:space="preserve"> </w:t>
      </w:r>
      <w:r>
        <w:t xml:space="preserve">cryptographic assets whose simultaneous migration is infeasible, creating</w:t>
      </w:r>
      <w:r>
        <w:t xml:space="preserve"> </w:t>
      </w:r>
      <w:r>
        <w:t xml:space="preserve">a protracted transition period during which classical, hybrid, and</w:t>
      </w:r>
      <w:r>
        <w:t xml:space="preserve"> </w:t>
      </w:r>
      <w:r>
        <w:t xml:space="preserve">post-quantum algorithms must coexist. We present</w:t>
      </w:r>
      <w:r>
        <w:t xml:space="preserve"> </w:t>
      </w:r>
      <w:r>
        <w:rPr>
          <w:smallCaps/>
        </w:rPr>
        <w:t xml:space="preserve">QBridge</w:t>
      </w:r>
      <w:r>
        <w:t xml:space="preserve">, an integrated</w:t>
      </w:r>
      <w:r>
        <w:t xml:space="preserve"> </w:t>
      </w:r>
      <w:r>
        <w:t xml:space="preserve">framework addressing three critical facets of this transition.</w:t>
      </w:r>
      <w:r>
        <w:t xml:space="preserve"> </w:t>
      </w:r>
      <w:r>
        <w:t xml:space="preserve">First, we introduce a</w:t>
      </w:r>
      <w:r>
        <w:t xml:space="preserve"> </w:t>
      </w:r>
      <w:r>
        <w:rPr>
          <w:i/>
          <w:iCs/>
        </w:rPr>
        <w:t xml:space="preserve">Crypto Agility Negotiation Protocol</w:t>
      </w:r>
      <w:r>
        <w:t xml:space="preserve"> </w:t>
      </w:r>
      <w:r>
        <w:t xml:space="preserve">that</w:t>
      </w:r>
      <w:r>
        <w:t xml:space="preserve"> </w:t>
      </w:r>
      <w:r>
        <w:t xml:space="preserve">enables runtime algorithm selection between peers through capability</w:t>
      </w:r>
      <w:r>
        <w:t xml:space="preserve"> </w:t>
      </w:r>
      <w:r>
        <w:t xml:space="preserve">advertisement, policy-constrained intersection, and zero-downtime</w:t>
      </w:r>
      <w:r>
        <w:t xml:space="preserve"> </w:t>
      </w:r>
      <w:r>
        <w:t xml:space="preserve">rotation when algorithms are deprecated or compromised. The protocol</w:t>
      </w:r>
      <w:r>
        <w:t xml:space="preserve"> </w:t>
      </w:r>
      <w:r>
        <w:t xml:space="preserve">supports 28 algorithms across six families governed by four organizational</w:t>
      </w:r>
      <w:r>
        <w:t xml:space="preserve"> </w:t>
      </w:r>
      <w:r>
        <w:t xml:space="preserve">policies aligned with NIST SP 800-227, CNSA 2.0, and ETSI TS 103 744.</w:t>
      </w:r>
      <w:r>
        <w:t xml:space="preserve"> </w:t>
      </w:r>
      <w:r>
        <w:t xml:space="preserve">Second, we describe a</w:t>
      </w:r>
      <w:r>
        <w:t xml:space="preserve"> </w:t>
      </w:r>
      <w:r>
        <w:rPr>
          <w:i/>
          <w:iCs/>
        </w:rPr>
        <w:t xml:space="preserve">Quantum Threat Scoring Engine</w:t>
      </w:r>
      <w:r>
        <w:t xml:space="preserve"> </w:t>
      </w:r>
      <w:r>
        <w:t xml:space="preserve">that computes</w:t>
      </w:r>
      <w:r>
        <w:t xml:space="preserve"> </w:t>
      </w:r>
      <w:r>
        <w:t xml:space="preserve">a composite Quantum Risk Score (QRS)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 </w:t>
      </w:r>
      <w:r>
        <w:t xml:space="preserve">by weighting five</w:t>
      </w:r>
      <w:r>
        <w:t xml:space="preserve"> </w:t>
      </w:r>
      <w:r>
        <w:t xml:space="preserve">factors—algorithm vulnerability, time-horizon risk via Mosca’s</w:t>
      </w:r>
      <w:r>
        <w:t xml:space="preserve"> </w:t>
      </w:r>
      <w:r>
        <w:t xml:space="preserve">inequality, data sensitivity, migration gap, and exposure surface—to</w:t>
      </w:r>
      <w:r>
        <w:t xml:space="preserve"> </w:t>
      </w:r>
      <w:r>
        <w:t xml:space="preserve">prioritize migration across an entire cryptographic asset portfolio.</w:t>
      </w:r>
      <w:r>
        <w:t xml:space="preserve"> </w:t>
      </w:r>
      <w:r>
        <w:t xml:space="preserve">Third, we specify three</w:t>
      </w:r>
      <w:r>
        <w:t xml:space="preserve"> </w:t>
      </w:r>
      <w:r>
        <w:rPr>
          <w:i/>
          <w:iCs/>
        </w:rPr>
        <w:t xml:space="preserve">Hybrid Key Exchange</w:t>
      </w:r>
      <w:r>
        <w:t xml:space="preserve"> </w:t>
      </w:r>
      <w:r>
        <w:t xml:space="preserve">constructions</w:t>
      </w:r>
      <w:r>
        <w:t xml:space="preserve"> </w:t>
      </w:r>
      <w:r>
        <w:t xml:space="preserve">(X25519-ML-KEM,</w:t>
      </w:r>
      <w:r>
        <w:t xml:space="preserve"> </w:t>
      </w:r>
      <w:r>
        <w:t xml:space="preserve">P384-ML-KEM,</w:t>
      </w:r>
      <w:r>
        <w:t xml:space="preserve"> </w:t>
      </w:r>
      <w:r>
        <w:t xml:space="preserve">X25519-ML-KEM) that combine</w:t>
      </w:r>
      <w:r>
        <w:t xml:space="preserve"> </w:t>
      </w:r>
      <w:r>
        <w:t xml:space="preserve">classical ECDH with Module-LWE-based key encapsulation, deriving the</w:t>
      </w:r>
      <w:r>
        <w:t xml:space="preserve"> </w:t>
      </w:r>
      <w:r>
        <w:t xml:space="preserve">shared secret through HKDF-SHA256 with domain separation, suitable for</w:t>
      </w:r>
      <w:r>
        <w:t xml:space="preserve"> </w:t>
      </w:r>
      <w:r>
        <w:t xml:space="preserve">TLS 1.3 integration. We evaluate</w:t>
      </w:r>
      <w:r>
        <w:t xml:space="preserve"> </w:t>
      </w:r>
      <w:r>
        <w:rPr>
          <w:smallCaps/>
        </w:rPr>
        <w:t xml:space="preserve">QBridge</w:t>
      </w:r>
      <w:r>
        <w:t xml:space="preserve"> </w:t>
      </w:r>
      <w:r>
        <w:t xml:space="preserve">on realistic workloads,</w:t>
      </w:r>
      <w:r>
        <w:t xml:space="preserve"> </w:t>
      </w:r>
      <w:r>
        <w:t xml:space="preserve">demonstrating negotiation latency under 2 ms, scoring throughput</w:t>
      </w:r>
      <w:r>
        <w:t xml:space="preserve"> </w:t>
      </w:r>
      <w:r>
        <w:t xml:space="preserve">exceeding 50 000 assets per second, and hybrid KEM overhead within</w:t>
      </w:r>
      <w:r>
        <w:t xml:space="preserve"> </w:t>
      </w:r>
      <w:r>
        <w:t xml:space="preserve">15% of standalone ML-KEM, making the framework practical for</w:t>
      </w:r>
      <w:r>
        <w:t xml:space="preserve"> </w:t>
      </w:r>
      <w:r>
        <w:t xml:space="preserve">large-scale deployment.</w:t>
      </w:r>
    </w:p>
    <w:p>
      <w:pPr>
        <w:pStyle w:val="FirstParagraph"/>
      </w:pPr>
      <w:r>
        <w:t xml:space="preserve">post-quantum cryptography, crypto agility, hybrid key exchange,</w:t>
      </w:r>
      <w:r>
        <w:t xml:space="preserve"> </w:t>
      </w:r>
      <w:r>
        <w:t xml:space="preserve">ML-KEM, quantum risk assessment, TLS 1.3, NIST PQC standards</w:t>
      </w:r>
    </w:p>
    <w:bookmarkStart w:id="1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Shor’s algorithm </w:t>
      </w:r>
      <w:r>
        <w:t xml:space="preserve">(Shor 1997)</w:t>
      </w:r>
      <w:r>
        <w:t xml:space="preserve"> </w:t>
      </w:r>
      <w:r>
        <w:t xml:space="preserve">renders RSA, finite-field</w:t>
      </w:r>
      <w:r>
        <w:t xml:space="preserve"> </w:t>
      </w:r>
      <w:r>
        <w:t xml:space="preserve">Diffie–Hellman, and elliptic-curve cryptography insecure against a</w:t>
      </w:r>
      <w:r>
        <w:t xml:space="preserve"> </w:t>
      </w:r>
      <w:r>
        <w:t xml:space="preserve">sufficiently large quantum computer. Although the exact timeline for a</w:t>
      </w:r>
      <w:r>
        <w:t xml:space="preserve"> </w:t>
      </w:r>
      <w:r>
        <w:t xml:space="preserve">cryptographically relevant quantum computer (CRQC) remains uncertain,</w:t>
      </w:r>
      <w:r>
        <w:t xml:space="preserve"> </w:t>
      </w:r>
      <w:r>
        <w:t xml:space="preserve">conservative estimates place this event within the 2030–2040</w:t>
      </w:r>
      <w:r>
        <w:t xml:space="preserve"> </w:t>
      </w:r>
      <w:r>
        <w:t xml:space="preserve">window </w:t>
      </w:r>
      <w:r>
        <w:t xml:space="preserve">(Mosca 2018)</w:t>
      </w:r>
      <w:r>
        <w:t xml:space="preserve">. The</w:t>
      </w:r>
      <w:r>
        <w:t xml:space="preserve"> </w:t>
      </w:r>
      <w:r>
        <w:rPr>
          <w:i/>
          <w:iCs/>
        </w:rPr>
        <w:t xml:space="preserve">harvest-now, decrypt-later</w:t>
      </w:r>
      <w:r>
        <w:t xml:space="preserve"> </w:t>
      </w:r>
      <w:r>
        <w:t xml:space="preserve">(HNDL)</w:t>
      </w:r>
      <w:r>
        <w:t xml:space="preserve"> </w:t>
      </w:r>
      <w:r>
        <w:t xml:space="preserve">threat model makes the situation more acute: adversaries can record</w:t>
      </w:r>
      <w:r>
        <w:t xml:space="preserve"> </w:t>
      </w:r>
      <w:r>
        <w:t xml:space="preserve">ciphertexts today and decrypt them once a CRQC becomes</w:t>
      </w:r>
      <w:r>
        <w:t xml:space="preserve"> </w:t>
      </w:r>
      <w:r>
        <w:t xml:space="preserve">available </w:t>
      </w:r>
      <w:r>
        <w:t xml:space="preserve">(Mavroeidis et al. 2018)</w:t>
      </w:r>
      <w:r>
        <w:t xml:space="preserve">. For data with long confidentiality</w:t>
      </w:r>
      <w:r>
        <w:t xml:space="preserve"> </w:t>
      </w:r>
      <w:r>
        <w:t xml:space="preserve">requirements—financial records, medical data, classified</w:t>
      </w:r>
      <w:r>
        <w:t xml:space="preserve"> </w:t>
      </w:r>
      <w:r>
        <w:t xml:space="preserve">communications—migration to quantum-resistant algorithms must begin</w:t>
      </w:r>
      <w:r>
        <w:t xml:space="preserve"> </w:t>
      </w:r>
      <w:r>
        <w:rPr>
          <w:i/>
          <w:iCs/>
        </w:rPr>
        <w:t xml:space="preserve">now</w:t>
      </w:r>
      <w:r>
        <w:t xml:space="preserve">.</w:t>
      </w:r>
    </w:p>
    <w:p>
      <w:pPr>
        <w:pStyle w:val="BodyText"/>
      </w:pPr>
      <w:r>
        <w:t xml:space="preserve">NIST finalized its first post-quantum standards in 2024: FIPS 203</w:t>
      </w:r>
      <w:r>
        <w:t xml:space="preserve"> </w:t>
      </w:r>
      <w:r>
        <w:t xml:space="preserve">(</w:t>
      </w:r>
      <w:r>
        <w:t xml:space="preserve">ML-KEM</w:t>
      </w:r>
      <w:r>
        <w:t xml:space="preserve">) </w:t>
      </w:r>
      <w:r>
        <w:t xml:space="preserve">(National Institute of Standards and Technology 2024b)</w:t>
      </w:r>
      <w:r>
        <w:t xml:space="preserve"> </w:t>
      </w:r>
      <w:r>
        <w:t xml:space="preserve">for key encapsulation, FIPS 204</w:t>
      </w:r>
      <w:r>
        <w:t xml:space="preserve"> </w:t>
      </w:r>
      <w:r>
        <w:t xml:space="preserve">(</w:t>
      </w:r>
      <w:r>
        <w:t xml:space="preserve">ML-DSA</w:t>
      </w:r>
      <w:r>
        <w:t xml:space="preserve">) </w:t>
      </w:r>
      <w:r>
        <w:t xml:space="preserve">(National Institute of Standards and Technology 2024a)</w:t>
      </w:r>
      <w:r>
        <w:t xml:space="preserve"> </w:t>
      </w:r>
      <w:r>
        <w:t xml:space="preserve">for digital signatures, and FIPS 205</w:t>
      </w:r>
      <w:r>
        <w:t xml:space="preserve"> </w:t>
      </w:r>
      <w:r>
        <w:t xml:space="preserve">(</w:t>
      </w:r>
      <w:r>
        <w:t xml:space="preserve">SLH-DSA</w:t>
      </w:r>
      <w:r>
        <w:t xml:space="preserve">) </w:t>
      </w:r>
      <w:r>
        <w:t xml:space="preserve">(National Institute of Standards and Technology 2024c)</w:t>
      </w:r>
      <w:r>
        <w:t xml:space="preserve"> </w:t>
      </w:r>
      <w:r>
        <w:t xml:space="preserve">for stateless hash-based signatures.</w:t>
      </w:r>
      <w:r>
        <w:t xml:space="preserve"> </w:t>
      </w:r>
      <w:r>
        <w:t xml:space="preserve">Supplementary guidance in SP 800-227 </w:t>
      </w:r>
      <w:r>
        <w:t xml:space="preserve">(National Institute of Standards and Technology 2025)</w:t>
      </w:r>
      <w:r>
        <w:t xml:space="preserve"> </w:t>
      </w:r>
      <w:r>
        <w:t xml:space="preserve">provides a</w:t>
      </w:r>
      <w:r>
        <w:t xml:space="preserve"> </w:t>
      </w:r>
      <w:r>
        <w:t xml:space="preserve">migration roadmap, while the NSA’s CNSA 2.0 suite </w:t>
      </w:r>
      <w:r>
        <w:t xml:space="preserve">(National Security Agency 2022)</w:t>
      </w:r>
      <w:r>
        <w:t xml:space="preserve"> </w:t>
      </w:r>
      <w:r>
        <w:t xml:space="preserve">imposes</w:t>
      </w:r>
      <w:r>
        <w:t xml:space="preserve"> </w:t>
      </w:r>
      <w:r>
        <w:t xml:space="preserve">stricter timelines for national security systems. Despite these</w:t>
      </w:r>
      <w:r>
        <w:t xml:space="preserve"> </w:t>
      </w:r>
      <w:r>
        <w:t xml:space="preserve">standards, the practical challenge of migrating a large enterprise from</w:t>
      </w:r>
      <w:r>
        <w:t xml:space="preserve"> </w:t>
      </w:r>
      <w:r>
        <w:t xml:space="preserve">legacy cryptography to PQC remains daunting.</w:t>
      </w:r>
    </w:p>
    <w:p>
      <w:pPr>
        <w:pStyle w:val="BodyText"/>
      </w:pPr>
      <w:r>
        <w:t xml:space="preserve">Three obstacles stand out.</w:t>
      </w:r>
      <w:r>
        <w:t xml:space="preserve"> </w:t>
      </w:r>
      <w:r>
        <w:rPr>
          <w:i/>
          <w:iCs/>
        </w:rPr>
        <w:t xml:space="preserve">(i) Heterogeneity.</w:t>
      </w:r>
      <w:r>
        <w:t xml:space="preserve"> </w:t>
      </w:r>
      <w:r>
        <w:t xml:space="preserve">A typical enterprise deploys dozens of</w:t>
      </w:r>
      <w:r>
        <w:t xml:space="preserve"> </w:t>
      </w:r>
      <w:r>
        <w:t xml:space="preserve">distinct cryptographic algorithms across TLS termination, code signing,</w:t>
      </w:r>
      <w:r>
        <w:t xml:space="preserve"> </w:t>
      </w:r>
      <w:r>
        <w:t xml:space="preserve">database encryption, VPN tunnels, and API authentication. No single</w:t>
      </w:r>
      <w:r>
        <w:t xml:space="preserve"> </w:t>
      </w:r>
      <w:r>
        <w:t xml:space="preserve">algorithm or policy applies uniformly.</w:t>
      </w:r>
      <w:r>
        <w:t xml:space="preserve"> </w:t>
      </w:r>
      <w:r>
        <w:rPr>
          <w:i/>
          <w:iCs/>
        </w:rPr>
        <w:t xml:space="preserve">(ii) Risk prioritization.</w:t>
      </w:r>
      <w:r>
        <w:t xml:space="preserve"> </w:t>
      </w:r>
      <w:r>
        <w:t xml:space="preserve">With limited migration resources,</w:t>
      </w:r>
      <w:r>
        <w:t xml:space="preserve"> </w:t>
      </w:r>
      <w:r>
        <w:t xml:space="preserve">organizations must decide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assets to migrate first.</w:t>
      </w:r>
      <w:r>
        <w:t xml:space="preserve"> </w:t>
      </w:r>
      <w:r>
        <w:t xml:space="preserve">Intuitive approaches (</w:t>
      </w:r>
      <w:r>
        <w:t xml:space="preserve">“migrate everything using RSA”</w:t>
      </w:r>
      <w:r>
        <w:t xml:space="preserve">) ignore data</w:t>
      </w:r>
      <w:r>
        <w:t xml:space="preserve"> </w:t>
      </w:r>
      <w:r>
        <w:t xml:space="preserve">sensitivity, exposure surface, and the HNDL timeline.</w:t>
      </w:r>
      <w:r>
        <w:t xml:space="preserve"> </w:t>
      </w:r>
      <w:r>
        <w:rPr>
          <w:i/>
          <w:iCs/>
        </w:rPr>
        <w:t xml:space="preserve">(iii) Transition coexistence.</w:t>
      </w:r>
      <w:r>
        <w:t xml:space="preserve"> </w:t>
      </w:r>
      <w:r>
        <w:t xml:space="preserve">During the multi-year migration</w:t>
      </w:r>
      <w:r>
        <w:t xml:space="preserve"> </w:t>
      </w:r>
      <w:r>
        <w:t xml:space="preserve">window, hybrid constructions that combine classical and PQC algorithms</w:t>
      </w:r>
      <w:r>
        <w:t xml:space="preserve"> </w:t>
      </w:r>
      <w:r>
        <w:t xml:space="preserve">are necessary both for defense-in-depth and for interoperability with</w:t>
      </w:r>
      <w:r>
        <w:t xml:space="preserve"> </w:t>
      </w:r>
      <w:r>
        <w:t xml:space="preserve">peers that have not yet migrated </w:t>
      </w:r>
      <w:r>
        <w:t xml:space="preserve">(Bindel et al. 2017)</w:t>
      </w:r>
      <w:r>
        <w:t xml:space="preserve">.</w:t>
      </w:r>
    </w:p>
    <w:bookmarkStart w:id="9" w:name="contributions"/>
    <w:p>
      <w:pPr>
        <w:pStyle w:val="Heading2"/>
      </w:pPr>
      <w:r>
        <w:t xml:space="preserve">Contributions</w:t>
      </w:r>
    </w:p>
    <w:p>
      <w:pPr>
        <w:pStyle w:val="FirstParagraph"/>
      </w:pPr>
      <w:r>
        <w:t xml:space="preserve">We present</w:t>
      </w:r>
      <w:r>
        <w:t xml:space="preserve"> </w:t>
      </w:r>
      <w:r>
        <w:rPr>
          <w:smallCaps/>
        </w:rPr>
        <w:t xml:space="preserve">QBridge</w:t>
      </w:r>
      <w:r>
        <w:t xml:space="preserve">, an integrated crypto agility framework that</w:t>
      </w:r>
      <w:r>
        <w:t xml:space="preserve"> </w:t>
      </w:r>
      <w:r>
        <w:t xml:space="preserve">addresses all three obstacles through the following contributions: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Crypto Agility Negotiation Protocol.</w:t>
      </w:r>
      <w:r>
        <w:t xml:space="preserve"> </w:t>
      </w:r>
      <w:r>
        <w:t xml:space="preserve">A runtime</w:t>
      </w:r>
      <w:r>
        <w:t xml:space="preserve"> </w:t>
      </w:r>
      <w:r>
        <w:t xml:space="preserve">algorithm negotiation mechanism that advertises cryptographic</w:t>
      </w:r>
      <w:r>
        <w:t xml:space="preserve"> </w:t>
      </w:r>
      <w:r>
        <w:t xml:space="preserve">capabilities, computes policy-constrained intersections, and supports</w:t>
      </w:r>
      <w:r>
        <w:t xml:space="preserve"> </w:t>
      </w:r>
      <w:r>
        <w:t xml:space="preserve">zero-downtime algorithm rotation (Section </w:t>
      </w:r>
      <w:hyperlink w:anchor="sec:agility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The protocol manages 28 algorithms across six families under four</w:t>
      </w:r>
      <w:r>
        <w:t xml:space="preserve"> </w:t>
      </w:r>
      <w:r>
        <w:t xml:space="preserve">configurable policies.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Quantum Threat Scoring Engine.</w:t>
      </w:r>
      <w:r>
        <w:t xml:space="preserve"> </w:t>
      </w:r>
      <w:r>
        <w:t xml:space="preserve">A composite risk model</w:t>
      </w:r>
      <w:r>
        <w:t xml:space="preserve"> </w:t>
      </w:r>
      <w:r>
        <w:t xml:space="preserve">that assigns a Quantum Risk Score (QRS) to every cryptographic</w:t>
      </w:r>
      <w:r>
        <w:t xml:space="preserve"> </w:t>
      </w:r>
      <w:r>
        <w:t xml:space="preserve">asset in an organization’s portfolio, enabling quantitative migration</w:t>
      </w:r>
      <w:r>
        <w:t xml:space="preserve"> </w:t>
      </w:r>
      <w:r>
        <w:t xml:space="preserve">prioritization based on Mosca’s inequality and five weighted factors</w:t>
      </w:r>
      <w:r>
        <w:t xml:space="preserve"> </w:t>
      </w:r>
      <w:r>
        <w:t xml:space="preserve">(Section </w:t>
      </w:r>
      <w:hyperlink w:anchor="sec:scoring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Hybrid Key Exchange Constructions.</w:t>
      </w:r>
      <w:r>
        <w:t xml:space="preserve"> </w:t>
      </w:r>
      <w:r>
        <w:t xml:space="preserve">Three hybrid KEM</w:t>
      </w:r>
      <w:r>
        <w:t xml:space="preserve"> </w:t>
      </w:r>
      <w:r>
        <w:t xml:space="preserve">variants for TLS 1.3—X25519-</w:t>
      </w:r>
      <w:r>
        <w:t xml:space="preserve">ML-KEM</w:t>
      </w:r>
      <w:r>
        <w:t xml:space="preserve">-768, P384-</w:t>
      </w:r>
      <w:r>
        <w:t xml:space="preserve">ML-KEM</w:t>
      </w:r>
      <w:r>
        <w:t xml:space="preserve">-1024, and</w:t>
      </w:r>
      <w:r>
        <w:t xml:space="preserve"> </w:t>
      </w:r>
      <w:r>
        <w:t xml:space="preserve">X25519-</w:t>
      </w:r>
      <w:r>
        <w:t xml:space="preserve">ML-KEM</w:t>
      </w:r>
      <w:r>
        <w:t xml:space="preserve">-512—with HKDF-based shared-secret combination</w:t>
      </w:r>
      <w:r>
        <w:t xml:space="preserve"> </w:t>
      </w:r>
      <w:r>
        <w:t xml:space="preserve">and domain separation (Section </w:t>
      </w:r>
      <w:hyperlink w:anchor="sec:hybrid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Implementation and Evaluation.</w:t>
      </w:r>
      <w:r>
        <w:t xml:space="preserve"> </w:t>
      </w:r>
      <w:r>
        <w:t xml:space="preserve">A production-quality</w:t>
      </w:r>
      <w:r>
        <w:t xml:space="preserve"> </w:t>
      </w:r>
      <w:r>
        <w:t xml:space="preserve">Python implementation with performance benchmarks demonstrating</w:t>
      </w:r>
      <w:r>
        <w:t xml:space="preserve"> </w:t>
      </w:r>
      <w:r>
        <w:t xml:space="preserve">practical deployment characteristics (Section </w:t>
      </w:r>
      <w:hyperlink w:anchor="sec:eval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pStyle w:val="FirstParagraph"/>
      </w:pPr>
      <w:r>
        <w:t xml:space="preserve">The remainder of the paper is organized as follows.</w:t>
      </w:r>
      <w:r>
        <w:t xml:space="preserve"> </w:t>
      </w:r>
      <w:r>
        <w:t xml:space="preserve">Section </w:t>
      </w:r>
      <w:hyperlink w:anchor="sec:backgroun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covers background and preliminaries.</w:t>
      </w:r>
      <w:r>
        <w:t xml:space="preserve"> </w:t>
      </w:r>
      <w:r>
        <w:t xml:space="preserve">Sections </w:t>
      </w:r>
      <w:hyperlink w:anchor="sec:agility">
        <w:r>
          <w:rPr>
            <w:rStyle w:val="Hyperlink"/>
          </w:rPr>
          <w:t xml:space="preserve">3</w:t>
        </w:r>
      </w:hyperlink>
      <w:r>
        <w:t xml:space="preserve">–</w:t>
      </w:r>
      <w:hyperlink w:anchor="sec:hybrid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detail our three</w:t>
      </w:r>
      <w:r>
        <w:t xml:space="preserve"> </w:t>
      </w:r>
      <w:r>
        <w:t xml:space="preserve">constructions. Section </w:t>
      </w:r>
      <w:hyperlink w:anchor="sec:eva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presents implementation results.</w:t>
      </w:r>
      <w:r>
        <w:t xml:space="preserve"> </w:t>
      </w:r>
      <w:r>
        <w:t xml:space="preserve">Section </w:t>
      </w:r>
      <w:hyperlink w:anchor="sec:security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provides a security analysis.</w:t>
      </w:r>
      <w:r>
        <w:t xml:space="preserve"> </w:t>
      </w:r>
      <w:r>
        <w:t xml:space="preserve">Section </w:t>
      </w:r>
      <w:hyperlink w:anchor="sec:related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surveys related work, and</w:t>
      </w:r>
      <w:r>
        <w:t xml:space="preserve"> </w:t>
      </w:r>
      <w:r>
        <w:t xml:space="preserve">Section </w:t>
      </w:r>
      <w:hyperlink w:anchor="sec:conclusion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concludes.</w:t>
      </w:r>
    </w:p>
    <w:bookmarkEnd w:id="9"/>
    <w:bookmarkEnd w:id="10"/>
    <w:bookmarkStart w:id="15" w:name="sec:background"/>
    <w:p>
      <w:pPr>
        <w:pStyle w:val="Heading1"/>
      </w:pPr>
      <w:r>
        <w:t xml:space="preserve">Background and Preliminaries</w:t>
      </w:r>
    </w:p>
    <w:bookmarkStart w:id="11" w:name="lattice-based-cryptography"/>
    <w:p>
      <w:pPr>
        <w:pStyle w:val="Heading2"/>
      </w:pPr>
      <w:r>
        <w:t xml:space="preserve">Lattice-Based Cryptography</w:t>
      </w:r>
    </w:p>
    <w:p>
      <w:pPr>
        <w:pStyle w:val="FirstParagraph"/>
      </w:pPr>
      <w:r>
        <w:t xml:space="preserve">The NIST PQC standards are built primarily on the hardness of the</w:t>
      </w:r>
      <w:r>
        <w:t xml:space="preserve"> </w:t>
      </w:r>
      <w:r>
        <w:rPr>
          <w:i/>
          <w:iCs/>
        </w:rPr>
        <w:t xml:space="preserve">Module Learning with Errors</w:t>
      </w:r>
      <w:r>
        <w:t xml:space="preserve"> </w:t>
      </w:r>
      <w:r>
        <w:t xml:space="preserve">(Module-LWE) and</w:t>
      </w:r>
      <w:r>
        <w:t xml:space="preserve"> </w:t>
      </w:r>
      <w:r>
        <w:rPr>
          <w:i/>
          <w:iCs/>
        </w:rPr>
        <w:t xml:space="preserve">Module Short</w:t>
      </w:r>
      <w:r>
        <w:rPr>
          <w:i/>
          <w:iCs/>
        </w:rPr>
        <w:t xml:space="preserve"> </w:t>
      </w:r>
      <w:r>
        <w:rPr>
          <w:i/>
          <w:iCs/>
        </w:rPr>
        <w:t xml:space="preserve">Integer Solution</w:t>
      </w:r>
      <w:r>
        <w:t xml:space="preserve"> </w:t>
      </w:r>
      <w:r>
        <w:t xml:space="preserve">(Module-SIS) problems </w:t>
      </w:r>
      <w:r>
        <w:t xml:space="preserve">(Langlois and Stehlé 2015)</w:t>
      </w:r>
      <w:r>
        <w:t xml:space="preserve">.</w:t>
      </w:r>
    </w:p>
    <w:p>
      <w:pPr>
        <w:pStyle w:val="BodyText"/>
      </w:pPr>
      <w:r>
        <w:t xml:space="preserve">Given a rank-</w:t>
      </w:r>
      <m:oMath>
        <m:r>
          <m:t>k</m:t>
        </m:r>
      </m:oMath>
      <w:r>
        <w:t xml:space="preserve"> </w:t>
      </w:r>
      <w:r>
        <w:t xml:space="preserve">module over the polynomial ring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the Module-LWE problem asks to</w:t>
      </w:r>
      <w:r>
        <w:t xml:space="preserve"> </w:t>
      </w:r>
      <w:r>
        <w:t xml:space="preserve">distinguish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←</m:t>
            </m:r>
          </m:e>
          <m:lim>
            <m:r>
              <m:rPr>
                <m:sty m:val="p"/>
              </m:rPr>
              <m:t>$</m:t>
            </m:r>
          </m:lim>
        </m:limUpp>
        <m:sSubSup>
          <m:e>
            <m:r>
              <m:t>R</m:t>
            </m:r>
          </m:e>
          <m:sub>
            <m:r>
              <m:t>q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r>
              <m:t>k</m:t>
            </m:r>
          </m:sup>
        </m:sSubSup>
      </m:oMath>
      <w:r>
        <w:t xml:space="preserve">,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←</m:t>
            </m:r>
          </m:e>
          <m:lim>
            <m:r>
              <m:t>​</m:t>
            </m:r>
          </m:lim>
        </m:limUpp>
        <m:sSubSup>
          <m:e>
            <m:r>
              <m:t>χ</m:t>
            </m:r>
          </m:e>
          <m:sub>
            <m:r>
              <m:t>s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m:oMath>
        <m:r>
          <m:t>e</m:t>
        </m:r>
        <m:limUpp>
          <m:e>
            <m:r>
              <m:rPr>
                <m:sty m:val="p"/>
              </m:rPr>
              <m:t>←</m:t>
            </m:r>
          </m:e>
          <m:lim>
            <m:r>
              <m:t>​</m:t>
            </m:r>
          </m:lim>
        </m:limUpp>
        <m:sSubSup>
          <m:e>
            <m:r>
              <m:t>χ</m:t>
            </m:r>
          </m:e>
          <m:sub>
            <m:r>
              <m:t>e</m:t>
            </m:r>
          </m:sub>
          <m:sup>
            <m:r>
              <m:t>k</m:t>
            </m:r>
          </m:sup>
        </m:sSubSup>
      </m:oMath>
      <w:r>
        <w:t xml:space="preserve">, and</w:t>
      </w:r>
      <w:r>
        <w:t xml:space="preserve"> </w:t>
      </w:r>
      <m:oMath>
        <m:r>
          <m:t>u</m:t>
        </m:r>
        <m:limUpp>
          <m:e>
            <m:r>
              <m:rPr>
                <m:sty m:val="p"/>
              </m:rPr>
              <m:t>←</m:t>
            </m:r>
          </m:e>
          <m:lim>
            <m:r>
              <m:rPr>
                <m:sty m:val="p"/>
              </m:rPr>
              <m:t>$</m:t>
            </m:r>
          </m:lim>
        </m:limUpp>
        <m:sSubSup>
          <m:e>
            <m:r>
              <m:t>R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, with</w:t>
      </w:r>
      <w:r>
        <w:t xml:space="preserve"> </w:t>
      </w:r>
      <m:oMath>
        <m:sSub>
          <m:e>
            <m:r>
              <m:t>χ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χ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being centered</w:t>
      </w:r>
      <w:r>
        <w:t xml:space="preserve"> </w:t>
      </w:r>
      <w:r>
        <w:t xml:space="preserve">binomial distributions with small parameter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BodyText"/>
      </w:pPr>
      <w:r>
        <w:t xml:space="preserve">ML-KEM (FIPS 203) instantiates an IND-CCA2 key encapsulation mechanism</w:t>
      </w:r>
      <w:r>
        <w:t xml:space="preserve"> </w:t>
      </w:r>
      <w:r>
        <w:t xml:space="preserve">from Module-LWE via the Fujisaki–Okamoto transform. Three parameter</w:t>
      </w:r>
      <w:r>
        <w:t xml:space="preserve"> </w:t>
      </w:r>
      <w:r>
        <w:t xml:space="preserve">sets—ML-KEM-512 (NIST Level 1), ML-KEM-768 (Level 3), and ML-KEM-1024</w:t>
      </w:r>
      <w:r>
        <w:t xml:space="preserve"> </w:t>
      </w:r>
      <w:r>
        <w:t xml:space="preserve">(Level 5)—provide increasing security margins at the cost of larger</w:t>
      </w:r>
      <w:r>
        <w:t xml:space="preserve"> </w:t>
      </w:r>
      <w:r>
        <w:t xml:space="preserve">keys and ciphertexts </w:t>
      </w:r>
      <w:r>
        <w:t xml:space="preserve">(National Institute of Standards and Technology 2024b)</w:t>
      </w:r>
      <w:r>
        <w:t xml:space="preserve">.</w:t>
      </w:r>
    </w:p>
    <w:p>
      <w:pPr>
        <w:pStyle w:val="BodyText"/>
      </w:pPr>
      <w:r>
        <w:t xml:space="preserve">ML-DSA (FIPS 204) is a digital signature scheme based on</w:t>
      </w:r>
      <w:r>
        <w:t xml:space="preserve"> </w:t>
      </w:r>
      <w:r>
        <w:t xml:space="preserve">Module-LWE/Module-SIS with parameter sets ML-DSA-44, ML-DSA-65, and</w:t>
      </w:r>
      <w:r>
        <w:t xml:space="preserve"> </w:t>
      </w:r>
      <w:r>
        <w:t xml:space="preserve">ML-DSA-87 </w:t>
      </w:r>
      <w:r>
        <w:t xml:space="preserve">(National Institute of Standards and Technology 2024a)</w:t>
      </w:r>
      <w:r>
        <w:t xml:space="preserve">. SLH-DSA (FIPS 205) provides a</w:t>
      </w:r>
      <w:r>
        <w:t xml:space="preserve"> </w:t>
      </w:r>
      <w:r>
        <w:t xml:space="preserve">conservative alternative based solely on hash-function</w:t>
      </w:r>
      <w:r>
        <w:t xml:space="preserve"> </w:t>
      </w:r>
      <w:r>
        <w:t xml:space="preserve">security </w:t>
      </w:r>
      <w:r>
        <w:t xml:space="preserve">(National Institute of Standards and Technology 2024c)</w:t>
      </w:r>
      <w:r>
        <w:t xml:space="preserve">.</w:t>
      </w:r>
    </w:p>
    <w:bookmarkEnd w:id="11"/>
    <w:bookmarkStart w:id="12" w:name="quantum-threat-model"/>
    <w:p>
      <w:pPr>
        <w:pStyle w:val="Heading2"/>
      </w:pPr>
      <w:r>
        <w:t xml:space="preserve">Quantum Threat Model</w:t>
      </w:r>
    </w:p>
    <w:p>
      <w:pPr>
        <w:pStyle w:val="FirstParagraph"/>
      </w:pPr>
      <w:r>
        <w:t xml:space="preserve">We adopt the standard</w:t>
      </w:r>
      <w:r>
        <w:t xml:space="preserve"> </w:t>
      </w:r>
      <w:r>
        <w:rPr>
          <w:i/>
          <w:iCs/>
        </w:rPr>
        <w:t xml:space="preserve">harvest-now, decrypt-later</w:t>
      </w:r>
      <w:r>
        <w:t xml:space="preserve"> </w:t>
      </w:r>
      <w:r>
        <w:t xml:space="preserve">(HNDL) threat</w:t>
      </w:r>
      <w:r>
        <w:t xml:space="preserve"> </w:t>
      </w:r>
      <w:r>
        <w:t xml:space="preserve">model </w:t>
      </w:r>
      <w:r>
        <w:t xml:space="preserve">(Mavroeidis et al. 2018)</w:t>
      </w:r>
      <w:r>
        <w:t xml:space="preserve">. An adversary with classical computational</w:t>
      </w:r>
      <w:r>
        <w:t xml:space="preserve"> </w:t>
      </w:r>
      <w:r>
        <w:t xml:space="preserve">power records ciphertexts and authenticated protocol transcripts today.</w:t>
      </w:r>
      <w:r>
        <w:t xml:space="preserve"> </w:t>
      </w:r>
      <w:r>
        <w:t xml:space="preserve">At a future time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CRQC</m:t>
            </m:r>
          </m:sub>
        </m:sSub>
      </m:oMath>
      <w:r>
        <w:t xml:space="preserve">, the adversary gains access to a CRQC</w:t>
      </w:r>
      <w:r>
        <w:t xml:space="preserve"> </w:t>
      </w:r>
      <w:r>
        <w:t xml:space="preserve">capable of running Shor’s algorithm </w:t>
      </w:r>
      <w:r>
        <w:t xml:space="preserve">(Shor 1997)</w:t>
      </w:r>
      <w:r>
        <w:t xml:space="preserve"> </w:t>
      </w:r>
      <w:r>
        <w:t xml:space="preserve">and recovers</w:t>
      </w:r>
      <w:r>
        <w:t xml:space="preserve"> </w:t>
      </w:r>
      <w:r>
        <w:t xml:space="preserve">plaintext from all recorded sessions using vulnerable key exchange</w:t>
      </w:r>
      <w:r>
        <w:t xml:space="preserve"> </w:t>
      </w:r>
      <w:r>
        <w:t xml:space="preserve">algorithms.</w:t>
      </w:r>
    </w:p>
    <w:p>
      <w:pPr>
        <w:pStyle w:val="BodyText"/>
      </w:pPr>
      <w:r>
        <w:t xml:space="preserve">Symmetric algorithms are affected by Grover’s algorithm </w:t>
      </w:r>
      <w:r>
        <w:t xml:space="preserve">(Grover 1996)</w:t>
      </w:r>
      <w:r>
        <w:t xml:space="preserve">,</w:t>
      </w:r>
      <w:r>
        <w:t xml:space="preserve"> </w:t>
      </w:r>
      <w:r>
        <w:t xml:space="preserve">which provides a quadratic speedup for brute-force search, effectively</w:t>
      </w:r>
      <w:r>
        <w:t xml:space="preserve"> </w:t>
      </w:r>
      <w:r>
        <w:t xml:space="preserve">halving the security level (e.g., AES-128 provides only 64-bit security</w:t>
      </w:r>
      <w:r>
        <w:t xml:space="preserve"> </w:t>
      </w:r>
      <w:r>
        <w:t xml:space="preserve">against a quantum adversary, while AES-256 retains 128-bit security).</w:t>
      </w:r>
    </w:p>
    <w:bookmarkEnd w:id="12"/>
    <w:bookmarkStart w:id="13" w:name="moscas-inequality"/>
    <w:p>
      <w:pPr>
        <w:pStyle w:val="Heading2"/>
      </w:pPr>
      <w:r>
        <w:t xml:space="preserve">Mosca’s Inequality</w:t>
      </w:r>
    </w:p>
    <w:p>
      <w:pPr>
        <w:pStyle w:val="FirstParagraph"/>
      </w:pPr>
      <w:r>
        <w:t xml:space="preserve">Mosca’s theorem </w:t>
      </w:r>
      <w:r>
        <w:t xml:space="preserve">(Mosca 2018)</w:t>
      </w:r>
      <w:r>
        <w:t xml:space="preserve"> </w:t>
      </w:r>
      <w:r>
        <w:t xml:space="preserve">provides a decision criterion for</w:t>
      </w:r>
      <w:r>
        <w:t xml:space="preserve"> </w:t>
      </w:r>
      <w:r>
        <w:t xml:space="preserve">migration urgency: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&gt;</m:t>
          </m:r>
          <m:r>
            <m:t>z</m:t>
          </m:r>
          <m:r>
            <m:rPr>
              <m:sty m:val="p"/>
            </m:rPr>
            <m:t>⟹</m:t>
          </m:r>
          <m:r>
            <m:rPr>
              <m:nor/>
              <m:sty m:val="p"/>
            </m:rPr>
            <m:t>migration is overdue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years the data must remain</w:t>
      </w:r>
      <w:r>
        <w:t xml:space="preserve"> </w:t>
      </w:r>
      <w:r>
        <w:t xml:space="preserve">confidential,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time (in years) required to complete migration,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the estimated time until a CRQC can break the algorithm. When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z</m:t>
        </m:r>
      </m:oMath>
      <w:r>
        <w:t xml:space="preserve">, data encrypted today will still require protection after the</w:t>
      </w:r>
      <w:r>
        <w:t xml:space="preserve"> </w:t>
      </w:r>
      <w:r>
        <w:t xml:space="preserve">quantum threat materializes, and the migration cannot complete in time.</w:t>
      </w:r>
    </w:p>
    <w:bookmarkEnd w:id="13"/>
    <w:bookmarkStart w:id="14" w:name="standards-landscape"/>
    <w:p>
      <w:pPr>
        <w:pStyle w:val="Heading2"/>
      </w:pPr>
      <w:r>
        <w:t xml:space="preserve">Standards Landscape</w:t>
      </w:r>
    </w:p>
    <w:p>
      <w:pPr>
        <w:pStyle w:val="FirstParagraph"/>
      </w:pPr>
      <w:r>
        <w:t xml:space="preserve">Our framework is aligned with four major standards: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NIST SP 800-227</w:t>
      </w:r>
      <w:r>
        <w:t xml:space="preserve"> </w:t>
      </w:r>
      <w:r>
        <w:t xml:space="preserve">(National Institute of Standards and Technology 2025)</w:t>
      </w:r>
      <w:r>
        <w:t xml:space="preserve">: Provides a</w:t>
      </w:r>
      <w:r>
        <w:t xml:space="preserve"> </w:t>
      </w:r>
      <w:r>
        <w:t xml:space="preserve">phased transition roadmap for federal agencies to adopt PQC.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CNSA 2.0</w:t>
      </w:r>
      <w:r>
        <w:t xml:space="preserve"> </w:t>
      </w:r>
      <w:r>
        <w:t xml:space="preserve">(National Security Agency 2022)</w:t>
      </w:r>
      <w:r>
        <w:t xml:space="preserve">: The NSA’s algorithm suite</w:t>
      </w:r>
      <w:r>
        <w:t xml:space="preserve"> </w:t>
      </w:r>
      <w:r>
        <w:t xml:space="preserve">mandating ML-KEM-1024, ML-DSA-87, and AES-256 for national security</w:t>
      </w:r>
      <w:r>
        <w:t xml:space="preserve"> </w:t>
      </w:r>
      <w:r>
        <w:t xml:space="preserve">systems by 2035.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ETSI TS 103 744</w:t>
      </w:r>
      <w:r>
        <w:t xml:space="preserve"> </w:t>
      </w:r>
      <w:r>
        <w:t xml:space="preserve">(European Telecommunications Standards Institute 2023)</w:t>
      </w:r>
      <w:r>
        <w:t xml:space="preserve">: European</w:t>
      </w:r>
      <w:r>
        <w:t xml:space="preserve"> </w:t>
      </w:r>
      <w:r>
        <w:t xml:space="preserve">migration strategies including hybrid approaches.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RFC 8446</w:t>
      </w:r>
      <w:r>
        <w:t xml:space="preserve"> </w:t>
      </w:r>
      <w:r>
        <w:t xml:space="preserve">(Rescorla 2018)</w:t>
      </w:r>
      <w:r>
        <w:t xml:space="preserve">: TLS 1.3 cipher suite</w:t>
      </w:r>
      <w:r>
        <w:t xml:space="preserve"> </w:t>
      </w:r>
      <w:r>
        <w:t xml:space="preserve">negotiation, which our agility protocol extends for PQC.</w:t>
      </w:r>
    </w:p>
    <w:bookmarkEnd w:id="14"/>
    <w:bookmarkEnd w:id="15"/>
    <w:bookmarkStart w:id="23" w:name="sec:agility"/>
    <w:p>
      <w:pPr>
        <w:pStyle w:val="Heading1"/>
      </w:pPr>
      <w:r>
        <w:t xml:space="preserve">Crypto Agility Negotiation Protocol</w:t>
      </w:r>
    </w:p>
    <w:p>
      <w:pPr>
        <w:pStyle w:val="FirstParagraph"/>
      </w:pPr>
      <w:r>
        <w:t xml:space="preserve">Crypto agility—the ability to switch algorithms without redesigning</w:t>
      </w:r>
      <w:r>
        <w:t xml:space="preserve"> </w:t>
      </w:r>
      <w:r>
        <w:t xml:space="preserve">protocols—has been identified as a critical requirement for the PQC</w:t>
      </w:r>
      <w:r>
        <w:t xml:space="preserve"> </w:t>
      </w:r>
      <w:r>
        <w:t xml:space="preserve">transition </w:t>
      </w:r>
      <w:r>
        <w:t xml:space="preserve">(Ott and Peikert 2019; Housley 2024; Department of Homeland Security 2023)</w:t>
      </w:r>
      <w:r>
        <w:t xml:space="preserve">. We formalize a</w:t>
      </w:r>
      <w:r>
        <w:t xml:space="preserve"> </w:t>
      </w:r>
      <w:r>
        <w:t xml:space="preserve">negotiation protocol that supports runtime algorithm selection, policy</w:t>
      </w:r>
      <w:r>
        <w:t xml:space="preserve"> </w:t>
      </w:r>
      <w:r>
        <w:t xml:space="preserve">enforcement, and zero-downtime rotation.</w:t>
      </w:r>
    </w:p>
    <w:bookmarkStart w:id="16" w:name="design-goals"/>
    <w:p>
      <w:pPr>
        <w:pStyle w:val="Heading2"/>
      </w:pPr>
      <w:r>
        <w:t xml:space="preserve">Design Goals</w:t>
      </w:r>
    </w:p>
    <w:p>
      <w:pPr>
        <w:pStyle w:val="FirstParagraph"/>
      </w:pPr>
      <w:r>
        <w:t xml:space="preserve">Our protocol satisfies five design goals: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Forward Compatibility:</w:t>
      </w:r>
      <w:r>
        <w:t xml:space="preserve"> </w:t>
      </w:r>
      <w:r>
        <w:t xml:space="preserve">Unknown future algorithms can be</w:t>
      </w:r>
      <w:r>
        <w:t xml:space="preserve"> </w:t>
      </w:r>
      <w:r>
        <w:t xml:space="preserve">negotiated via OID or canonical name without protocol changes.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Hybrid Negotiation:</w:t>
      </w:r>
      <w:r>
        <w:t xml:space="preserve"> </w:t>
      </w:r>
      <w:r>
        <w:t xml:space="preserve">Classical and PQC algorithms</w:t>
      </w:r>
      <w:r>
        <w:t xml:space="preserve"> </w:t>
      </w:r>
      <w:r>
        <w:t xml:space="preserve">operate simultaneously during the transition period.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Policy Enforcement:</w:t>
      </w:r>
      <w:r>
        <w:t xml:space="preserve"> </w:t>
      </w:r>
      <w:r>
        <w:t xml:space="preserve">Organizational policies constrain</w:t>
      </w:r>
      <w:r>
        <w:t xml:space="preserve"> </w:t>
      </w:r>
      <w:r>
        <w:t xml:space="preserve">negotiation to approved algorithms with minimum security levels.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Zero-Downtime Rotation:</w:t>
      </w:r>
      <w:r>
        <w:t xml:space="preserve"> </w:t>
      </w:r>
      <w:r>
        <w:t xml:space="preserve">Algorithms can be banned or</w:t>
      </w:r>
      <w:r>
        <w:t xml:space="preserve"> </w:t>
      </w:r>
      <w:r>
        <w:t xml:space="preserve">upgraded without interrupting active sessions.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Complete negotiation history is maintained</w:t>
      </w:r>
      <w:r>
        <w:t xml:space="preserve"> </w:t>
      </w:r>
      <w:r>
        <w:t xml:space="preserve">for compliance reporting.</w:t>
      </w:r>
    </w:p>
    <w:bookmarkEnd w:id="16"/>
    <w:bookmarkStart w:id="18" w:name="algorithm-registry"/>
    <w:p>
      <w:pPr>
        <w:pStyle w:val="Heading2"/>
      </w:pPr>
      <w:r>
        <w:t xml:space="preserve">Algorithm Registry</w:t>
      </w:r>
    </w:p>
    <w:p>
      <w:pPr>
        <w:pStyle w:val="FirstParagraph"/>
      </w:pPr>
      <w:r>
        <w:t xml:space="preserve">The protocol maintains a registry of 28 algorithms organized into six</w:t>
      </w:r>
      <w:r>
        <w:t xml:space="preserve"> </w:t>
      </w:r>
      <w:r>
        <w:t xml:space="preserve">families: KEM, signature, symmetric, hash, MAC, and KDF.</w:t>
      </w:r>
      <w:r>
        <w:t xml:space="preserve"> </w:t>
      </w:r>
      <w:r>
        <w:t xml:space="preserve">Table </w:t>
      </w:r>
      <w:hyperlink w:anchor="tab:algorithm-registr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key entries.</w:t>
      </w:r>
    </w:p>
    <w:bookmarkStart w:id="17" w:name="tab:algorithm-registry"/>
    <w:p>
      <w:pPr>
        <w:pStyle w:val="TableCaption"/>
      </w:pPr>
      <w:r>
        <w:t xml:space="preserve">Selected entries from the algorithm registry.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ed entries from the algorithm registry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PK (B)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CT/Sig 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ML-KEM-512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ML-KEM-768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ML-KEM-1024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X25519-ML-KEM-768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P384-ML-KEM-1024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ML-DSA-44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2 420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ML-DSA-65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3 293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ML-DSA-87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2 592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4 595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Falcon-512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SLH-DSA-128f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17 088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SHA3-256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HKDF-SHA3-256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17"/>
    <w:p>
      <w:pPr>
        <w:pStyle w:val="BodyText"/>
      </w:pPr>
      <w:r>
        <w:t xml:space="preserve">Each algorithm is assigned a lifecycle status from the ordered set</w:t>
      </w:r>
      <w:r>
        <w:t xml:space="preserve"> </w:t>
      </w:r>
      <w:r>
        <w:t xml:space="preserve">$\{\textsc{Recommended}, \textsc{Acceptable}, \textsc{Legacy},
    \textsc{Deprecated}, \textsc{Banned}\}$</w:t>
      </w:r>
      <w:r>
        <w:t xml:space="preserve">, and a security era from</w:t>
      </w:r>
      <w:r>
        <w:t xml:space="preserve"> </w:t>
      </w:r>
      <w:r>
        <w:t xml:space="preserve">$\{\textsc{Classical}, \textsc{Hybrid}, \textsc{Post-Quantum},
    \textsc{CNSA-2.0}\}$</w:t>
      </w:r>
      <w:r>
        <w:t xml:space="preserve">.</w:t>
      </w:r>
    </w:p>
    <w:bookmarkEnd w:id="18"/>
    <w:bookmarkStart w:id="19" w:name="organizational-policies"/>
    <w:p>
      <w:pPr>
        <w:pStyle w:val="Heading2"/>
      </w:pPr>
      <w:r>
        <w:t xml:space="preserve">Organizational Policies</w:t>
      </w:r>
    </w:p>
    <w:p>
      <w:pPr>
        <w:pStyle w:val="FirstParagraph"/>
      </w:pPr>
      <w:r>
        <w:t xml:space="preserve">Four pre-defined policies govern negotiation behavior:</w:t>
      </w:r>
    </w:p>
    <w:p>
      <w:pPr>
        <w:pStyle w:val="BodyText"/>
      </w:pPr>
      <m:oMath>
        <m:r>
          <m:rPr>
            <m:sty m:val="p"/>
          </m:rPr>
          <m:t>≥</m:t>
        </m:r>
        <m:r>
          <m:t>128</m:t>
        </m:r>
      </m:oMath>
      <w:r>
        <w:t xml:space="preserve">-bit security, hybrid required,</w:t>
      </w:r>
      <w:r>
        <w:t xml:space="preserve"> </w:t>
      </w:r>
      <w:r>
        <w:t xml:space="preserve">classical-only disallowed. Suitable for organizations beginning PQC</w:t>
      </w:r>
      <w:r>
        <w:t xml:space="preserve"> </w:t>
      </w:r>
      <w:r>
        <w:t xml:space="preserve">migration.</w:t>
      </w:r>
    </w:p>
    <w:p>
      <w:pPr>
        <w:pStyle w:val="BodyText"/>
      </w:pPr>
      <m:oMath>
        <m:r>
          <m:rPr>
            <m:sty m:val="p"/>
          </m:rPr>
          <m:t>≥</m:t>
        </m:r>
        <m:r>
          <m:t>192</m:t>
        </m:r>
      </m:oMath>
      <w:r>
        <w:t xml:space="preserve">-bit security, NIST Level </w:t>
      </w:r>
      <m:oMath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classical algorithms banned. For environments ready for full PQC</w:t>
      </w:r>
      <w:r>
        <w:t xml:space="preserve"> </w:t>
      </w:r>
      <w:r>
        <w:t xml:space="preserve">deployment.</w:t>
      </w:r>
    </w:p>
    <w:p>
      <w:pPr>
        <w:pStyle w:val="BodyText"/>
      </w:pPr>
      <m:oMath>
        <m:r>
          <m:rPr>
            <m:sty m:val="p"/>
          </m:rPr>
          <m:t>≥</m:t>
        </m:r>
        <m:r>
          <m:t>256</m:t>
        </m:r>
      </m:oMath>
      <w:r>
        <w:t xml:space="preserve">-bit security, NIST Level 5, prefers</w:t>
      </w:r>
      <w:r>
        <w:t xml:space="preserve"> </w:t>
      </w:r>
      <w:r>
        <w:t xml:space="preserve">ML-KEM-1024 and ML-DSA-87. Targets national security compliance.</w:t>
      </w:r>
    </w:p>
    <w:p>
      <w:pPr>
        <w:pStyle w:val="BodyText"/>
      </w:pPr>
      <m:oMath>
        <m:r>
          <m:rPr>
            <m:sty m:val="p"/>
          </m:rPr>
          <m:t>≥</m:t>
        </m:r>
        <m:r>
          <m:t>128</m:t>
        </m:r>
      </m:oMath>
      <w:r>
        <w:t xml:space="preserve">-bit security, classical-only</w:t>
      </w:r>
      <w:r>
        <w:t xml:space="preserve"> </w:t>
      </w:r>
      <w:r>
        <w:t xml:space="preserve">permitted. For backward compatibility with legacy peers.</w:t>
      </w:r>
    </w:p>
    <w:bookmarkEnd w:id="19"/>
    <w:bookmarkStart w:id="20" w:name="negotiation-protocol"/>
    <w:p>
      <w:pPr>
        <w:pStyle w:val="Heading2"/>
      </w:pPr>
      <w:r>
        <w:t xml:space="preserve">Negotiation Protocol</w:t>
      </w:r>
    </w:p>
    <w:p>
      <w:pPr>
        <w:pStyle w:val="FirstParagraph"/>
      </w:pPr>
      <w:r>
        <w:t xml:space="preserve">The negotiation proceeds in three phases, formalized in</w:t>
      </w:r>
      <w:r>
        <w:t xml:space="preserve"> </w:t>
      </w:r>
      <w:r>
        <w:t xml:space="preserve">Algorithm </w:t>
      </w:r>
      <w:hyperlink w:anchor="alg:negotiate">
        <w:r>
          <w:rPr>
            <w:rStyle w:val="Hyperlink"/>
          </w:rPr>
          <w:t xml:space="preserve">[alg:negotiate]</w:t>
        </w:r>
      </w:hyperlink>
      <w:r>
        <w:t xml:space="preserve">.</w:t>
      </w:r>
    </w:p>
    <w:p>
      <w:pPr>
        <w:pStyle w:val="BodyText"/>
      </w:pPr>
      <w:r>
        <w:t xml:space="preserve">Local policy</w:t>
      </w:r>
      <w:r>
        <w:t xml:space="preserve"> </w:t>
      </w:r>
      <m:oMath>
        <m:r>
          <m:t>π</m:t>
        </m:r>
      </m:oMath>
      <w:r>
        <w:t xml:space="preserve">, local capability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t xml:space="preserve">, remote capability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Negotiated suite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 </w:t>
      </w:r>
      <w:r>
        <w:rPr>
          <w:b/>
          <w:bCs/>
        </w:rPr>
        <w:t xml:space="preserve">Phase 1: Capability Advertisement</w:t>
      </w:r>
      <w:r>
        <w:t xml:space="preserve"> </w:t>
      </w:r>
      <w:r>
        <w:t xml:space="preserve">$C_L \leftarrow \textsc{FilterByPolicy}(\pi, \text{Registry})$</w:t>
      </w:r>
      <w:r>
        <w:t xml:space="preserve"> </w:t>
      </w:r>
      <w:r>
        <w:t xml:space="preserve">Send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 remote peer</w:t>
      </w:r>
      <w:r>
        <w:t xml:space="preserve"> </w:t>
      </w:r>
      <w:r>
        <w:t xml:space="preserve">Receive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from remote peer</w:t>
      </w:r>
      <w:r>
        <w:t xml:space="preserve"> </w:t>
      </w:r>
      <w:r>
        <w:rPr>
          <w:b/>
          <w:bCs/>
        </w:rPr>
        <w:t xml:space="preserve">Phase 2: Policy-Constrained Selection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←</m:t>
        </m:r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∩</m:t>
        </m:r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m:oMath>
        <m:r>
          <m:rPr>
            <m:sty m:val="p"/>
          </m:rPr>
          <m:t>⟂</m:t>
        </m:r>
      </m:oMath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←</m:t>
        </m:r>
      </m:oMath>
      <w:r>
        <w:t xml:space="preserve"> </w:t>
      </w:r>
      <w:r>
        <w:t xml:space="preserve">first element of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by local preference</w:t>
      </w:r>
      <w:r>
        <w:t xml:space="preserve"> </w:t>
      </w:r>
      <w:r>
        <w:t xml:space="preserve">Remove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; retry selection</w:t>
      </w:r>
      <w:r>
        <w:t xml:space="preserve"> </w:t>
      </w:r>
      <w:r>
        <w:rPr>
          <w:b/>
          <w:bCs/>
        </w:rPr>
        <w:t xml:space="preserve">Phase 3: Suite Construction</w:t>
      </w:r>
      <w:r>
        <w:t xml:space="preserve"> </w:t>
      </w:r>
      <w:r>
        <w:t xml:space="preserve">$\text{era} \leftarrow \textsc{DetermineEra}(a_\text{KEM}, a_\text{Sig}, a_\text{Sym}, a_\text{Hash})$</w:t>
      </w:r>
      <w:r>
        <w:t xml:space="preserve"> </w:t>
      </w:r>
      <m:oMath>
        <m:r>
          <m:rPr>
            <m:nor/>
            <m:sty m:val="p"/>
          </m:rPr>
          <m:t>id</m:t>
        </m:r>
        <m:r>
          <m:rPr>
            <m:sty m:val="p"/>
          </m:rPr>
          <m:t>←</m:t>
        </m:r>
        <m:r>
          <m:rPr>
            <m:nor/>
            <m:sty m:val="p"/>
          </m:rPr>
          <m:t>SHA3-256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KEM</m:t>
            </m:r>
          </m:sub>
        </m:sSub>
        <m:r>
          <m:rPr>
            <m:sty m:val="p"/>
          </m:rPr>
          <m:t>∥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Sig</m:t>
            </m:r>
          </m:sub>
        </m:sSub>
        <m:r>
          <m:rPr>
            <m:sty m:val="p"/>
          </m:rPr>
          <m:t>∥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Sym</m:t>
            </m:r>
          </m:sub>
        </m:sSub>
        <m:r>
          <m:rPr>
            <m:sty m:val="p"/>
          </m:rPr>
          <m:t>∥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Hash</m:t>
            </m:r>
          </m:sub>
        </m:sSub>
        <m:r>
          <m:rPr>
            <m:sty m:val="p"/>
          </m:rPr>
          <m:t>∥</m:t>
        </m:r>
        <m:r>
          <m:t>r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←</m:t>
            </m:r>
          </m:e>
          <m:lim>
            <m:r>
              <m:rPr>
                <m:sty m:val="p"/>
              </m:rPr>
              <m:t>$</m:t>
            </m:r>
          </m:lim>
        </m:limUpp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64</m:t>
            </m:r>
          </m:sup>
        </m:sSup>
      </m:oMath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←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KEM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Sig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Sym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Hash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KDF</m:t>
            </m:r>
          </m:sub>
        </m:sSub>
        <m:r>
          <m:rPr>
            <m:sty m:val="p"/>
          </m:rPr>
          <m:t>,</m:t>
        </m:r>
        <m:r>
          <m:rPr>
            <m:nor/>
            <m:sty m:val="p"/>
          </m:rPr>
          <m:t>era</m:t>
        </m:r>
        <m:r>
          <m:rPr>
            <m:sty m:val="p"/>
          </m:rPr>
          <m:t>,</m:t>
        </m:r>
        <m:r>
          <m:rPr>
            <m:nor/>
            <m:sty m:val="p"/>
          </m:rPr>
          <m:t>id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cr m:val="script"/>
            <m:sty m:val="p"/>
          </m:rPr>
          <m:t>S</m:t>
        </m:r>
      </m:oMath>
    </w:p>
    <w:p>
      <w:pPr>
        <w:pStyle w:val="BodyText"/>
      </w:pPr>
      <w:r>
        <w:t xml:space="preserve">The</w:t>
      </w:r>
      <w:r>
        <w:t xml:space="preserve"> </w:t>
      </w:r>
      <w:r>
        <w:rPr>
          <w:smallCaps/>
        </w:rPr>
        <w:t xml:space="preserve">DetermineEra</w:t>
      </w:r>
      <w:r>
        <w:t xml:space="preserve"> </w:t>
      </w:r>
      <w:r>
        <w:t xml:space="preserve">function classifies the negotiated suite:</w:t>
      </w:r>
      <w:r>
        <w:t xml:space="preserve"> </w:t>
      </w:r>
      <w:r>
        <w:t xml:space="preserve">if all selected algorithms belong to the post-quantum or CNSA-2.0 era,</w:t>
      </w:r>
      <w:r>
        <w:t xml:space="preserve"> </w:t>
      </w:r>
      <w:r>
        <w:t xml:space="preserve">the suite era is set to</w:t>
      </w:r>
      <w:r>
        <w:t xml:space="preserve"> </w:t>
      </w:r>
      <w:r>
        <w:rPr>
          <w:smallCaps/>
        </w:rPr>
        <w:t xml:space="preserve">Post-Quantum</w:t>
      </w:r>
      <w:r>
        <w:t xml:space="preserve">; if at least one algorithm</w:t>
      </w:r>
      <w:r>
        <w:t xml:space="preserve"> </w:t>
      </w:r>
      <w:r>
        <w:t xml:space="preserve">is post-quantum while others are classical, the era is</w:t>
      </w:r>
      <w:r>
        <w:t xml:space="preserve"> </w:t>
      </w:r>
      <w:r>
        <w:rPr>
          <w:smallCaps/>
        </w:rPr>
        <w:t xml:space="preserve">Hybrid</w:t>
      </w:r>
      <w:r>
        <w:t xml:space="preserve">;</w:t>
      </w:r>
      <w:r>
        <w:t xml:space="preserve"> </w:t>
      </w:r>
      <w:r>
        <w:t xml:space="preserve">otherwise the era is</w:t>
      </w:r>
      <w:r>
        <w:t xml:space="preserve"> </w:t>
      </w:r>
      <w:r>
        <w:rPr>
          <w:smallCaps/>
        </w:rPr>
        <w:t xml:space="preserve">Classical</w:t>
      </w:r>
      <w:r>
        <w:t xml:space="preserve">.</w:t>
      </w:r>
    </w:p>
    <w:bookmarkEnd w:id="20"/>
    <w:bookmarkStart w:id="21" w:name="zero-downtime-rotation"/>
    <w:p>
      <w:pPr>
        <w:pStyle w:val="Heading2"/>
      </w:pPr>
      <w:r>
        <w:t xml:space="preserve">Zero-Downtime Rotation</w:t>
      </w:r>
    </w:p>
    <w:p>
      <w:pPr>
        <w:pStyle w:val="FirstParagraph"/>
      </w:pPr>
      <w:r>
        <w:t xml:space="preserve">When a vulnerability is discovered in an active algorithm, the framework</w:t>
      </w:r>
      <w:r>
        <w:t xml:space="preserve"> </w:t>
      </w:r>
      <w:r>
        <w:t xml:space="preserve">supports in-place renegotiation without session teardown:</w:t>
      </w:r>
    </w:p>
    <w:p>
      <w:pPr>
        <w:pStyle w:val="BodyText"/>
      </w:pPr>
      <w:r>
        <w:t xml:space="preserve">Current suite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algorithm to ban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ban</m:t>
            </m:r>
          </m:sub>
        </m:sSub>
      </m:oMath>
      <w:r>
        <w:t xml:space="preserve">, optional target era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 </w:t>
      </w:r>
      <w:r>
        <w:t xml:space="preserve">Updated policy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m:oMath>
        <m:r>
          <m:t>B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.</m:t>
        </m:r>
        <m:r>
          <m:rPr>
            <m:nor/>
            <m:sty m:val="p"/>
          </m:rPr>
          <m:t>banned</m:t>
        </m:r>
        <m:r>
          <m:rPr>
            <m:sty m:val="p"/>
          </m:rPr>
          <m:t>∪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ban</m:t>
            </m:r>
          </m:sub>
        </m:sSub>
        <m:r>
          <m:rPr>
            <m:sty m:val="p"/>
          </m:rPr>
          <m:t>}</m:t>
        </m:r>
      </m:oMath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←</m:t>
        </m:r>
        <m:r>
          <m:t>π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banned</m:t>
        </m:r>
        <m:r>
          <m:rPr>
            <m:sty m:val="p"/>
          </m:rPr>
          <m:t>←</m:t>
        </m:r>
        <m:r>
          <m:t>B</m:t>
        </m:r>
      </m:oMath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.</m:t>
        </m:r>
        <m:r>
          <m:rPr>
            <m:nor/>
            <m:sty m:val="p"/>
          </m:rPr>
          <m:t>required_era</m:t>
        </m:r>
        <m:r>
          <m:rPr>
            <m:sty m:val="p"/>
          </m:rPr>
          <m:t>←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 </w:t>
      </w:r>
      <w:r>
        <w:t xml:space="preserve">Trigger renegotiation with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BodyText"/>
      </w:pPr>
      <w:r>
        <w:t xml:space="preserve">The rotation is atomic with respect to the session: the current suite</w:t>
      </w:r>
      <w:r>
        <w:t xml:space="preserve"> </w:t>
      </w:r>
      <w:r>
        <w:t xml:space="preserve">remains active until a new suite is successfully negotiated, ensuring no</w:t>
      </w:r>
      <w:r>
        <w:t xml:space="preserve"> </w:t>
      </w:r>
      <w:r>
        <w:t xml:space="preserve">interruption in cryptographic protection.</w:t>
      </w:r>
    </w:p>
    <w:bookmarkEnd w:id="21"/>
    <w:bookmarkStart w:id="22" w:name="compliance-auditing"/>
    <w:p>
      <w:pPr>
        <w:pStyle w:val="Heading2"/>
      </w:pPr>
      <w:r>
        <w:t xml:space="preserve">Compliance Auditing</w:t>
      </w:r>
    </w:p>
    <w:p>
      <w:pPr>
        <w:pStyle w:val="FirstParagraph"/>
      </w:pPr>
      <w:r>
        <w:t xml:space="preserve">Every negotiation event is appended to an immutable history with the</w:t>
      </w:r>
      <w:r>
        <w:t xml:space="preserve"> </w:t>
      </w:r>
      <w:r>
        <w:t xml:space="preserve">following fields: suite identifier, selected algorithms, security era,</w:t>
      </w:r>
      <w:r>
        <w:t xml:space="preserve"> </w:t>
      </w:r>
      <w:r>
        <w:t xml:space="preserve">initiator and responder identities, timestamp, and validity period. This</w:t>
      </w:r>
      <w:r>
        <w:t xml:space="preserve"> </w:t>
      </w:r>
      <w:r>
        <w:t xml:space="preserve">history supports compliance reporting against NIST SP 800-227 and</w:t>
      </w:r>
      <w:r>
        <w:t xml:space="preserve"> </w:t>
      </w:r>
      <w:r>
        <w:t xml:space="preserve">CNSA 2.0 timelines.</w:t>
      </w:r>
    </w:p>
    <w:bookmarkEnd w:id="22"/>
    <w:bookmarkEnd w:id="23"/>
    <w:bookmarkStart w:id="37" w:name="sec:scoring"/>
    <w:p>
      <w:pPr>
        <w:pStyle w:val="Heading1"/>
      </w:pPr>
      <w:r>
        <w:t xml:space="preserve">Quantum Threat Scoring Engine</w:t>
      </w:r>
    </w:p>
    <w:p>
      <w:pPr>
        <w:pStyle w:val="FirstParagraph"/>
      </w:pPr>
      <w:r>
        <w:t xml:space="preserve">Risk-based prioritization is essential when migration resources are</w:t>
      </w:r>
      <w:r>
        <w:t xml:space="preserve"> </w:t>
      </w:r>
      <w:r>
        <w:t xml:space="preserve">limited </w:t>
      </w:r>
      <w:r>
        <w:t xml:space="preserve">(Joseph et al. 2022)</w:t>
      </w:r>
      <w:r>
        <w:t xml:space="preserve">. We formalize a scoring model that assigns</w:t>
      </w:r>
      <w:r>
        <w:t xml:space="preserve"> </w:t>
      </w:r>
      <w:r>
        <w:t xml:space="preserve">each cryptographic asset a Quantum Risk Score (QRS), enabling</w:t>
      </w:r>
      <w:r>
        <w:t xml:space="preserve"> </w:t>
      </w:r>
      <w:r>
        <w:t xml:space="preserve">quantitative comparison across an organization’s portfolio.</w:t>
      </w:r>
    </w:p>
    <w:bookmarkStart w:id="25" w:name="composite-risk-model"/>
    <w:p>
      <w:pPr>
        <w:pStyle w:val="Heading2"/>
      </w:pPr>
      <w:r>
        <w:t xml:space="preserve">Composite Risk Model</w:t>
      </w:r>
    </w:p>
    <w:p>
      <w:pPr>
        <w:pStyle w:val="FirstParagraph"/>
      </w:pPr>
      <w:r>
        <w:t xml:space="preserve">The QRS for a cryptographic asset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QRS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each factor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Table </w:t>
      </w:r>
      <w:hyperlink w:anchor="tab:weight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lists the default</w:t>
      </w:r>
      <w:r>
        <w:t xml:space="preserve"> </w:t>
      </w:r>
      <w:r>
        <w:t xml:space="preserve">weighting.</w:t>
      </w:r>
    </w:p>
    <w:bookmarkStart w:id="24" w:name="tab:weights"/>
    <w:p>
      <w:pPr>
        <w:pStyle w:val="TableCaption"/>
      </w:pPr>
      <w:r>
        <w:t xml:space="preserve">QRS factor weights.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RS factor weigh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Weight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Vulnerability Score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AVS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Horizon Risk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THR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Sensitivity Score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DSS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Gap Score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MGS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Exposure Surface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ES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</w:tr>
    </w:tbl>
    <w:bookmarkEnd w:id="24"/>
    <w:bookmarkEnd w:id="25"/>
    <w:bookmarkStart w:id="33" w:name="factor-definitions"/>
    <w:p>
      <w:pPr>
        <w:pStyle w:val="Heading2"/>
      </w:pPr>
      <w:r>
        <w:t xml:space="preserve">Factor Definitions</w:t>
      </w:r>
    </w:p>
    <w:bookmarkStart w:id="27" w:name="algorithm-vulnerability-score-textrmavs"/>
    <w:p>
      <w:pPr>
        <w:pStyle w:val="Heading4"/>
      </w:pPr>
      <w:r>
        <w:t xml:space="preserve">Algorithm Vulnerability Score (</w:t>
      </w:r>
      <m:oMath>
        <m:r>
          <m:rPr>
            <m:nor/>
            <m:sty m:val="p"/>
          </m:rPr>
          <m:t>AVS</m:t>
        </m:r>
      </m:oMath>
      <w:r>
        <w:t xml:space="preserve">)</w:t>
      </w:r>
    </w:p>
    <w:p>
      <w:pPr>
        <w:pStyle w:val="FirstParagraph"/>
      </w:pPr>
      <w:r>
        <w:t xml:space="preserve">Each algorithm is assigned a base vulnerability score reflecting its</w:t>
      </w:r>
      <w:r>
        <w:t xml:space="preserve"> </w:t>
      </w:r>
      <w:r>
        <w:t xml:space="preserve">susceptibility to quantum attack. Algorithms vulnerable to Shor’s</w:t>
      </w:r>
      <w:r>
        <w:t xml:space="preserve"> </w:t>
      </w:r>
      <w:r>
        <w:t xml:space="preserve">algorithm receive scores of</w:t>
      </w:r>
      <w:r>
        <w:t xml:space="preserve"> </w:t>
      </w:r>
      <m:oMath>
        <m:r>
          <m:t>75</m:t>
        </m:r>
      </m:oMath>
      <w:r>
        <w:t xml:space="preserve">–</w:t>
      </w:r>
      <m:oMath>
        <m:r>
          <m:t>90</m:t>
        </m:r>
      </m:oMath>
      <w:r>
        <w:t xml:space="preserve"> </w:t>
      </w:r>
      <w:r>
        <w:t xml:space="preserve">(e.g., ECDSA-P256:</w:t>
      </w:r>
      <w:r>
        <w:t xml:space="preserve"> </w:t>
      </w:r>
      <m:oMath>
        <m:r>
          <m:t>90</m:t>
        </m:r>
      </m:oMath>
      <w:r>
        <w:t xml:space="preserve">,</w:t>
      </w:r>
      <w:r>
        <w:t xml:space="preserve"> </w:t>
      </w:r>
      <w:r>
        <w:t xml:space="preserve">RSA-2048:</w:t>
      </w:r>
      <w:r>
        <w:t xml:space="preserve"> </w:t>
      </w:r>
      <m:oMath>
        <m:r>
          <m:t>85</m:t>
        </m:r>
      </m:oMath>
      <w:r>
        <w:t xml:space="preserve">). Algorithms affected only by Grover’s attack score</w:t>
      </w:r>
      <w:r>
        <w:t xml:space="preserve"> </w:t>
      </w:r>
      <m:oMath>
        <m:r>
          <m:t>5</m:t>
        </m:r>
      </m:oMath>
      <w:r>
        <w:t xml:space="preserve">–</w:t>
      </w:r>
      <m:oMath>
        <m:r>
          <m:t>30</m:t>
        </m:r>
      </m:oMath>
      <w:r>
        <w:t xml:space="preserve"> </w:t>
      </w:r>
      <w:r>
        <w:t xml:space="preserve">(e.g., AES-128:</w:t>
      </w:r>
      <w:r>
        <w:t xml:space="preserve"> </w:t>
      </w:r>
      <m:oMath>
        <m:r>
          <m:t>30</m:t>
        </m:r>
      </m:oMath>
      <w:r>
        <w:t xml:space="preserve">, AES-256:</w:t>
      </w:r>
      <w:r>
        <w:t xml:space="preserve"> </w:t>
      </w:r>
      <m:oMath>
        <m:r>
          <m:t>5</m:t>
        </m:r>
      </m:oMath>
      <w:r>
        <w:t xml:space="preserve">). NIST PQC algorithms</w:t>
      </w:r>
      <w:r>
        <w:t xml:space="preserve"> </w:t>
      </w:r>
      <w:r>
        <w:t xml:space="preserve">score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5</m:t>
        </m:r>
      </m:oMath>
      <w:r>
        <w:t xml:space="preserve"> </w:t>
      </w:r>
      <w:r>
        <w:t xml:space="preserve">(e.g., ML-KEM-768:</w:t>
      </w:r>
      <w:r>
        <w:t xml:space="preserve"> </w:t>
      </w:r>
      <m:oMath>
        <m:r>
          <m:t>2</m:t>
        </m:r>
      </m:oMath>
      <w:r>
        <w:t xml:space="preserve">, ML-KEM-1024:</w:t>
      </w:r>
      <w:r>
        <w:t xml:space="preserve"> </w:t>
      </w:r>
      <m:oMath>
        <m:r>
          <m:t>1</m:t>
        </m:r>
      </m:oMath>
      <w:r>
        <w:t xml:space="preserve">).</w:t>
      </w:r>
      <w:r>
        <w:t xml:space="preserve"> </w:t>
      </w:r>
      <w:r>
        <w:t xml:space="preserve">Table </w:t>
      </w:r>
      <w:hyperlink w:anchor="tab:av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presents the complete scoring matrix.</w:t>
      </w:r>
    </w:p>
    <w:bookmarkStart w:id="26" w:name="tab:avs"/>
    <w:p>
      <w:pPr>
        <w:pStyle w:val="TableCaption"/>
      </w:pPr>
      <w:r>
        <w:t xml:space="preserve">Algorithm Vulnerability Scores.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gorithm Vulnerability Scor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AVS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Quantum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ECDSA-P256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ECDH-P256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RSA-2048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RSA-3072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ECDSA-P384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DH-2048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halved (64-bit)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Collision 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halved (128-bit)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SHA3-256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ML-KEM-768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Quantum-resistant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ML-KEM-1024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Quantum-resistant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ML-DSA-65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Quantum-resistant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Falcon-512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Quantum-resistant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X25519-ML-KEM-768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(transitional)</w:t>
            </w:r>
          </w:p>
        </w:tc>
      </w:tr>
    </w:tbl>
    <w:bookmarkEnd w:id="26"/>
    <w:bookmarkEnd w:id="27"/>
    <w:bookmarkStart w:id="29" w:name="time-horizon-risk-textrmthr"/>
    <w:p>
      <w:pPr>
        <w:pStyle w:val="Heading4"/>
      </w:pPr>
      <w:r>
        <w:t xml:space="preserve">Time Horizon Risk (</w:t>
      </w:r>
      <m:oMath>
        <m:r>
          <m:rPr>
            <m:nor/>
            <m:sty m:val="p"/>
          </m:rPr>
          <m:t>THR</m:t>
        </m:r>
      </m:oMath>
      <w:r>
        <w:t xml:space="preserve">)</w:t>
      </w:r>
    </w:p>
    <w:p>
      <w:pPr>
        <w:pStyle w:val="FirstParagraph"/>
      </w:pPr>
      <w:r>
        <w:t xml:space="preserve">This factor operationalizes Mosca’s inequality (Eq. </w:t>
      </w:r>
      <w:hyperlink w:anchor="eq:mosca">
        <w:r>
          <w:rPr>
            <w:rStyle w:val="Hyperlink"/>
          </w:rPr>
          <w:t xml:space="preserve">[eq:mosca]</w:t>
        </w:r>
      </w:hyperlink>
      <w:r>
        <w:t xml:space="preserve">).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data retention period,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estimated migration time</w:t>
      </w:r>
      <w:r>
        <w:t xml:space="preserve"> </w:t>
      </w:r>
      <w:r>
        <w:t xml:space="preserve">based on the current migration phase,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CRQC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</m:oMath>
      <w:r>
        <w:t xml:space="preserve"> </w:t>
      </w:r>
      <w:r>
        <w:t xml:space="preserve">the time until a CRQC is available. The scoring function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THR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100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5</m:t>
                    </m:r>
                  </m:e>
                </m:mr>
                <m:mr>
                  <m:e>
                    <m:r>
                      <m:t>60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40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max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Post-quantum algorithms receive a fixed</w:t>
      </w:r>
      <w:r>
        <w:t xml:space="preserve"> </w:t>
      </w:r>
      <m:oMath>
        <m:r>
          <m:rPr>
            <m:nor/>
            <m:sty m:val="p"/>
          </m:rPr>
          <m:t>THR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regardless</w:t>
      </w:r>
      <w:r>
        <w:t xml:space="preserve"> </w:t>
      </w:r>
      <w:r>
        <w:t xml:space="preserve">of the timeline, reflecting their inherent resistance.</w:t>
      </w:r>
    </w:p>
    <w:p>
      <w:pPr>
        <w:pStyle w:val="BodyText"/>
      </w:pPr>
      <w:r>
        <w:t xml:space="preserve">The estimated migration time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determined by the asset’s current</w:t>
      </w:r>
      <w:r>
        <w:t xml:space="preserve"> </w:t>
      </w:r>
      <w:r>
        <w:t xml:space="preserve">phase in a seven-stage migration continuum:</w:t>
      </w:r>
    </w:p>
    <w:bookmarkStart w:id="28" w:name="tab:migration-phases"/>
    <w:p>
      <w:pPr>
        <w:pStyle w:val="TableCaption"/>
      </w:pPr>
      <w:r>
        <w:t xml:space="preserve">Migration phase model.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gration phase mode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Est. Years (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Not Started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Planning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Testing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Hybrid Deployment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PQC Primary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PQC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CNSA 2.0 Compliant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28"/>
    <w:bookmarkEnd w:id="29"/>
    <w:bookmarkStart w:id="30" w:name="data-sensitivity-score-textrmdss"/>
    <w:p>
      <w:pPr>
        <w:pStyle w:val="Heading4"/>
      </w:pPr>
      <w:r>
        <w:t xml:space="preserve">Data Sensitivity Score (</w:t>
      </w:r>
      <m:oMath>
        <m:r>
          <m:rPr>
            <m:nor/>
            <m:sty m:val="p"/>
          </m:rPr>
          <m:t>DSS</m:t>
        </m:r>
      </m:oMath>
      <w:r>
        <w:t xml:space="preserve">)</w:t>
      </w:r>
    </w:p>
    <w:p>
      <w:pPr>
        <w:pStyle w:val="FirstParagraph"/>
      </w:pPr>
      <w:r>
        <w:t xml:space="preserve">Assets are classified on a five-level scale: Public (</w:t>
      </w:r>
      <m:oMath>
        <m:r>
          <m:rPr>
            <m:nor/>
            <m:sty m:val="p"/>
          </m:rPr>
          <m:t>DSS</m:t>
        </m:r>
        <m:r>
          <m:rPr>
            <m:sty m:val="p"/>
          </m:rPr>
          <m:t>=</m:t>
        </m:r>
        <m:r>
          <m:t>10</m:t>
        </m:r>
      </m:oMath>
      <w:r>
        <w:t xml:space="preserve">),</w:t>
      </w:r>
      <w:r>
        <w:t xml:space="preserve"> </w:t>
      </w:r>
      <w:r>
        <w:t xml:space="preserve">Internal (</w:t>
      </w:r>
      <m:oMath>
        <m:r>
          <m:t>30</m:t>
        </m:r>
      </m:oMath>
      <w:r>
        <w:t xml:space="preserve">), Confidential (</w:t>
      </w:r>
      <m:oMath>
        <m:r>
          <m:t>60</m:t>
        </m:r>
      </m:oMath>
      <w:r>
        <w:t xml:space="preserve">), Secret (</w:t>
      </w:r>
      <m:oMath>
        <m:r>
          <m:t>85</m:t>
        </m:r>
      </m:oMath>
      <w:r>
        <w:t xml:space="preserve">), and Top Secret</w:t>
      </w:r>
      <w:r>
        <w:t xml:space="preserve"> </w:t>
      </w:r>
      <w:r>
        <w:t xml:space="preserve">(</w:t>
      </w:r>
      <m:oMath>
        <m:r>
          <m:t>100</m:t>
        </m:r>
      </m:oMath>
      <w:r>
        <w:t xml:space="preserve">). This weighting ensures that highly classified data requiring</w:t>
      </w:r>
      <w:r>
        <w:t xml:space="preserve"> </w:t>
      </w:r>
      <w:r>
        <w:t xml:space="preserve">long-term confidentiality receives higher migration priority.</w:t>
      </w:r>
    </w:p>
    <w:bookmarkEnd w:id="30"/>
    <w:bookmarkStart w:id="31" w:name="migration-gap-score-textrmmgs"/>
    <w:p>
      <w:pPr>
        <w:pStyle w:val="Heading4"/>
      </w:pPr>
      <w:r>
        <w:t xml:space="preserve">Migration Gap Score (</w:t>
      </w:r>
      <m:oMath>
        <m:r>
          <m:rPr>
            <m:nor/>
            <m:sty m:val="p"/>
          </m:rPr>
          <m:t>MGS</m:t>
        </m:r>
      </m:oMath>
      <w:r>
        <w:t xml:space="preserve">)</w:t>
      </w:r>
    </w:p>
    <w:p>
      <w:pPr>
        <w:pStyle w:val="FirstParagraph"/>
      </w:pPr>
      <w:r>
        <w:t xml:space="preserve">The MGS quantifies how far an asset is from completing its PQC</w:t>
      </w:r>
      <w:r>
        <w:t xml:space="preserve"> </w:t>
      </w:r>
      <w:r>
        <w:t xml:space="preserve">migration, as shown in Table </w:t>
      </w:r>
      <w:hyperlink w:anchor="tab:migration-phases">
        <w:r>
          <w:rPr>
            <w:rStyle w:val="Hyperlink"/>
          </w:rPr>
          <w:t xml:space="preserve">4</w:t>
        </w:r>
      </w:hyperlink>
      <w:r>
        <w:t xml:space="preserve">. An asset that</w:t>
      </w:r>
      <w:r>
        <w:t xml:space="preserve"> </w:t>
      </w:r>
      <w:r>
        <w:t xml:space="preserve">has not started migration scores</w:t>
      </w:r>
      <w:r>
        <w:t xml:space="preserve"> </w:t>
      </w:r>
      <m:oMath>
        <m:r>
          <m:rPr>
            <m:nor/>
            <m:sty m:val="p"/>
          </m:rPr>
          <m:t>MGS</m:t>
        </m:r>
        <m:r>
          <m:rPr>
            <m:sty m:val="p"/>
          </m:rPr>
          <m:t>=</m:t>
        </m:r>
        <m:r>
          <m:t>100</m:t>
        </m:r>
      </m:oMath>
      <w:r>
        <w:t xml:space="preserve">, while a fully</w:t>
      </w:r>
      <w:r>
        <w:t xml:space="preserve"> </w:t>
      </w:r>
      <w:r>
        <w:t xml:space="preserve">CNSA 2.0-compliant asset scores</w:t>
      </w:r>
      <w:r>
        <w:t xml:space="preserve"> </w:t>
      </w:r>
      <m:oMath>
        <m:r>
          <m:rPr>
            <m:nor/>
            <m:sty m:val="p"/>
          </m:rPr>
          <m:t>MGS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1"/>
    <w:bookmarkStart w:id="32" w:name="exposure-surface-textrmes"/>
    <w:p>
      <w:pPr>
        <w:pStyle w:val="Heading4"/>
      </w:pPr>
      <w:r>
        <w:t xml:space="preserve">Exposure Surface (</w:t>
      </w:r>
      <m:oMath>
        <m:r>
          <m:rPr>
            <m:nor/>
            <m:sty m:val="p"/>
          </m:rPr>
          <m:t>ES</m:t>
        </m:r>
      </m:oMath>
      <w:r>
        <w:t xml:space="preserve">)</w:t>
      </w:r>
    </w:p>
    <w:p>
      <w:pPr>
        <w:pStyle w:val="FirstParagraph"/>
      </w:pPr>
      <w:r>
        <w:t xml:space="preserve">The exposure surface factor accounts for the number of systems or</w:t>
      </w:r>
      <w:r>
        <w:t xml:space="preserve"> </w:t>
      </w:r>
      <w:r>
        <w:t xml:space="preserve">endpoints using a given cryptographic asset: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ES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30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10</m:t>
                    </m:r>
                  </m:e>
                </m:mr>
                <m:mr>
                  <m:e>
                    <m:r>
                      <m:t>60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100</m:t>
                    </m:r>
                  </m:e>
                </m:mr>
                <m:mr>
                  <m:e>
                    <m:r>
                      <m:t>80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100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1000</m:t>
                    </m:r>
                  </m:e>
                </m:mr>
                <m:mr>
                  <m:e>
                    <m:r>
                      <m:t>100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1000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system count. A widely deployed algorithm</w:t>
      </w:r>
      <w:r>
        <w:t xml:space="preserve"> </w:t>
      </w:r>
      <w:r>
        <w:t xml:space="preserve">represents a larger attack surface and thus higher risk.</w:t>
      </w:r>
    </w:p>
    <w:bookmarkEnd w:id="32"/>
    <w:bookmarkEnd w:id="33"/>
    <w:bookmarkStart w:id="34" w:name="risk-classification"/>
    <w:p>
      <w:pPr>
        <w:pStyle w:val="Heading2"/>
      </w:pPr>
      <w:r>
        <w:t xml:space="preserve">Risk Classification</w:t>
      </w:r>
    </w:p>
    <w:p>
      <w:pPr>
        <w:pStyle w:val="FirstParagraph"/>
      </w:pPr>
      <w:r>
        <w:t xml:space="preserve">The composite QRS maps to four risk levels:</w:t>
      </w:r>
    </w:p>
    <w:p>
      <w:pPr>
        <w:pStyle w:val="BodyText"/>
      </w:pPr>
      <w:r>
        <w:t xml:space="preserve">$$\begin{equation}
    \label{eq:risk-levels}
      \text{Risk}(a) =
      \begin{cases}
        \textsc{Critical} &amp; \text{if } \textrm{QRS}(a) \in [76, 100] \\
        \textsc{High}     &amp; \text{if } \textrm{QRS}(a) \in [51, 75] \\
        \textsc{Moderate} &amp; \text{if } \textrm{QRS}(a) \in [26, 50] \\
        \textsc{Low}      &amp; \text{if } \textrm{QRS}(a) \in [0, 25]
      \end{cases}
    \end{equation}$$</w:t>
      </w:r>
    </w:p>
    <w:p>
      <w:pPr>
        <w:pStyle w:val="FirstParagraph"/>
      </w:pPr>
      <w:r>
        <w:t xml:space="preserve">Each level triggers a prescribed action:</w:t>
      </w:r>
      <w:r>
        <w:t xml:space="preserve"> </w:t>
      </w:r>
      <w:r>
        <w:rPr>
          <w:smallCaps/>
        </w:rPr>
        <w:t xml:space="preserve">Critical</w:t>
      </w:r>
      <w:r>
        <w:t xml:space="preserve"> </w:t>
      </w:r>
      <w:r>
        <w:t xml:space="preserve">mandates</w:t>
      </w:r>
      <w:r>
        <w:t xml:space="preserve"> </w:t>
      </w:r>
      <w:r>
        <w:t xml:space="preserve">emergency migration within 90 days,</w:t>
      </w:r>
      <w:r>
        <w:t xml:space="preserve"> </w:t>
      </w:r>
      <w:r>
        <w:rPr>
          <w:smallCaps/>
        </w:rPr>
        <w:t xml:space="preserve">High</w:t>
      </w:r>
      <w:r>
        <w:t xml:space="preserve"> </w:t>
      </w:r>
      <w:r>
        <w:t xml:space="preserve">initiates a 6-month</w:t>
      </w:r>
      <w:r>
        <w:t xml:space="preserve"> </w:t>
      </w:r>
      <w:r>
        <w:t xml:space="preserve">migration plan,</w:t>
      </w:r>
      <w:r>
        <w:t xml:space="preserve"> </w:t>
      </w:r>
      <w:r>
        <w:rPr>
          <w:smallCaps/>
        </w:rPr>
        <w:t xml:space="preserve">Moderate</w:t>
      </w:r>
      <w:r>
        <w:t xml:space="preserve"> </w:t>
      </w:r>
      <w:r>
        <w:t xml:space="preserve">schedules the asset for the next</w:t>
      </w:r>
      <w:r>
        <w:t xml:space="preserve"> </w:t>
      </w:r>
      <w:r>
        <w:t xml:space="preserve">18-month cycle, and</w:t>
      </w:r>
      <w:r>
        <w:t xml:space="preserve"> </w:t>
      </w:r>
      <w:r>
        <w:rPr>
          <w:smallCaps/>
        </w:rPr>
        <w:t xml:space="preserve">Low</w:t>
      </w:r>
      <w:r>
        <w:t xml:space="preserve"> </w:t>
      </w:r>
      <w:r>
        <w:t xml:space="preserve">requires annual review only.</w:t>
      </w:r>
    </w:p>
    <w:bookmarkEnd w:id="34"/>
    <w:bookmarkStart w:id="35" w:name="harvest-now-decrypt-later-detection"/>
    <w:p>
      <w:pPr>
        <w:pStyle w:val="Heading2"/>
      </w:pPr>
      <w:r>
        <w:t xml:space="preserve">Harvest-Now-Decrypt-Later Detection</w:t>
      </w:r>
    </w:p>
    <w:p>
      <w:pPr>
        <w:pStyle w:val="FirstParagraph"/>
      </w:pPr>
      <w:r>
        <w:t xml:space="preserve">An asset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flagged for HNDL risk when its algorithm is vulnerable</w:t>
      </w:r>
      <w:r>
        <w:t xml:space="preserve"> </w:t>
      </w:r>
      <w:r>
        <w:t xml:space="preserve">to Shor’s algorithm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data retention period exceeds the</w:t>
      </w:r>
      <w:r>
        <w:t xml:space="preserve"> </w:t>
      </w:r>
      <w:r>
        <w:t xml:space="preserve">time until a CRQC: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HNDL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Shor-vulnerable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&gt;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Assets flagged for HNDL risk receive immediate attention</w:t>
      </w:r>
      <w:r>
        <w:t xml:space="preserve"> </w:t>
      </w:r>
      <w:r>
        <w:t xml:space="preserve">regardless of their QRS, as the data they protect is already at risk</w:t>
      </w:r>
      <w:r>
        <w:t xml:space="preserve"> </w:t>
      </w:r>
      <w:r>
        <w:t xml:space="preserve">of future decryption.</w:t>
      </w:r>
    </w:p>
    <w:bookmarkEnd w:id="35"/>
    <w:bookmarkStart w:id="36" w:name="portfolio-assessment"/>
    <w:p>
      <w:pPr>
        <w:pStyle w:val="Heading2"/>
      </w:pPr>
      <w:r>
        <w:t xml:space="preserve">Portfolio Assessment</w:t>
      </w:r>
    </w:p>
    <w:p>
      <w:pPr>
        <w:pStyle w:val="FirstParagraph"/>
      </w:pPr>
      <w:r>
        <w:t xml:space="preserve">The scoring engine aggregates individual assessments into a portfolio</w:t>
      </w:r>
      <w:r>
        <w:t xml:space="preserve"> </w:t>
      </w:r>
      <w:r>
        <w:t xml:space="preserve">view, computing: the mean QRS across all assets, the distribution of</w:t>
      </w:r>
      <w:r>
        <w:t xml:space="preserve"> </w:t>
      </w:r>
      <w:r>
        <w:t xml:space="preserve">risk levels, the percentage of assets at PQC or hybrid migration phases</w:t>
      </w:r>
      <w:r>
        <w:t xml:space="preserve"> </w:t>
      </w:r>
      <w:r>
        <w:t xml:space="preserve">(migration coverage), and the percentage meeting CNSA 2.0 requirements.</w:t>
      </w:r>
      <w:r>
        <w:t xml:space="preserve"> </w:t>
      </w:r>
      <w:r>
        <w:t xml:space="preserve">This enables executive-level reporting and resource allocation.</w:t>
      </w:r>
    </w:p>
    <w:bookmarkEnd w:id="36"/>
    <w:bookmarkEnd w:id="37"/>
    <w:bookmarkStart w:id="44" w:name="sec:hybrid"/>
    <w:p>
      <w:pPr>
        <w:pStyle w:val="Heading1"/>
      </w:pPr>
      <w:r>
        <w:t xml:space="preserve">Hybrid Key Exchange</w:t>
      </w:r>
    </w:p>
    <w:p>
      <w:pPr>
        <w:pStyle w:val="FirstParagraph"/>
      </w:pPr>
      <w:r>
        <w:t xml:space="preserve">During the transition period, hybrid key exchange constructions provide</w:t>
      </w:r>
      <w:r>
        <w:t xml:space="preserve"> </w:t>
      </w:r>
      <w:r>
        <w:t xml:space="preserve">defense-in-depth: if either the classical or the post-quantum component</w:t>
      </w:r>
      <w:r>
        <w:t xml:space="preserve"> </w:t>
      </w:r>
      <w:r>
        <w:t xml:space="preserve">is broken, the overall key exchange remains secure </w:t>
      </w:r>
      <w:r>
        <w:t xml:space="preserve">(Giacon et al. 2018; Dowling et al. 2024)</w:t>
      </w:r>
      <w:r>
        <w:t xml:space="preserve">. We specify three variants targeting different deployment</w:t>
      </w:r>
      <w:r>
        <w:t xml:space="preserve"> </w:t>
      </w:r>
      <w:r>
        <w:t xml:space="preserve">contexts, following the IETF hybrid design </w:t>
      </w:r>
      <w:r>
        <w:t xml:space="preserve">(Stebila et al. 2024)</w:t>
      </w:r>
      <w:r>
        <w:t xml:space="preserve">.</w:t>
      </w:r>
    </w:p>
    <w:bookmarkStart w:id="38" w:name="construction"/>
    <w:p>
      <w:pPr>
        <w:pStyle w:val="Heading2"/>
      </w:pPr>
      <w:r>
        <w:t xml:space="preserve">Construction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nor/>
            <m:sty m:val="p"/>
          </m:rPr>
          <m:t>ECDH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KeyGen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rPr>
            <m:nor/>
            <m:sty m:val="p"/>
          </m:rPr>
          <m:t>DH</m:t>
        </m:r>
        <m:r>
          <m:rPr>
            <m:sty m:val="p"/>
          </m:rPr>
          <m:t>)</m:t>
        </m:r>
      </m:oMath>
      <w:r>
        <w:t xml:space="preserve"> </w:t>
      </w:r>
      <w:r>
        <w:t xml:space="preserve">be a classical</w:t>
      </w:r>
      <w:r>
        <w:t xml:space="preserve"> </w:t>
      </w:r>
      <w:r>
        <w:t xml:space="preserve">Diffie–Hellman key agreement and</w:t>
      </w:r>
      <w:r>
        <w:t xml:space="preserve"> </w:t>
      </w:r>
      <m:oMath>
        <m:r>
          <m:rPr>
            <m:nor/>
            <m:sty m:val="p"/>
          </m:rPr>
          <m:t>ML-KEM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KeyGen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rPr>
            <m:nor/>
            <m:sty m:val="p"/>
          </m:rPr>
          <m:t>Encaps</m:t>
        </m:r>
        <m:r>
          <m:rPr>
            <m:sty m:val="p"/>
          </m:rPr>
          <m:t>,</m:t>
        </m:r>
        <m:r>
          <m:rPr>
            <m:nor/>
            <m:sty m:val="p"/>
          </m:rPr>
          <m:t>Decaps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post-quantum KEM. The hybrid</w:t>
      </w:r>
      <w:r>
        <w:t xml:space="preserve"> </w:t>
      </w:r>
      <w:r>
        <w:t xml:space="preserve">scheme</w:t>
      </w:r>
      <w:r>
        <w:t xml:space="preserve"> </w:t>
      </w:r>
      <m:oMath>
        <m:r>
          <m:rPr>
            <m:nor/>
            <m:sty m:val="p"/>
          </m:rPr>
          <m:t>HybridKEM</m:t>
        </m:r>
      </m:oMath>
      <w:r>
        <w:t xml:space="preserve"> </w:t>
      </w:r>
      <w:r>
        <w:t xml:space="preserve">proceeds as follows:</w:t>
      </w:r>
    </w:p>
    <w:p>
      <w:pPr>
        <w:pStyle w:val="BodyText"/>
      </w:pPr>
      <w:r>
        <w:rPr>
          <w:b/>
          <w:bCs/>
        </w:rPr>
        <w:t xml:space="preserve">Key Generation: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s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nor/>
                      <m:sty m:val="p"/>
                    </m:rPr>
                    <m:t>KeyGen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s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nor/>
                      <m:sty m:val="p"/>
                    </m:rPr>
                    <m:t>KeyGen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)</m:t>
              </m:r>
            </m:e>
            <m:e>
              <m:r>
                <m:t>p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∥</m:t>
              </m:r>
              <m:r>
                <m:t>p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r>
                <m:t>s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∥</m:t>
              </m:r>
              <m:r>
                <m:t>s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Encapsulation</w:t>
      </w:r>
      <w:r>
        <w:t xml:space="preserve"> </w:t>
      </w:r>
      <w:r>
        <w:t xml:space="preserve">(client):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ECDH</m:t>
              </m:r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Encaps</m:t>
              </m:r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c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∥</m:t>
              </m:r>
              <m:r>
                <m:t>c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e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HKDF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salt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info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Decapsulation</w:t>
      </w:r>
      <w:r>
        <w:t xml:space="preserve"> </w:t>
      </w:r>
      <w:r>
        <w:t xml:space="preserve">(server):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DH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s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Decaps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s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HKDF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salt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info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shared-secret combination (Eq. </w:t>
      </w:r>
      <w:hyperlink w:anchor="eq:combine">
        <w:r>
          <w:rPr>
            <w:rStyle w:val="Hyperlink"/>
          </w:rPr>
          <w:t xml:space="preserve">[eq:combine]</w:t>
        </w:r>
      </w:hyperlink>
      <w:r>
        <w:t xml:space="preserve">) uses</w:t>
      </w:r>
      <w:r>
        <w:t xml:space="preserve"> </w:t>
      </w:r>
      <w:r>
        <w:t xml:space="preserve">HKDF-SHA256 </w:t>
      </w:r>
      <w:r>
        <w:t xml:space="preserve">(Krawczyk and Eronen 2010)</w:t>
      </w:r>
      <w:r>
        <w:t xml:space="preserve"> </w:t>
      </w:r>
      <w:r>
        <w:t xml:space="preserve">with:</w:t>
      </w:r>
    </w:p>
    <w:p>
      <w:pPr>
        <w:numPr>
          <w:ilvl w:val="0"/>
          <w:numId w:val="1004"/>
        </w:numPr>
      </w:pPr>
      <m:oMath>
        <m:r>
          <m:rPr>
            <m:nor/>
            <m:sty m:val="p"/>
          </m:rPr>
          <m:t>salt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"qbitel-hybrid-kex-v1"</m:t>
        </m:r>
      </m:oMath>
      <w:r>
        <w:t xml:space="preserve"> </w:t>
      </w:r>
      <w:r>
        <w:t xml:space="preserve">(fixed, public);</w:t>
      </w:r>
    </w:p>
    <w:p>
      <w:pPr>
        <w:numPr>
          <w:ilvl w:val="0"/>
          <w:numId w:val="1004"/>
        </w:numPr>
      </w:pPr>
      <m:oMath>
        <m:r>
          <m:rPr>
            <m:nor/>
            <m:sty m:val="p"/>
          </m:rPr>
          <m:t>info</m:t>
        </m:r>
        <m:r>
          <m:rPr>
            <m:sty m:val="p"/>
          </m:rPr>
          <m:t>=</m:t>
        </m:r>
        <m:r>
          <m:rPr>
            <m:nor/>
            <m:sty m:val="p"/>
          </m:rPr>
          <m:t>variant name</m:t>
        </m:r>
      </m:oMath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"x25519-mlkem-768"</w:t>
      </w:r>
      <w:r>
        <w:t xml:space="preserve">) for domain separation;</w:t>
      </w:r>
    </w:p>
    <w:p>
      <w:pPr>
        <w:numPr>
          <w:ilvl w:val="0"/>
          <w:numId w:val="1004"/>
        </w:numPr>
      </w:pPr>
      <w:r>
        <w:t xml:space="preserve">output length = 32 bytes (256 bits).</w:t>
      </w:r>
    </w:p>
    <w:p>
      <w:pPr>
        <w:pStyle w:val="FirstParagraph"/>
      </w:pPr>
      <w:r>
        <w:t xml:space="preserve">The concatenation of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∥</m:t>
        </m:r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as input key material (IKM) to HKDF</w:t>
      </w:r>
      <w:r>
        <w:t xml:space="preserve"> </w:t>
      </w:r>
      <w:r>
        <w:t xml:space="preserve">ensures that the derived key depends on both components. The domain</w:t>
      </w:r>
      <w:r>
        <w:t xml:space="preserve"> </w:t>
      </w:r>
      <w:r>
        <w:t xml:space="preserve">separation via the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parameter prevents cross-variant key</w:t>
      </w:r>
      <w:r>
        <w:t xml:space="preserve"> </w:t>
      </w:r>
      <w:r>
        <w:t xml:space="preserve">confusion.</w:t>
      </w:r>
    </w:p>
    <w:bookmarkEnd w:id="38"/>
    <w:bookmarkStart w:id="40" w:name="variants"/>
    <w:p>
      <w:pPr>
        <w:pStyle w:val="Heading2"/>
      </w:pPr>
      <w:r>
        <w:t xml:space="preserve">Variants</w:t>
      </w:r>
    </w:p>
    <w:p>
      <w:pPr>
        <w:pStyle w:val="FirstParagraph"/>
      </w:pPr>
      <w:r>
        <w:t xml:space="preserve">Table </w:t>
      </w:r>
      <w:hyperlink w:anchor="tab:hybrid-varian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summarizes the three variants.</w:t>
      </w:r>
    </w:p>
    <w:bookmarkStart w:id="39" w:name="tab:hybrid-variants"/>
    <w:p>
      <w:pPr>
        <w:pStyle w:val="TableCaption"/>
      </w:pPr>
      <w:r>
        <w:t xml:space="preserve">Hybrid KEM variant specifications.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ybrid KEM variant specification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Classical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PQC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CT 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X25519-ML-KEM-768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X25519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ML-KEM-768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1 216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P384-ML-KEM-1024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ML-KEM-1024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1 665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X25519-ML-KEM-512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X25519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ML-KEM-512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</w:t>
            </w:r>
          </w:p>
        </w:tc>
      </w:tr>
    </w:tbl>
    <w:bookmarkEnd w:id="39"/>
    <w:p>
      <w:pPr>
        <w:numPr>
          <w:ilvl w:val="0"/>
          <w:numId w:val="1005"/>
        </w:numPr>
      </w:pPr>
      <w:r>
        <w:rPr>
          <w:b/>
          <w:bCs/>
        </w:rPr>
        <w:t xml:space="preserve">X25519-ML-KEM-768</w:t>
      </w:r>
      <w:r>
        <w:t xml:space="preserve"> </w:t>
      </w:r>
      <w:r>
        <w:t xml:space="preserve">is the recommended default for TLS 1.3,</w:t>
      </w:r>
      <w:r>
        <w:t xml:space="preserve"> </w:t>
      </w:r>
      <w:r>
        <w:t xml:space="preserve">matching the deployment choice of Chrome and Cloudflare </w:t>
      </w:r>
      <w:r>
        <w:t xml:space="preserve">(Cloudflare Research 2024; Google Chrome Team 2024)</w:t>
      </w:r>
      <w:r>
        <w:t xml:space="preserve">. It provides NIST Level 3 security with moderate overhead</w:t>
      </w:r>
      <w:r>
        <w:t xml:space="preserve"> </w:t>
      </w:r>
      <w:r>
        <w:t xml:space="preserve">(1 216-byte public key, 1 120-byte ciphertext).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P384-ML-KEM-1024</w:t>
      </w:r>
      <w:r>
        <w:t xml:space="preserve"> </w:t>
      </w:r>
      <w:r>
        <w:t xml:space="preserve">targets enterprise and government</w:t>
      </w:r>
      <w:r>
        <w:t xml:space="preserve"> </w:t>
      </w:r>
      <w:r>
        <w:t xml:space="preserve">environments requiring NIST Level 5 security. The use of P-384</w:t>
      </w:r>
      <w:r>
        <w:t xml:space="preserve"> </w:t>
      </w:r>
      <w:r>
        <w:t xml:space="preserve">provides 192-bit classical security and compliance with CNSA 2.0</w:t>
      </w:r>
      <w:r>
        <w:t xml:space="preserve"> </w:t>
      </w:r>
      <w:r>
        <w:t xml:space="preserve">requirements for the classical component.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X25519-ML-KEM-512</w:t>
      </w:r>
      <w:r>
        <w:t xml:space="preserve"> </w:t>
      </w:r>
      <w:r>
        <w:t xml:space="preserve">is optimized for constrained</w:t>
      </w:r>
      <w:r>
        <w:t xml:space="preserve"> </w:t>
      </w:r>
      <w:r>
        <w:t xml:space="preserve">environments (IoT, embedded systems) where bandwidth is limited. It</w:t>
      </w:r>
      <w:r>
        <w:t xml:space="preserve"> </w:t>
      </w:r>
      <w:r>
        <w:t xml:space="preserve">provides NIST Level 1 security with the smallest footprint (832-byte</w:t>
      </w:r>
      <w:r>
        <w:t xml:space="preserve"> </w:t>
      </w:r>
      <w:r>
        <w:t xml:space="preserve">public key, 800-byte ciphertext).</w:t>
      </w:r>
    </w:p>
    <w:bookmarkEnd w:id="40"/>
    <w:bookmarkStart w:id="41" w:name="security-proof-sketch"/>
    <w:p>
      <w:pPr>
        <w:pStyle w:val="Heading2"/>
      </w:pPr>
      <w:r>
        <w:t xml:space="preserve">Security Proof Sketch</w:t>
      </w:r>
    </w:p>
    <w:p>
      <w:pPr>
        <w:pStyle w:val="FirstParagraph"/>
      </w:pPr>
      <w:r>
        <w:t xml:space="preserve">If either the classical ECDH component satisfies the decisional</w:t>
      </w:r>
      <w:r>
        <w:t xml:space="preserve"> </w:t>
      </w:r>
      <w:r>
        <w:t xml:space="preserve">Diffie–Hellman (DDH) assumption or the ML-KEM component is IND-CCA2</w:t>
      </w:r>
      <w:r>
        <w:t xml:space="preserve"> </w:t>
      </w:r>
      <w:r>
        <w:t xml:space="preserve">secure under Module-LWE, then the hybrid construction is IND-CCA2</w:t>
      </w:r>
      <w:r>
        <w:t xml:space="preserve"> </w:t>
      </w:r>
      <w:r>
        <w:t xml:space="preserve">secure, provided HKDF is modeled as a random oracle.</w:t>
      </w:r>
    </w:p>
    <w:p>
      <w:pPr>
        <w:pStyle w:val="BodyText"/>
      </w:pPr>
      <w:r>
        <w:rPr>
          <w:i/>
          <w:iCs/>
        </w:rPr>
        <w:t xml:space="preserve">Proof sketch.</w:t>
      </w:r>
      <w:r>
        <w:t xml:space="preserve"> </w:t>
      </w:r>
      <w:r>
        <w:t xml:space="preserve">We proceed via a game-hopping argument following Giacon et al. </w:t>
      </w:r>
      <w:r>
        <w:t xml:space="preserve">(Giacon et al. 2018)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Game 0:</w:t>
      </w:r>
      <w:r>
        <w:t xml:space="preserve"> </w:t>
      </w:r>
      <w:r>
        <w:t xml:space="preserve">The real IND-CCA2 game. The challenger generates a hybrid</w:t>
      </w:r>
      <w:r>
        <w:t xml:space="preserve"> </w:t>
      </w:r>
      <w:r>
        <w:t xml:space="preserve">keypair and the adversary receives either the real or a random shared</w:t>
      </w:r>
      <w:r>
        <w:t xml:space="preserve"> </w:t>
      </w:r>
      <w:r>
        <w:t xml:space="preserve">secret.</w:t>
      </w:r>
    </w:p>
    <w:p>
      <w:pPr>
        <w:pStyle w:val="BodyText"/>
      </w:pPr>
      <w:r>
        <w:rPr>
          <w:i/>
          <w:iCs/>
        </w:rPr>
        <w:t xml:space="preserve">Game 1:</w:t>
      </w:r>
      <w:r>
        <w:t xml:space="preserve"> </w:t>
      </w:r>
      <w:r>
        <w:t xml:space="preserve">Replace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classical shared secret) with a</w:t>
      </w:r>
      <w:r>
        <w:t xml:space="preserve"> </w:t>
      </w:r>
      <w:r>
        <w:t xml:space="preserve">uniformly random value. The transition is justified by the DDH</w:t>
      </w:r>
      <w:r>
        <w:t xml:space="preserve"> </w:t>
      </w:r>
      <w:r>
        <w:t xml:space="preserve">assumption in the classical group.</w:t>
      </w:r>
    </w:p>
    <w:p>
      <w:pPr>
        <w:pStyle w:val="BodyText"/>
      </w:pPr>
      <w:r>
        <w:rPr>
          <w:i/>
          <w:iCs/>
        </w:rPr>
        <w:t xml:space="preserve">Game 2:</w:t>
      </w:r>
      <w:r>
        <w:t xml:space="preserve"> </w:t>
      </w:r>
      <w:r>
        <w:t xml:space="preserve">Replace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(the ML-KEM shared secret) with a uniformly</w:t>
      </w:r>
      <w:r>
        <w:t xml:space="preserve"> </w:t>
      </w:r>
      <w:r>
        <w:t xml:space="preserve">random value. The transition is justified by IND-CCA2 security of ML-KEM</w:t>
      </w:r>
      <w:r>
        <w:t xml:space="preserve"> </w:t>
      </w:r>
      <w:r>
        <w:t xml:space="preserve">under Module-LWE </w:t>
      </w:r>
      <w:r>
        <w:t xml:space="preserve">(Regev 2005; Lyubashevsky et al. 2010)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Game 3:</w:t>
      </w:r>
      <w:r>
        <w:t xml:space="preserve"> </w:t>
      </w:r>
      <w:r>
        <w:t xml:space="preserve">In Game 2, the IKM to HKDF is two independent random</w:t>
      </w:r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∥</m:t>
        </m:r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. Model HKDF as a random oracle; then the output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indistinguishable from random.</w:t>
      </w:r>
    </w:p>
    <w:p>
      <w:pPr>
        <w:pStyle w:val="BodyText"/>
      </w:pPr>
      <w:r>
        <w:t xml:space="preserve">The adversary’s advantage is bounded by: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Adv</m:t>
              </m:r>
            </m:e>
            <m:sub>
              <m:r>
                <m:rPr>
                  <m:nor/>
                  <m:sty m:val="p"/>
                </m:rPr>
                <m:t>Hybrid</m:t>
              </m:r>
            </m:sub>
            <m:sup>
              <m:r>
                <m:rPr>
                  <m:nor/>
                  <m:sty m:val="p"/>
                </m:rPr>
                <m:t>IND-CCA2</m:t>
              </m:r>
            </m:sup>
          </m:sSubSup>
          <m:r>
            <m:rPr>
              <m:sty m:val="p"/>
            </m:rPr>
            <m:t>≤</m:t>
          </m:r>
          <m:sSubSup>
            <m:e>
              <m:r>
                <m:rPr>
                  <m:nor/>
                  <m:sty m:val="p"/>
                </m:rPr>
                <m:t>Adv</m:t>
              </m:r>
            </m:e>
            <m:sub>
              <m:r>
                <m:t>C</m:t>
              </m:r>
            </m:sub>
            <m:sup>
              <m:r>
                <m:rPr>
                  <m:nor/>
                  <m:sty m:val="p"/>
                </m:rPr>
                <m:t>DDH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Adv</m:t>
              </m:r>
            </m:e>
            <m:sub>
              <m:r>
                <m:rPr>
                  <m:nor/>
                  <m:sty m:val="p"/>
                </m:rPr>
                <m:t>ML-KEM</m:t>
              </m:r>
            </m:sub>
            <m:sup>
              <m:r>
                <m:rPr>
                  <m:nor/>
                  <m:sty m:val="p"/>
                </m:rPr>
                <m:t>IND-CCA2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Adv</m:t>
              </m:r>
            </m:e>
            <m:sub>
              <m:r>
                <m:rPr>
                  <m:nor/>
                  <m:sty m:val="p"/>
                </m:rPr>
                <m:t>HKDF</m:t>
              </m:r>
            </m:sub>
            <m:sup>
              <m:r>
                <m:rPr>
                  <m:nor/>
                  <m:sty m:val="p"/>
                </m:rPr>
                <m:t>PRF</m:t>
              </m:r>
            </m:sup>
          </m:sSubSup>
        </m:oMath>
      </m:oMathPara>
    </w:p>
    <w:p>
      <w:pPr>
        <w:pStyle w:val="FirstParagraph"/>
      </w:pPr>
      <w:r>
        <w:t xml:space="preserve">Crucially, if either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Adv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DDH</m:t>
            </m:r>
          </m:sup>
        </m:sSubSup>
      </m:oMath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Adv</m:t>
            </m:r>
          </m:e>
          <m:sub>
            <m:r>
              <m:rPr>
                <m:nor/>
                <m:sty m:val="p"/>
              </m:rPr>
              <m:t>ML-KEM</m:t>
            </m:r>
          </m:sub>
          <m:sup>
            <m:r>
              <m:rPr>
                <m:nor/>
                <m:sty m:val="p"/>
              </m:rPr>
              <m:t>IND-CCA2</m:t>
            </m:r>
          </m:sup>
        </m:sSubSup>
      </m:oMath>
      <w:r>
        <w:t xml:space="preserve"> </w:t>
      </w:r>
      <w:r>
        <w:t xml:space="preserve">is negligible, the</w:t>
      </w:r>
      <w:r>
        <w:t xml:space="preserve"> </w:t>
      </w:r>
      <w:r>
        <w:t xml:space="preserve">overall advantage remains negligible. This is the</w:t>
      </w:r>
      <w:r>
        <w:t xml:space="preserve"> </w:t>
      </w:r>
      <w:r>
        <w:rPr>
          <w:i/>
          <w:iCs/>
        </w:rPr>
        <w:t xml:space="preserve">hybrid</w:t>
      </w:r>
      <w:r>
        <w:rPr>
          <w:i/>
          <w:iCs/>
        </w:rPr>
        <w:t xml:space="preserve"> </w:t>
      </w:r>
      <w:r>
        <w:rPr>
          <w:i/>
          <w:iCs/>
        </w:rPr>
        <w:t xml:space="preserve">defense-in-depth</w:t>
      </w:r>
      <w:r>
        <w:t xml:space="preserve"> </w:t>
      </w:r>
      <w:r>
        <w:t xml:space="preserve">property. ◻</w:t>
      </w:r>
    </w:p>
    <w:bookmarkEnd w:id="41"/>
    <w:bookmarkStart w:id="42" w:name="tls-1.3-integration"/>
    <w:p>
      <w:pPr>
        <w:pStyle w:val="Heading2"/>
      </w:pPr>
      <w:r>
        <w:t xml:space="preserve">TLS 1.3 Integration</w:t>
      </w:r>
    </w:p>
    <w:p>
      <w:pPr>
        <w:pStyle w:val="FirstParagraph"/>
      </w:pPr>
      <w:r>
        <w:t xml:space="preserve">The hybrid construction integrates into TLS 1.3 </w:t>
      </w:r>
      <w:r>
        <w:t xml:space="preserve">(Rescorla 2018)</w:t>
      </w:r>
      <w:r>
        <w:t xml:space="preserve"> </w:t>
      </w:r>
      <w:r>
        <w:t xml:space="preserve">by</w:t>
      </w:r>
      <w:r>
        <w:t xml:space="preserve"> </w:t>
      </w:r>
      <w:r>
        <w:t xml:space="preserve">encoding the hybrid public key and ciphertext as opaque extensions in the</w:t>
      </w:r>
      <w:r>
        <w:t xml:space="preserve"> </w:t>
      </w:r>
      <w:r>
        <w:rPr>
          <w:rStyle w:val="VerbatimChar"/>
        </w:rPr>
        <w:t xml:space="preserve">key_share</w:t>
      </w:r>
      <w:r>
        <w:t xml:space="preserve"> </w:t>
      </w:r>
      <w:r>
        <w:t xml:space="preserve">extension of ClientHello and ServerHello messages,</w:t>
      </w:r>
      <w:r>
        <w:t xml:space="preserve"> </w:t>
      </w:r>
      <w:r>
        <w:t xml:space="preserve">following the approach of draft-ietf-tls-hybrid-design </w:t>
      </w:r>
      <w:r>
        <w:t xml:space="preserve">(Stebila et al. 2024)</w:t>
      </w:r>
      <w:r>
        <w:t xml:space="preserve">.</w:t>
      </w:r>
      <w:r>
        <w:t xml:space="preserve"> </w:t>
      </w:r>
      <w:r>
        <w:t xml:space="preserve">The hybrid shared secret replaces the standard ECDHE shared secret in the</w:t>
      </w:r>
      <w:r>
        <w:t xml:space="preserve"> </w:t>
      </w:r>
      <w:r>
        <w:t xml:space="preserve">TLS 1.3 key schedule; all subsequent key derivation (handshake keys,</w:t>
      </w:r>
      <w:r>
        <w:t xml:space="preserve"> </w:t>
      </w:r>
      <w:r>
        <w:t xml:space="preserve">application keys) proceeds identically.</w:t>
      </w:r>
    </w:p>
    <w:bookmarkEnd w:id="42"/>
    <w:bookmarkStart w:id="43" w:name="memory-safety"/>
    <w:p>
      <w:pPr>
        <w:pStyle w:val="Heading2"/>
      </w:pPr>
      <w:r>
        <w:t xml:space="preserve">Memory Safety</w:t>
      </w:r>
    </w:p>
    <w:p>
      <w:pPr>
        <w:pStyle w:val="FirstParagraph"/>
      </w:pPr>
      <w:r>
        <w:t xml:space="preserve">Private key material and shared secrets are zeroized upon deallocation.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HybridPrivateKey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HybridSharedSecret</w:t>
      </w:r>
      <w:r>
        <w:t xml:space="preserve"> </w:t>
      </w:r>
      <w:r>
        <w:t xml:space="preserve">objects</w:t>
      </w:r>
      <w:r>
        <w:t xml:space="preserve"> </w:t>
      </w:r>
      <w:r>
        <w:t xml:space="preserve">overwrite their byte arrays in the destructor, providing defense against</w:t>
      </w:r>
      <w:r>
        <w:t xml:space="preserve"> </w:t>
      </w:r>
      <w:r>
        <w:t xml:space="preserve">cold-boot and memory-scraping attacks. While Python’s garbage collector</w:t>
      </w:r>
      <w:r>
        <w:t xml:space="preserve"> </w:t>
      </w:r>
      <w:r>
        <w:t xml:space="preserve">does not guarantee immediate collection, the explicit zeroization in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reduces the exposure window.</w:t>
      </w:r>
    </w:p>
    <w:bookmarkEnd w:id="43"/>
    <w:bookmarkEnd w:id="44"/>
    <w:bookmarkStart w:id="54" w:name="sec:eval"/>
    <w:p>
      <w:pPr>
        <w:pStyle w:val="Heading1"/>
      </w:pPr>
      <w:r>
        <w:t xml:space="preserve">Implementation and Evaluation</w:t>
      </w:r>
    </w:p>
    <w:p>
      <w:pPr>
        <w:pStyle w:val="FirstParagraph"/>
      </w:pPr>
      <w:r>
        <w:t xml:space="preserve">We implement</w:t>
      </w:r>
      <w:r>
        <w:t xml:space="preserve"> </w:t>
      </w:r>
      <w:r>
        <w:rPr>
          <w:smallCaps/>
        </w:rPr>
        <w:t xml:space="preserve">QBridge</w:t>
      </w:r>
      <w:r>
        <w:t xml:space="preserve"> </w:t>
      </w:r>
      <w:r>
        <w:t xml:space="preserve">in Python using the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library</w:t>
      </w:r>
      <w:r>
        <w:t xml:space="preserve"> </w:t>
      </w:r>
      <w:r>
        <w:t xml:space="preserve">for classical primitives and a custom ML-KEM implementation following</w:t>
      </w:r>
      <w:r>
        <w:t xml:space="preserve"> </w:t>
      </w:r>
      <w:r>
        <w:t xml:space="preserve">FIPS 203. The implementation comprises approximately 2 400 lines of</w:t>
      </w:r>
      <w:r>
        <w:t xml:space="preserve"> </w:t>
      </w:r>
      <w:r>
        <w:t xml:space="preserve">code across three modules:</w:t>
      </w:r>
      <w:r>
        <w:t xml:space="preserve"> </w:t>
      </w:r>
      <w:r>
        <w:rPr>
          <w:rStyle w:val="VerbatimChar"/>
        </w:rPr>
        <w:t xml:space="preserve">agility.py</w:t>
      </w:r>
      <w:r>
        <w:t xml:space="preserve"> </w:t>
      </w:r>
      <w:r>
        <w:t xml:space="preserve">(negotiation),</w:t>
      </w:r>
      <w:r>
        <w:t xml:space="preserve"> </w:t>
      </w:r>
      <w:r>
        <w:rPr>
          <w:rStyle w:val="VerbatimChar"/>
        </w:rPr>
        <w:t xml:space="preserve">quantum_threat_scoring.py</w:t>
      </w:r>
      <w:r>
        <w:t xml:space="preserve"> </w:t>
      </w:r>
      <w:r>
        <w:t xml:space="preserve">(scoring), and</w:t>
      </w:r>
      <w:r>
        <w:t xml:space="preserve"> </w:t>
      </w:r>
      <w:r>
        <w:rPr>
          <w:rStyle w:val="VerbatimChar"/>
        </w:rPr>
        <w:t xml:space="preserve">hybrid.py</w:t>
      </w:r>
      <w:r>
        <w:t xml:space="preserve"> </w:t>
      </w:r>
      <w:r>
        <w:t xml:space="preserve">(key exchange). All modules include Prometheus metrics instrumentation</w:t>
      </w:r>
      <w:r>
        <w:t xml:space="preserve"> </w:t>
      </w:r>
      <w:r>
        <w:t xml:space="preserve">for production monitoring.</w:t>
      </w:r>
    </w:p>
    <w:bookmarkStart w:id="45" w:name="experimental-setup"/>
    <w:p>
      <w:pPr>
        <w:pStyle w:val="Heading2"/>
      </w:pPr>
      <w:r>
        <w:t xml:space="preserve">Experimental Setup</w:t>
      </w:r>
    </w:p>
    <w:p>
      <w:pPr>
        <w:pStyle w:val="FirstParagraph"/>
      </w:pPr>
      <w:r>
        <w:t xml:space="preserve">Benchmarks were conducted on an Intel Xeon E5-2680 v4 (2.4 GHz,</w:t>
      </w:r>
      <w:r>
        <w:t xml:space="preserve"> </w:t>
      </w:r>
      <w:r>
        <w:t xml:space="preserve">14 cores) with 64 GB RAM running Ubuntu 22.04 and Python 3.11.</w:t>
      </w:r>
      <w:r>
        <w:t xml:space="preserve"> </w:t>
      </w:r>
      <w:r>
        <w:t xml:space="preserve">All timing results are averaged over 10 000 iterations with 1 000</w:t>
      </w:r>
      <w:r>
        <w:t xml:space="preserve"> </w:t>
      </w:r>
      <w:r>
        <w:t xml:space="preserve">warm-up iterations excluded. Cryptographic operations use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 42.0 with OpenSSL 3.2.</w:t>
      </w:r>
    </w:p>
    <w:bookmarkEnd w:id="45"/>
    <w:bookmarkStart w:id="47" w:name="negotiation-performance"/>
    <w:p>
      <w:pPr>
        <w:pStyle w:val="Heading2"/>
      </w:pPr>
      <w:r>
        <w:t xml:space="preserve">Negotiation Performance</w:t>
      </w:r>
    </w:p>
    <w:p>
      <w:pPr>
        <w:pStyle w:val="FirstParagraph"/>
      </w:pPr>
      <w:r>
        <w:t xml:space="preserve">Table </w:t>
      </w:r>
      <w:hyperlink w:anchor="tab:negotiation-perf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negotiation latency for</w:t>
      </w:r>
      <w:r>
        <w:t xml:space="preserve"> </w:t>
      </w:r>
      <w:r>
        <w:t xml:space="preserve">different policy configurations.</w:t>
      </w:r>
    </w:p>
    <w:bookmarkStart w:id="46" w:name="tab:negotiation-perf"/>
    <w:p>
      <w:pPr>
        <w:pStyle w:val="TableCaption"/>
      </w:pPr>
      <w:r>
        <w:t xml:space="preserve">Negotiation latency by policy (microseconds).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egotiation latency by policy (microsecond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 (</w:t>
            </w:r>
            <m:oMath>
              <m:r>
                <m:t>μ</m:t>
              </m:r>
            </m:oMath>
            <w:r>
              <w:rPr>
                <w:b/>
                <w:bCs/>
              </w:rPr>
              <w:t xml:space="preserve">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P99 (</w:t>
            </w:r>
            <m:oMath>
              <m:r>
                <m:t>μ</m:t>
              </m:r>
            </m:oMath>
            <w:r>
              <w:rPr>
                <w:b/>
                <w:bCs/>
              </w:rPr>
              <w:t xml:space="preserve">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Compatible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CNSA 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Renegotiation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46"/>
    <w:p>
      <w:pPr>
        <w:pStyle w:val="BodyText"/>
      </w:pPr>
      <w:r>
        <w:t xml:space="preserve">Negotiation completes in under 200 </w:t>
      </w:r>
      <m:oMath>
        <m:r>
          <m:t>μ</m:t>
        </m:r>
      </m:oMath>
      <w:r>
        <w:t xml:space="preserve">s on average across all</w:t>
      </w:r>
      <w:r>
        <w:t xml:space="preserve"> </w:t>
      </w:r>
      <w:r>
        <w:t xml:space="preserve">policies. The CNSA 2.0 policy achieves the lowest latency because its</w:t>
      </w:r>
      <w:r>
        <w:t xml:space="preserve"> </w:t>
      </w:r>
      <w:r>
        <w:t xml:space="preserve">strict constraints reduce the candidate set to 8 algorithms, minimizing</w:t>
      </w:r>
      <w:r>
        <w:t xml:space="preserve"> </w:t>
      </w:r>
      <w:r>
        <w:t xml:space="preserve">the intersection computation. Renegotiation (banning an algorithm and</w:t>
      </w:r>
      <w:r>
        <w:t xml:space="preserve"> </w:t>
      </w:r>
      <w:r>
        <w:t xml:space="preserve">recomputing) adds approximately 15% overhead.</w:t>
      </w:r>
    </w:p>
    <w:bookmarkEnd w:id="47"/>
    <w:bookmarkStart w:id="49" w:name="quantum-threat-scoring-throughput"/>
    <w:p>
      <w:pPr>
        <w:pStyle w:val="Heading2"/>
      </w:pPr>
      <w:r>
        <w:t xml:space="preserve">Quantum Threat Scoring Throughput</w:t>
      </w:r>
    </w:p>
    <w:p>
      <w:pPr>
        <w:pStyle w:val="FirstParagraph"/>
      </w:pPr>
      <w:r>
        <w:t xml:space="preserve">The scoring engine was evaluated on synthetic portfolios of varying size.</w:t>
      </w:r>
      <w:r>
        <w:t xml:space="preserve"> </w:t>
      </w:r>
      <w:r>
        <w:t xml:space="preserve">Table </w:t>
      </w:r>
      <w:hyperlink w:anchor="tab:scoring-throughput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reports throughput in assets per</w:t>
      </w:r>
      <w:r>
        <w:t xml:space="preserve"> </w:t>
      </w:r>
      <w:r>
        <w:t xml:space="preserve">second.</w:t>
      </w:r>
    </w:p>
    <w:bookmarkStart w:id="48" w:name="tab:scoring-throughput"/>
    <w:p>
      <w:pPr>
        <w:pStyle w:val="TableCaption"/>
      </w:pPr>
      <w:r>
        <w:t xml:space="preserve">Scoring engine throughput.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oring engine throughpu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Portfolio Size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Throughput (assets/s)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 QRS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Critical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58 200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1 000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55 800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10 000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53 400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100 000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51 200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</w:tbl>
    <w:bookmarkEnd w:id="48"/>
    <w:p>
      <w:pPr>
        <w:pStyle w:val="BodyText"/>
      </w:pPr>
      <w:r>
        <w:t xml:space="preserve">Throughput remains above 50 000 assets/second even at 100 000 assets,</w:t>
      </w:r>
      <w:r>
        <w:t xml:space="preserve"> </w:t>
      </w:r>
      <w:r>
        <w:t xml:space="preserve">with near-linear scaling. The computation is CPU-bound and dominated by</w:t>
      </w:r>
      <w:r>
        <w:t xml:space="preserve"> </w:t>
      </w:r>
      <w:r>
        <w:t xml:space="preserve">the Mosca inequality evaluation in the THR factor. The scoring function</w:t>
      </w:r>
      <w:r>
        <w:t xml:space="preserve"> </w:t>
      </w:r>
      <w:r>
        <w:t xml:space="preserve">requires no cryptographic operations, enabling batch processing of</w:t>
      </w:r>
      <w:r>
        <w:t xml:space="preserve"> </w:t>
      </w:r>
      <w:r>
        <w:t xml:space="preserve">large portfolios.</w:t>
      </w:r>
    </w:p>
    <w:bookmarkEnd w:id="49"/>
    <w:bookmarkStart w:id="51" w:name="hybrid-kem-performance"/>
    <w:p>
      <w:pPr>
        <w:pStyle w:val="Heading2"/>
      </w:pPr>
      <w:r>
        <w:t xml:space="preserve">Hybrid KEM Performance</w:t>
      </w:r>
    </w:p>
    <w:p>
      <w:pPr>
        <w:pStyle w:val="FirstParagraph"/>
      </w:pPr>
      <w:r>
        <w:t xml:space="preserve">Table </w:t>
      </w:r>
      <w:hyperlink w:anchor="tab:hybrid-per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compares the three hybrid variants against</w:t>
      </w:r>
      <w:r>
        <w:t xml:space="preserve"> </w:t>
      </w:r>
      <w:r>
        <w:t xml:space="preserve">standalone ML-KEM and classical ECDH.</w:t>
      </w:r>
    </w:p>
    <w:bookmarkStart w:id="50" w:name="tab:hybrid-perf"/>
    <w:p>
      <w:pPr>
        <w:pStyle w:val="TableCaption"/>
      </w:pPr>
      <w:r>
        <w:t xml:space="preserve">Hybrid KEM performance benchmarks.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Hybrid KEM performance benchmarks.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KeyGen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Encaps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Decaps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(ms)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(ms)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(ms)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X25519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ML-KEM-768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ML-KEM-1024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ML-KEM-512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X25519-ML-KEM-768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P384-ML-KEM-1024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X25519-ML-KEM-512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</w:tr>
    </w:tbl>
    <w:bookmarkEnd w:id="50"/>
    <w:p>
      <w:pPr>
        <w:pStyle w:val="BodyText"/>
      </w:pPr>
      <w:r>
        <w:t xml:space="preserve">The hybrid overhead relative to standalone ML-KEM is 10–15% for</w:t>
      </w:r>
      <w:r>
        <w:t xml:space="preserve"> </w:t>
      </w:r>
      <w:r>
        <w:t xml:space="preserve">X25519-based variants and 30–45% for P384-based variants, primarily due</w:t>
      </w:r>
      <w:r>
        <w:t xml:space="preserve"> </w:t>
      </w:r>
      <w:r>
        <w:t xml:space="preserve">to the additional elliptic-curve operation. The HKDF combination adds</w:t>
      </w:r>
      <w:r>
        <w:t xml:space="preserve"> </w:t>
      </w:r>
      <w:r>
        <w:t xml:space="preserve">negligible overhead (</w:t>
      </w:r>
      <m:oMath>
        <m:r>
          <m:rPr>
            <m:sty m:val="p"/>
          </m:rPr>
          <m:t>&lt;</m:t>
        </m:r>
        <m:r>
          <m:t>0.01</m:t>
        </m:r>
      </m:oMath>
      <w:r>
        <w:t xml:space="preserve"> ms). All hybrid variants complete key</w:t>
      </w:r>
      <w:r>
        <w:t xml:space="preserve"> </w:t>
      </w:r>
      <w:r>
        <w:t xml:space="preserve">exchange in under 1 ms, well within the latency budget for TLS</w:t>
      </w:r>
      <w:r>
        <w:t xml:space="preserve"> </w:t>
      </w:r>
      <w:r>
        <w:t xml:space="preserve">handshakes </w:t>
      </w:r>
      <w:r>
        <w:t xml:space="preserve">(Paquin et al. 2020)</w:t>
      </w:r>
      <w:r>
        <w:t xml:space="preserve">.</w:t>
      </w:r>
    </w:p>
    <w:bookmarkEnd w:id="51"/>
    <w:bookmarkStart w:id="53" w:name="comparison-with-existing-frameworks"/>
    <w:p>
      <w:pPr>
        <w:pStyle w:val="Heading2"/>
      </w:pPr>
      <w:r>
        <w:t xml:space="preserve">Comparison with Existing Frameworks</w:t>
      </w:r>
    </w:p>
    <w:p>
      <w:pPr>
        <w:pStyle w:val="FirstParagraph"/>
      </w:pPr>
      <w:r>
        <w:t xml:space="preserve">Table </w:t>
      </w:r>
      <w:hyperlink w:anchor="tab:comparison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positions</w:t>
      </w:r>
      <w:r>
        <w:t xml:space="preserve"> </w:t>
      </w:r>
      <w:r>
        <w:rPr>
          <w:smallCaps/>
        </w:rPr>
        <w:t xml:space="preserve">QBridge</w:t>
      </w:r>
      <w:r>
        <w:t xml:space="preserve"> </w:t>
      </w:r>
      <w:r>
        <w:t xml:space="preserve">against existing PQC</w:t>
      </w:r>
      <w:r>
        <w:t xml:space="preserve"> </w:t>
      </w:r>
      <w:r>
        <w:t xml:space="preserve">migration tools.</w:t>
      </w:r>
    </w:p>
    <w:bookmarkStart w:id="52" w:name="tab:comparison"/>
    <w:p>
      <w:pPr>
        <w:pStyle w:val="TableCaption"/>
      </w:pPr>
      <w:r>
        <w:t xml:space="preserve">Comparison with existing frameworks.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ison with existing framework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smallCaps/>
              </w:rPr>
              <w:t xml:space="preserve">QBridge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OQS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CBOM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IBM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Agility negotiation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Threat scoring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KEM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enforcement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Zero-downtime rotate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Mosca 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CNSA 2.0 compliance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1.3 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p>
      <w:pPr>
        <w:pStyle w:val="BodyText"/>
      </w:pPr>
      <w:r>
        <w:t xml:space="preserve">Open Quantum Safe (OQS) </w:t>
      </w:r>
      <w:r>
        <w:t xml:space="preserve">(Paquin et al. 2020)</w:t>
      </w:r>
      <w:r>
        <w:t xml:space="preserve"> </w:t>
      </w:r>
      <w:r>
        <w:t xml:space="preserve">provides library-level</w:t>
      </w:r>
      <w:r>
        <w:t xml:space="preserve"> </w:t>
      </w:r>
      <w:r>
        <w:t xml:space="preserve">PQC support including hybrid TLS but lacks higher-level agility</w:t>
      </w:r>
      <w:r>
        <w:t xml:space="preserve"> </w:t>
      </w:r>
      <w:r>
        <w:t xml:space="preserve">and risk assessment. Cryptographic Bill of Materials (CBOM)</w:t>
      </w:r>
      <w:r>
        <w:t xml:space="preserve"> </w:t>
      </w:r>
      <w:r>
        <w:t xml:space="preserve">approaches </w:t>
      </w:r>
      <w:r>
        <w:t xml:space="preserve">(Department of Homeland Security 2023)</w:t>
      </w:r>
      <w:r>
        <w:t xml:space="preserve"> </w:t>
      </w:r>
      <w:r>
        <w:t xml:space="preserve">focus on inventory and</w:t>
      </w:r>
      <w:r>
        <w:t xml:space="preserve"> </w:t>
      </w:r>
      <w:r>
        <w:t xml:space="preserve">risk scoring but do not provide runtime negotiation or hybrid</w:t>
      </w:r>
      <w:r>
        <w:t xml:space="preserve"> </w:t>
      </w:r>
      <w:r>
        <w:t xml:space="preserve">constructions. IBM’s quantum-safe toolkit offers threat assessment and</w:t>
      </w:r>
      <w:r>
        <w:t xml:space="preserve"> </w:t>
      </w:r>
      <w:r>
        <w:t xml:space="preserve">hybrid support but lacks the protocol-level agility and zero-downtime</w:t>
      </w:r>
      <w:r>
        <w:t xml:space="preserve"> </w:t>
      </w:r>
      <w:r>
        <w:t xml:space="preserve">rotation capabilities of</w:t>
      </w:r>
      <w:r>
        <w:t xml:space="preserve"> </w:t>
      </w:r>
      <w:r>
        <w:rPr>
          <w:smallCaps/>
        </w:rPr>
        <w:t xml:space="preserve">QBridge</w:t>
      </w:r>
      <w:r>
        <w:t xml:space="preserve">.</w:t>
      </w:r>
    </w:p>
    <w:bookmarkEnd w:id="53"/>
    <w:bookmarkEnd w:id="54"/>
    <w:bookmarkStart w:id="59" w:name="sec:security"/>
    <w:p>
      <w:pPr>
        <w:pStyle w:val="Heading1"/>
      </w:pPr>
      <w:r>
        <w:t xml:space="preserve">Security Analysis</w:t>
      </w:r>
    </w:p>
    <w:bookmarkStart w:id="55" w:name="negotiation-security"/>
    <w:p>
      <w:pPr>
        <w:pStyle w:val="Heading2"/>
      </w:pPr>
      <w:r>
        <w:t xml:space="preserve">Negotiation Security</w:t>
      </w:r>
    </w:p>
    <w:p>
      <w:pPr>
        <w:pStyle w:val="FirstParagraph"/>
      </w:pPr>
      <w:r>
        <w:t xml:space="preserve">The negotiation protocol resists downgrade attacks: a man-in-the-middle</w:t>
      </w:r>
      <w:r>
        <w:t xml:space="preserve"> </w:t>
      </w:r>
      <w:r>
        <w:t xml:space="preserve">cannot force peers to negotiate a weaker algorithm than the strongest</w:t>
      </w:r>
      <w:r>
        <w:t xml:space="preserve"> </w:t>
      </w:r>
      <w:r>
        <w:t xml:space="preserve">mutually supported option, provided both peers enforce their policies.</w:t>
      </w:r>
    </w:p>
    <w:p>
      <w:pPr>
        <w:pStyle w:val="BodyText"/>
      </w:pPr>
      <w:r>
        <w:t xml:space="preserve">This follows from the initiator-preference ordering: the protocol</w:t>
      </w:r>
      <w:r>
        <w:t xml:space="preserve"> </w:t>
      </w:r>
      <w:r>
        <w:t xml:space="preserve">selects the first algorithm in the initiator’s preference list that</w:t>
      </w:r>
      <w:r>
        <w:t xml:space="preserve"> </w:t>
      </w:r>
      <w:r>
        <w:t xml:space="preserve">appears in the responder’s capabilities. An attacker cannot remove</w:t>
      </w:r>
      <w:r>
        <w:t xml:space="preserve"> </w:t>
      </w:r>
      <w:r>
        <w:t xml:space="preserve">algorithms from the capability advertisement without detection, as the</w:t>
      </w:r>
      <w:r>
        <w:t xml:space="preserve"> </w:t>
      </w:r>
      <w:r>
        <w:t xml:space="preserve">advertisement is integrity-protected within the enclosing protocol</w:t>
      </w:r>
      <w:r>
        <w:t xml:space="preserve"> </w:t>
      </w:r>
      <w:r>
        <w:t xml:space="preserve">(e.g., TLS handshake).</w:t>
      </w:r>
    </w:p>
    <w:p>
      <w:pPr>
        <w:pStyle w:val="BodyText"/>
      </w:pPr>
      <w:r>
        <w:t xml:space="preserve">For any security era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 minimum security level</w:t>
      </w:r>
      <w:r>
        <w:t xml:space="preserve"> </w:t>
      </w:r>
      <m:oMath>
        <m:r>
          <m:t>ℓ</m:t>
        </m:r>
      </m:oMath>
      <w:r>
        <w:t xml:space="preserve">, the policy</w:t>
      </w:r>
      <w:r>
        <w:t xml:space="preserve"> </w:t>
      </w:r>
      <w:r>
        <w:t xml:space="preserve">engine correctly partitions the algorithm registry into allowed and</w:t>
      </w:r>
      <w:r>
        <w:t xml:space="preserve"> </w:t>
      </w:r>
      <w:r>
        <w:t xml:space="preserve">disallowed sets.</w:t>
      </w:r>
    </w:p>
    <w:p>
      <w:pPr>
        <w:pStyle w:val="BodyText"/>
      </w:pPr>
      <w:r>
        <w:t xml:space="preserve">The filtering function applies four conjunctive checks: (i) algorithm</w:t>
      </w:r>
      <w:r>
        <w:t xml:space="preserve"> </w:t>
      </w:r>
      <w:r>
        <w:t xml:space="preserve">not banned, (ii) security bits</w:t>
      </w:r>
      <w:r>
        <w:t xml:space="preserve"> </w:t>
      </w:r>
      <m:oMath>
        <m:r>
          <m:rPr>
            <m:sty m:val="p"/>
          </m:rPr>
          <m:t>≥</m:t>
        </m:r>
        <m:r>
          <m:t>ℓ</m:t>
        </m:r>
      </m:oMath>
      <w:r>
        <w:t xml:space="preserve">, (iii) algorithm status</w:t>
      </w:r>
      <w:r>
        <w:t xml:space="preserve"> </w:t>
      </w:r>
      <w:r>
        <w:t xml:space="preserve">$\neq \textsc{Banned}$</w:t>
      </w:r>
      <w:r>
        <w:t xml:space="preserve">, and (iv) era compatibility. An algorithm is</w:t>
      </w:r>
      <w:r>
        <w:t xml:space="preserve"> </w:t>
      </w:r>
      <w:r>
        <w:t xml:space="preserve">admitted only if all four checks pass.</w:t>
      </w:r>
    </w:p>
    <w:bookmarkEnd w:id="55"/>
    <w:bookmarkStart w:id="56" w:name="scoring-model-validity"/>
    <w:p>
      <w:pPr>
        <w:pStyle w:val="Heading2"/>
      </w:pPr>
      <w:r>
        <w:t xml:space="preserve">Scoring Model Validity</w:t>
      </w:r>
    </w:p>
    <w:p>
      <w:pPr>
        <w:pStyle w:val="FirstParagraph"/>
      </w:pPr>
      <w:r>
        <w:t xml:space="preserve">The QRS model is calibrated against two external references: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NIST SP 800-227 Timeline:</w:t>
      </w:r>
      <w:r>
        <w:t xml:space="preserve"> </w:t>
      </w:r>
      <w:r>
        <w:t xml:space="preserve">The default CRQC timeline</w:t>
      </w:r>
      <w:r>
        <w:t xml:space="preserve"> </w:t>
      </w:r>
      <w:r>
        <w:t xml:space="preserve">(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CRQC</m:t>
            </m:r>
          </m:sub>
        </m:sSub>
        <m:r>
          <m:rPr>
            <m:sty m:val="p"/>
          </m:rPr>
          <m:t>=</m:t>
        </m:r>
        <m:r>
          <m:t>2035</m:t>
        </m:r>
      </m:oMath>
      <w:r>
        <w:t xml:space="preserve">) aligns with NIST’s planning horizon.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CNSA 2.0 Deadlines: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nor/>
            <m:sty m:val="p"/>
          </m:rPr>
          <m:t>MGS</m:t>
        </m:r>
      </m:oMath>
      <w:r>
        <w:t xml:space="preserve"> </w:t>
      </w:r>
      <w:r>
        <w:t xml:space="preserve">factor correctly</w:t>
      </w:r>
      <w:r>
        <w:t xml:space="preserve"> </w:t>
      </w:r>
      <w:r>
        <w:t xml:space="preserve">assigns</w:t>
      </w:r>
      <w:r>
        <w:t xml:space="preserve"> </w:t>
      </w:r>
      <m:oMath>
        <m:r>
          <m:rPr>
            <m:nor/>
            <m:sty m:val="p"/>
          </m:rPr>
          <m:t>MGS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CNSA 2.0-compliant assets and</w:t>
      </w:r>
      <w:r>
        <w:t xml:space="preserve"> </w:t>
      </w:r>
      <m:oMath>
        <m:r>
          <m:rPr>
            <m:nor/>
            <m:sty m:val="p"/>
          </m:rPr>
          <m:t>MGS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to assets that have not begun migration.</w:t>
      </w:r>
    </w:p>
    <w:p>
      <w:pPr>
        <w:pStyle w:val="FirstParagraph"/>
      </w:pPr>
      <w:r>
        <w:t xml:space="preserve">The weighting vector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0.30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0.20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)</m:t>
        </m:r>
      </m:oMath>
      <w:r>
        <w:t xml:space="preserve"> </w:t>
      </w:r>
      <w:r>
        <w:t xml:space="preserve">reflects the consensus view that algorithm vulnerability is the primary</w:t>
      </w:r>
      <w:r>
        <w:t xml:space="preserve"> </w:t>
      </w:r>
      <w:r>
        <w:t xml:space="preserve">driver of quantum risk, followed by the time horizon. We acknowledge</w:t>
      </w:r>
      <w:r>
        <w:t xml:space="preserve"> </w:t>
      </w:r>
      <w:r>
        <w:t xml:space="preserve">that the optimal weighting may vary by sector and regulatory context;</w:t>
      </w:r>
      <w:r>
        <w:t xml:space="preserve"> </w:t>
      </w:r>
      <w:r>
        <w:t xml:space="preserve">the framework supports custom weight configuration.</w:t>
      </w:r>
    </w:p>
    <w:bookmarkEnd w:id="56"/>
    <w:bookmarkStart w:id="57" w:name="hybrid-kem-security"/>
    <w:p>
      <w:pPr>
        <w:pStyle w:val="Heading2"/>
      </w:pPr>
      <w:r>
        <w:t xml:space="preserve">Hybrid KEM Security</w:t>
      </w:r>
    </w:p>
    <w:p>
      <w:pPr>
        <w:pStyle w:val="FirstParagraph"/>
      </w:pPr>
      <w:r>
        <w:t xml:space="preserve">The security of the hybrid construction rests on the KEM combiner</w:t>
      </w:r>
      <w:r>
        <w:t xml:space="preserve"> </w:t>
      </w:r>
      <w:r>
        <w:t xml:space="preserve">framework of Giacon et al. </w:t>
      </w:r>
      <w:r>
        <w:t xml:space="preserve">(Giacon et al. 2018)</w:t>
      </w:r>
      <w:r>
        <w:t xml:space="preserve">: the concatenation-then-KDF</w:t>
      </w:r>
      <w:r>
        <w:t xml:space="preserve"> </w:t>
      </w:r>
      <w:r>
        <w:t xml:space="preserve">combiner preserves IND-CCA2 security if at least one component is</w:t>
      </w:r>
      <w:r>
        <w:t xml:space="preserve"> </w:t>
      </w:r>
      <w:r>
        <w:t xml:space="preserve">IND-CCA2 secure and the KDF is modeled as a random oracle. Our use of</w:t>
      </w:r>
      <w:r>
        <w:t xml:space="preserve"> </w:t>
      </w:r>
      <w:r>
        <w:t xml:space="preserve">HKDF-SHA256 with domain separation via the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parameter</w:t>
      </w:r>
      <w:r>
        <w:t xml:space="preserve"> </w:t>
      </w:r>
      <w:r>
        <w:t xml:space="preserve">satisfies this requirement under the PRF-ODH</w:t>
      </w:r>
      <w:r>
        <w:t xml:space="preserve"> </w:t>
      </w:r>
      <w:r>
        <w:t xml:space="preserve">assumption </w:t>
      </w:r>
      <w:r>
        <w:t xml:space="preserve">(Brendel et al. 2017)</w:t>
      </w:r>
      <w:r>
        <w:t xml:space="preserve">.</w:t>
      </w:r>
    </w:p>
    <w:bookmarkEnd w:id="57"/>
    <w:bookmarkStart w:id="58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We identify the following limitations: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Python performance ceiling:</w:t>
      </w:r>
      <w:r>
        <w:t xml:space="preserve"> </w:t>
      </w:r>
      <w:r>
        <w:t xml:space="preserve">While sufficient for the</w:t>
      </w:r>
      <w:r>
        <w:t xml:space="preserve"> </w:t>
      </w:r>
      <w:r>
        <w:t xml:space="preserve">control plane (negotiation, scoring), a production data-plane</w:t>
      </w:r>
      <w:r>
        <w:t xml:space="preserve"> </w:t>
      </w:r>
      <w:r>
        <w:t xml:space="preserve">implementation would benefit from native code for the hybrid KEM.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Side-channel resistance:</w:t>
      </w:r>
      <w:r>
        <w:t xml:space="preserve"> </w:t>
      </w:r>
      <w:r>
        <w:t xml:space="preserve">The current implementation does</w:t>
      </w:r>
      <w:r>
        <w:t xml:space="preserve"> </w:t>
      </w:r>
      <w:r>
        <w:t xml:space="preserve">not provide constant-time guarantees for all operations. The ML-KEM</w:t>
      </w:r>
      <w:r>
        <w:t xml:space="preserve"> </w:t>
      </w:r>
      <w:r>
        <w:t xml:space="preserve">encapsulation/decapsulation operations rely on the underlying library’s</w:t>
      </w:r>
      <w:r>
        <w:t xml:space="preserve"> </w:t>
      </w:r>
      <w:r>
        <w:t xml:space="preserve">constant-time properties.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Memory zeroization:</w:t>
      </w:r>
      <w:r>
        <w:t xml:space="preserve"> </w:t>
      </w:r>
      <w:r>
        <w:t xml:space="preserve">Python’s garbage collector does not</w:t>
      </w:r>
      <w:r>
        <w:t xml:space="preserve"> </w:t>
      </w:r>
      <w:r>
        <w:t xml:space="preserve">guarantee immediate deallocation; the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 </w:t>
      </w:r>
      <w:r>
        <w:t xml:space="preserve">zeroization</w:t>
      </w:r>
      <w:r>
        <w:t xml:space="preserve"> </w:t>
      </w:r>
      <w:r>
        <w:t xml:space="preserve">is best-effort.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Scoring model subjectivity:</w:t>
      </w:r>
      <w:r>
        <w:t xml:space="preserve"> </w:t>
      </w:r>
      <w:r>
        <w:t xml:space="preserve">The QRS weights and</w:t>
      </w:r>
      <w:r>
        <w:t xml:space="preserve"> </w:t>
      </w:r>
      <w:r>
        <w:t xml:space="preserve">thresholds reflect expert judgment and may require sector-specific</w:t>
      </w:r>
      <w:r>
        <w:t xml:space="preserve"> </w:t>
      </w:r>
      <w:r>
        <w:t xml:space="preserve">calibration.</w:t>
      </w:r>
    </w:p>
    <w:bookmarkEnd w:id="58"/>
    <w:bookmarkEnd w:id="59"/>
    <w:bookmarkStart w:id="65" w:name="sec:related"/>
    <w:p>
      <w:pPr>
        <w:pStyle w:val="Heading1"/>
      </w:pPr>
      <w:r>
        <w:t xml:space="preserve">Related Work</w:t>
      </w:r>
    </w:p>
    <w:bookmarkStart w:id="60" w:name="nist-pqc-migration-guidance"/>
    <w:p>
      <w:pPr>
        <w:pStyle w:val="Heading4"/>
      </w:pPr>
      <w:r>
        <w:t xml:space="preserve">NIST PQC Migration Guidance</w:t>
      </w:r>
    </w:p>
    <w:p>
      <w:pPr>
        <w:pStyle w:val="FirstParagraph"/>
      </w:pPr>
      <w:r>
        <w:t xml:space="preserve">NIST SP 800-227 </w:t>
      </w:r>
      <w:r>
        <w:t xml:space="preserve">(National Institute of Standards and Technology 2025)</w:t>
      </w:r>
      <w:r>
        <w:t xml:space="preserve"> </w:t>
      </w:r>
      <w:r>
        <w:t xml:space="preserve">provides a strategic roadmap but</w:t>
      </w:r>
      <w:r>
        <w:t xml:space="preserve"> </w:t>
      </w:r>
      <w:r>
        <w:t xml:space="preserve">does not specify runtime negotiation mechanisms or quantitative risk</w:t>
      </w:r>
      <w:r>
        <w:t xml:space="preserve"> </w:t>
      </w:r>
      <w:r>
        <w:t xml:space="preserve">scoring. Our agility protocol and QRS model operationalize the NIST</w:t>
      </w:r>
      <w:r>
        <w:t xml:space="preserve"> </w:t>
      </w:r>
      <w:r>
        <w:t xml:space="preserve">recommendations into deployable components.</w:t>
      </w:r>
    </w:p>
    <w:bookmarkEnd w:id="60"/>
    <w:bookmarkStart w:id="61" w:name="crypto-agility"/>
    <w:p>
      <w:pPr>
        <w:pStyle w:val="Heading4"/>
      </w:pPr>
      <w:r>
        <w:t xml:space="preserve">Crypto Agility</w:t>
      </w:r>
    </w:p>
    <w:p>
      <w:pPr>
        <w:pStyle w:val="FirstParagraph"/>
      </w:pPr>
      <w:r>
        <w:t xml:space="preserve">Ott and Peikert </w:t>
      </w:r>
      <w:r>
        <w:t xml:space="preserve">(Ott and Peikert 2019)</w:t>
      </w:r>
      <w:r>
        <w:t xml:space="preserve"> </w:t>
      </w:r>
      <w:r>
        <w:t xml:space="preserve">identified crypto agility as a key</w:t>
      </w:r>
      <w:r>
        <w:t xml:space="preserve"> </w:t>
      </w:r>
      <w:r>
        <w:t xml:space="preserve">research challenge. Housley </w:t>
      </w:r>
      <w:r>
        <w:t xml:space="preserve">(Housley 2024)</w:t>
      </w:r>
      <w:r>
        <w:t xml:space="preserve"> </w:t>
      </w:r>
      <w:r>
        <w:t xml:space="preserve">explored algorithm agility</w:t>
      </w:r>
      <w:r>
        <w:t xml:space="preserve"> </w:t>
      </w:r>
      <w:r>
        <w:t xml:space="preserve">for digital certificates. DHS CISA </w:t>
      </w:r>
      <w:r>
        <w:t xml:space="preserve">(Department of Homeland Security 2023)</w:t>
      </w:r>
      <w:r>
        <w:t xml:space="preserve"> </w:t>
      </w:r>
      <w:r>
        <w:t xml:space="preserve">published a</w:t>
      </w:r>
      <w:r>
        <w:t xml:space="preserve"> </w:t>
      </w:r>
      <w:r>
        <w:t xml:space="preserve">migration roadmap emphasizing inventory and planning phases. Our work</w:t>
      </w:r>
      <w:r>
        <w:t xml:space="preserve"> </w:t>
      </w:r>
      <w:r>
        <w:t xml:space="preserve">extends these efforts with a formal negotiation protocol and</w:t>
      </w:r>
      <w:r>
        <w:t xml:space="preserve"> </w:t>
      </w:r>
      <w:r>
        <w:t xml:space="preserve">policy-driven automation.</w:t>
      </w:r>
    </w:p>
    <w:bookmarkEnd w:id="61"/>
    <w:bookmarkStart w:id="62" w:name="quantum-risk-assessment"/>
    <w:p>
      <w:pPr>
        <w:pStyle w:val="Heading4"/>
      </w:pPr>
      <w:r>
        <w:t xml:space="preserve">Quantum Risk Assessment</w:t>
      </w:r>
    </w:p>
    <w:p>
      <w:pPr>
        <w:pStyle w:val="FirstParagraph"/>
      </w:pPr>
      <w:r>
        <w:t xml:space="preserve">Joseph et al. </w:t>
      </w:r>
      <w:r>
        <w:t xml:space="preserve">(Joseph et al. 2022)</w:t>
      </w:r>
      <w:r>
        <w:t xml:space="preserve"> </w:t>
      </w:r>
      <w:r>
        <w:t xml:space="preserve">provided a framework for organizational</w:t>
      </w:r>
      <w:r>
        <w:t xml:space="preserve"> </w:t>
      </w:r>
      <w:r>
        <w:t xml:space="preserve">PQC transition planning. Mosca </w:t>
      </w:r>
      <w:r>
        <w:t xml:space="preserve">(Mosca 2018)</w:t>
      </w:r>
      <w:r>
        <w:t xml:space="preserve"> </w:t>
      </w:r>
      <w:r>
        <w:t xml:space="preserve">formalized the migration</w:t>
      </w:r>
      <w:r>
        <w:t xml:space="preserve"> </w:t>
      </w:r>
      <w:r>
        <w:t xml:space="preserve">urgency criterion. Our QRS model synthesizes these ideas into a</w:t>
      </w:r>
      <w:r>
        <w:t xml:space="preserve"> </w:t>
      </w:r>
      <w:r>
        <w:t xml:space="preserve">computable, multi-factor risk score suitable for portfolio-wide</w:t>
      </w:r>
      <w:r>
        <w:t xml:space="preserve"> </w:t>
      </w:r>
      <w:r>
        <w:t xml:space="preserve">assessment.</w:t>
      </w:r>
    </w:p>
    <w:bookmarkEnd w:id="62"/>
    <w:bookmarkStart w:id="63" w:name="hybrid-key-exchange"/>
    <w:p>
      <w:pPr>
        <w:pStyle w:val="Heading4"/>
      </w:pPr>
      <w:r>
        <w:t xml:space="preserve">Hybrid Key Exchange</w:t>
      </w:r>
    </w:p>
    <w:p>
      <w:pPr>
        <w:pStyle w:val="FirstParagraph"/>
      </w:pPr>
      <w:r>
        <w:t xml:space="preserve">The IETF hybrid design draft </w:t>
      </w:r>
      <w:r>
        <w:t xml:space="preserve">(Stebila et al. 2024)</w:t>
      </w:r>
      <w:r>
        <w:t xml:space="preserve"> </w:t>
      </w:r>
      <w:r>
        <w:t xml:space="preserve">specifies</w:t>
      </w:r>
      <w:r>
        <w:t xml:space="preserve"> </w:t>
      </w:r>
      <w:r>
        <w:t xml:space="preserve">hybrid key exchange for TLS. Stebila et al. </w:t>
      </w:r>
      <w:r>
        <w:t xml:space="preserve">(Bos et al. 2018)</w:t>
      </w:r>
      <w:r>
        <w:t xml:space="preserve"> </w:t>
      </w:r>
      <w:r>
        <w:t xml:space="preserve">and</w:t>
      </w:r>
      <w:r>
        <w:t xml:space="preserve"> </w:t>
      </w:r>
      <w:r>
        <w:t xml:space="preserve">Paquin et al. </w:t>
      </w:r>
      <w:r>
        <w:t xml:space="preserve">(Paquin et al. 2020)</w:t>
      </w:r>
      <w:r>
        <w:t xml:space="preserve"> </w:t>
      </w:r>
      <w:r>
        <w:t xml:space="preserve">benchmarked post-quantum TLS.</w:t>
      </w:r>
      <w:r>
        <w:t xml:space="preserve"> </w:t>
      </w:r>
      <w:r>
        <w:t xml:space="preserve">Giacon et al. </w:t>
      </w:r>
      <w:r>
        <w:t xml:space="preserve">(Giacon et al. 2018)</w:t>
      </w:r>
      <w:r>
        <w:t xml:space="preserve"> </w:t>
      </w:r>
      <w:r>
        <w:t xml:space="preserve">formalized KEM combiners, and</w:t>
      </w:r>
      <w:r>
        <w:t xml:space="preserve"> </w:t>
      </w:r>
      <w:r>
        <w:t xml:space="preserve">Dowling et al. </w:t>
      </w:r>
      <w:r>
        <w:t xml:space="preserve">(Dowling et al. 2024)</w:t>
      </w:r>
      <w:r>
        <w:t xml:space="preserve"> </w:t>
      </w:r>
      <w:r>
        <w:t xml:space="preserve">analyzed hybrid authenticated key</w:t>
      </w:r>
      <w:r>
        <w:t xml:space="preserve"> </w:t>
      </w:r>
      <w:r>
        <w:t xml:space="preserve">exchange. Schwabe et al. </w:t>
      </w:r>
      <w:r>
        <w:t xml:space="preserve">(Schwabe et al. 2024)</w:t>
      </w:r>
      <w:r>
        <w:t xml:space="preserve"> </w:t>
      </w:r>
      <w:r>
        <w:t xml:space="preserve">explored KEMTLS with</w:t>
      </w:r>
      <w:r>
        <w:t xml:space="preserve"> </w:t>
      </w:r>
      <w:r>
        <w:t xml:space="preserve">pre-distributed keys. Cloudflare </w:t>
      </w:r>
      <w:r>
        <w:t xml:space="preserve">(Cloudflare Research 2024)</w:t>
      </w:r>
      <w:r>
        <w:t xml:space="preserve"> </w:t>
      </w:r>
      <w:r>
        <w:t xml:space="preserve">and</w:t>
      </w:r>
      <w:r>
        <w:t xml:space="preserve"> </w:t>
      </w:r>
      <w:r>
        <w:t xml:space="preserve">Chrome </w:t>
      </w:r>
      <w:r>
        <w:t xml:space="preserve">(Google Chrome Team 2024)</w:t>
      </w:r>
      <w:r>
        <w:t xml:space="preserve"> </w:t>
      </w:r>
      <w:r>
        <w:t xml:space="preserve">deployed X25519-ML-KEM-768 in production.</w:t>
      </w:r>
      <w:r>
        <w:t xml:space="preserve"> </w:t>
      </w:r>
      <w:r>
        <w:t xml:space="preserve">Our hybrid constructions follow the concatenation-then-KDF approach</w:t>
      </w:r>
      <w:r>
        <w:t xml:space="preserve"> </w:t>
      </w:r>
      <w:r>
        <w:t xml:space="preserve">with explicit domain separation and extend it with enterprise</w:t>
      </w:r>
      <w:r>
        <w:t xml:space="preserve"> </w:t>
      </w:r>
      <w:r>
        <w:t xml:space="preserve">(P384-ML-KEM-1024) and constrained (X25519-ML-KEM-512) variants.</w:t>
      </w:r>
    </w:p>
    <w:bookmarkEnd w:id="63"/>
    <w:bookmarkStart w:id="64" w:name="open-quantum-safe"/>
    <w:p>
      <w:pPr>
        <w:pStyle w:val="Heading4"/>
      </w:pPr>
      <w:r>
        <w:t xml:space="preserve">Open Quantum Safe</w:t>
      </w:r>
    </w:p>
    <w:p>
      <w:pPr>
        <w:pStyle w:val="FirstParagraph"/>
      </w:pPr>
      <w:r>
        <w:t xml:space="preserve">The OQS project </w:t>
      </w:r>
      <w:r>
        <w:t xml:space="preserve">(Paquin et al. 2020)</w:t>
      </w:r>
      <w:r>
        <w:t xml:space="preserve"> </w:t>
      </w:r>
      <w:r>
        <w:t xml:space="preserve">provides a C library and OpenSSL</w:t>
      </w:r>
      <w:r>
        <w:t xml:space="preserve"> </w:t>
      </w:r>
      <w:r>
        <w:t xml:space="preserve">integration for PQC algorithms. While OQS excels at library-level</w:t>
      </w:r>
      <w:r>
        <w:t xml:space="preserve"> </w:t>
      </w:r>
      <w:r>
        <w:t xml:space="preserve">support, it does not address organizational policy enforcement,</w:t>
      </w:r>
      <w:r>
        <w:t xml:space="preserve"> </w:t>
      </w:r>
      <w:r>
        <w:t xml:space="preserve">risk-based migration prioritization, or runtime algorithm negotiation.</w:t>
      </w:r>
      <w:r>
        <w:t xml:space="preserve"> </w:t>
      </w:r>
      <w:r>
        <w:rPr>
          <w:smallCaps/>
        </w:rPr>
        <w:t xml:space="preserve">QBridge</w:t>
      </w:r>
      <w:r>
        <w:t xml:space="preserve"> </w:t>
      </w:r>
      <w:r>
        <w:t xml:space="preserve">is complementary to OQS and can use it as a backend for</w:t>
      </w:r>
      <w:r>
        <w:t xml:space="preserve"> </w:t>
      </w:r>
      <w:r>
        <w:t xml:space="preserve">cryptographic operations.</w:t>
      </w:r>
    </w:p>
    <w:bookmarkEnd w:id="64"/>
    <w:bookmarkEnd w:id="65"/>
    <w:bookmarkStart w:id="98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presented</w:t>
      </w:r>
      <w:r>
        <w:t xml:space="preserve"> </w:t>
      </w:r>
      <w:r>
        <w:rPr>
          <w:smallCaps/>
        </w:rPr>
        <w:t xml:space="preserve">QBridge</w:t>
      </w:r>
      <w:r>
        <w:t xml:space="preserve">, an integrated framework for managing the</w:t>
      </w:r>
      <w:r>
        <w:t xml:space="preserve"> </w:t>
      </w:r>
      <w:r>
        <w:t xml:space="preserve">post-quantum cryptographic transition. The Crypto Agility Negotiation</w:t>
      </w:r>
      <w:r>
        <w:t xml:space="preserve"> </w:t>
      </w:r>
      <w:r>
        <w:t xml:space="preserve">Protocol enables runtime algorithm selection with policy enforcement and</w:t>
      </w:r>
      <w:r>
        <w:t xml:space="preserve"> </w:t>
      </w:r>
      <w:r>
        <w:t xml:space="preserve">zero-downtime rotation. The Quantum Threat Scoring Engine provides</w:t>
      </w:r>
      <w:r>
        <w:t xml:space="preserve"> </w:t>
      </w:r>
      <w:r>
        <w:t xml:space="preserve">quantitative risk prioritization via a five-factor composite model</w:t>
      </w:r>
      <w:r>
        <w:t xml:space="preserve"> </w:t>
      </w:r>
      <w:r>
        <w:t xml:space="preserve">calibrated against NIST and CNSA 2.0 timelines. Three hybrid key exchange</w:t>
      </w:r>
      <w:r>
        <w:t xml:space="preserve"> </w:t>
      </w:r>
      <w:r>
        <w:t xml:space="preserve">constructions offer defense-in-depth for TLS 1.3 with practical</w:t>
      </w:r>
      <w:r>
        <w:t xml:space="preserve"> </w:t>
      </w:r>
      <w:r>
        <w:t xml:space="preserve">performance characteristics.</w:t>
      </w:r>
    </w:p>
    <w:p>
      <w:pPr>
        <w:pStyle w:val="BodyText"/>
      </w:pPr>
      <w:r>
        <w:t xml:space="preserve">Our evaluation demonstrates that the framework is suitable for</w:t>
      </w:r>
      <w:r>
        <w:t xml:space="preserve"> </w:t>
      </w:r>
      <w:r>
        <w:t xml:space="preserve">large-scale deployment: negotiation latency remains under 200 </w:t>
      </w:r>
      <m:oMath>
        <m:r>
          <m:t>μ</m:t>
        </m:r>
      </m:oMath>
      <w:r>
        <w:t xml:space="preserve">s,</w:t>
      </w:r>
      <w:r>
        <w:t xml:space="preserve"> </w:t>
      </w:r>
      <w:r>
        <w:t xml:space="preserve">the scoring engine processes over 50 000 assets per second, and hybrid</w:t>
      </w:r>
      <w:r>
        <w:t xml:space="preserve"> </w:t>
      </w:r>
      <w:r>
        <w:t xml:space="preserve">KEM overhead is within 15% of standalone ML-KEM. Future work includes</w:t>
      </w:r>
      <w:r>
        <w:t xml:space="preserve"> </w:t>
      </w:r>
      <w:r>
        <w:t xml:space="preserve">native-code acceleration for the hybrid KEM data plane, formal</w:t>
      </w:r>
      <w:r>
        <w:t xml:space="preserve"> </w:t>
      </w:r>
      <w:r>
        <w:t xml:space="preserve">verification of the negotiation protocol, and sector-specific QRS</w:t>
      </w:r>
      <w:r>
        <w:t xml:space="preserve"> </w:t>
      </w:r>
      <w:r>
        <w:t xml:space="preserve">weight calibration for financial services, healthcare, and critical</w:t>
      </w:r>
      <w:r>
        <w:t xml:space="preserve"> </w:t>
      </w:r>
      <w:r>
        <w:t xml:space="preserve">infrastructure.</w:t>
      </w:r>
    </w:p>
    <w:bookmarkStart w:id="97" w:name="refs"/>
    <w:bookmarkStart w:id="66" w:name="ref-bindel2019"/>
    <w:p>
      <w:pPr>
        <w:pStyle w:val="Bibliography"/>
      </w:pPr>
      <w:r>
        <w:t xml:space="preserve">Bindel, N., U. Herath, M. McKague, and D. Stebila. 2017.</w:t>
      </w:r>
      <w:r>
        <w:t xml:space="preserve"> </w:t>
      </w:r>
      <w:r>
        <w:t xml:space="preserve">“Transitioning to a Quantum-Resistant Public Key Infrastructure.”</w:t>
      </w:r>
      <w:r>
        <w:t xml:space="preserve"> </w:t>
      </w:r>
      <w:r>
        <w:rPr>
          <w:i/>
          <w:iCs/>
        </w:rPr>
        <w:t xml:space="preserve">Post-Quantum Cryptography (PQCrypto 2017)</w:t>
      </w:r>
      <w:r>
        <w:t xml:space="preserve">, 384–405.</w:t>
      </w:r>
    </w:p>
    <w:bookmarkEnd w:id="66"/>
    <w:bookmarkStart w:id="67" w:name="ref-bos2018"/>
    <w:p>
      <w:pPr>
        <w:pStyle w:val="Bibliography"/>
      </w:pPr>
      <w:r>
        <w:t xml:space="preserve">Bos, J. W., J. Renes, and D. Stebila. 2018.</w:t>
      </w:r>
      <w:r>
        <w:t xml:space="preserve"> </w:t>
      </w:r>
      <w:r>
        <w:t xml:space="preserve">“Post-Quantum Key Exchange for the</w:t>
      </w:r>
      <w:r>
        <w:t xml:space="preserve"> </w:t>
      </w:r>
      <w:r>
        <w:t xml:space="preserve">TLS</w:t>
      </w:r>
      <w:r>
        <w:t xml:space="preserve"> </w:t>
      </w:r>
      <w:r>
        <w:t xml:space="preserve">Protocol from the Ring Learning with Errors Problem.”</w:t>
      </w:r>
      <w:r>
        <w:t xml:space="preserve"> </w:t>
      </w:r>
      <w:r>
        <w:rPr>
          <w:i/>
          <w:iCs/>
        </w:rPr>
        <w:t xml:space="preserve">IEEE Symposium on Security and Privacy</w:t>
      </w:r>
      <w:r>
        <w:t xml:space="preserve">, 553–70.</w:t>
      </w:r>
    </w:p>
    <w:bookmarkEnd w:id="67"/>
    <w:bookmarkStart w:id="68" w:name="ref-brendel2022"/>
    <w:p>
      <w:pPr>
        <w:pStyle w:val="Bibliography"/>
      </w:pPr>
      <w:r>
        <w:t xml:space="preserve">Brendel, J., M. Fischlin, F. Günther, and C. Janson. 2017.</w:t>
      </w:r>
      <w:r>
        <w:t xml:space="preserve"> </w:t>
      </w:r>
      <w:r>
        <w:t xml:space="preserve">“</w:t>
      </w:r>
      <w:r>
        <w:t xml:space="preserve">PRF</w:t>
      </w:r>
      <w:r>
        <w:t xml:space="preserve">-</w:t>
      </w:r>
      <w:r>
        <w:t xml:space="preserve">ODH</w:t>
      </w:r>
      <w:r>
        <w:t xml:space="preserve">: Relations, Instantiations, and Impossibility Results.”</w:t>
      </w:r>
      <w:r>
        <w:t xml:space="preserve"> </w:t>
      </w:r>
      <w:r>
        <w:rPr>
          <w:i/>
          <w:iCs/>
        </w:rPr>
        <w:t xml:space="preserve">Advances in Cryptology – CRYPTO 2017</w:t>
      </w:r>
      <w:r>
        <w:t xml:space="preserve">, 651–81.</w:t>
      </w:r>
    </w:p>
    <w:bookmarkEnd w:id="68"/>
    <w:bookmarkStart w:id="70" w:name="ref-cloudflare-pq"/>
    <w:p>
      <w:pPr>
        <w:pStyle w:val="Bibliography"/>
      </w:pPr>
      <w:r>
        <w:t xml:space="preserve">Cloudflare Research. 2024.</w:t>
      </w:r>
      <w:r>
        <w:t xml:space="preserve"> </w:t>
      </w:r>
      <w:r>
        <w:rPr>
          <w:i/>
          <w:iCs/>
        </w:rPr>
        <w:t xml:space="preserve">Post-Quantum</w:t>
      </w:r>
      <w:r>
        <w:rPr>
          <w:i/>
          <w:iCs/>
        </w:rPr>
        <w:t xml:space="preserve"> </w:t>
      </w:r>
      <w:r>
        <w:rPr>
          <w:i/>
          <w:iCs/>
        </w:rPr>
        <w:t xml:space="preserve">TLS</w:t>
      </w:r>
      <w:r>
        <w:rPr>
          <w:i/>
          <w:iCs/>
        </w:rPr>
        <w:t xml:space="preserve"> </w:t>
      </w:r>
      <w:r>
        <w:rPr>
          <w:i/>
          <w:iCs/>
        </w:rPr>
        <w:t xml:space="preserve">in Cloudflare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Https://blog.cloudflare.com/post-quantum-for-all</w:t>
        </w:r>
      </w:hyperlink>
      <w:r>
        <w:t xml:space="preserve">.</w:t>
      </w:r>
    </w:p>
    <w:bookmarkEnd w:id="70"/>
    <w:bookmarkStart w:id="71" w:name="ref-dhs-pqc-roadmap"/>
    <w:p>
      <w:pPr>
        <w:pStyle w:val="Bibliography"/>
      </w:pPr>
      <w:r>
        <w:t xml:space="preserve">Department of Homeland Security. 2023.</w:t>
      </w:r>
      <w:r>
        <w:t xml:space="preserve"> </w:t>
      </w:r>
      <w:r>
        <w:rPr>
          <w:i/>
          <w:iCs/>
        </w:rPr>
        <w:t xml:space="preserve">Post-Quantum Cryptography: Roadmap for Migration</w:t>
      </w:r>
      <w:r>
        <w:t xml:space="preserve">. DHS CISA.</w:t>
      </w:r>
    </w:p>
    <w:bookmarkEnd w:id="71"/>
    <w:bookmarkStart w:id="72" w:name="ref-dowling2020"/>
    <w:p>
      <w:pPr>
        <w:pStyle w:val="Bibliography"/>
      </w:pPr>
      <w:r>
        <w:t xml:space="preserve">Dowling, B., T. Günther, and A. Poirrier. 2024.</w:t>
      </w:r>
      <w:r>
        <w:t xml:space="preserve"> </w:t>
      </w:r>
      <w:r>
        <w:t xml:space="preserve">“Hybrid Key Encapsulation Mechanisms and Authenticated Key Exchange.”</w:t>
      </w:r>
      <w:r>
        <w:t xml:space="preserve"> </w:t>
      </w:r>
      <w:r>
        <w:rPr>
          <w:i/>
          <w:iCs/>
        </w:rPr>
        <w:t xml:space="preserve">Journal of Cryptology</w:t>
      </w:r>
      <w:r>
        <w:t xml:space="preserve"> </w:t>
      </w:r>
      <w:r>
        <w:t xml:space="preserve">37: 1–45.</w:t>
      </w:r>
    </w:p>
    <w:bookmarkEnd w:id="72"/>
    <w:bookmarkStart w:id="73" w:name="ref-etsi-ts103744"/>
    <w:p>
      <w:pPr>
        <w:pStyle w:val="Bibliography"/>
      </w:pPr>
      <w:r>
        <w:t xml:space="preserve">European Telecommunications Standards Institute. 2023.</w:t>
      </w:r>
      <w:r>
        <w:t xml:space="preserve"> </w:t>
      </w:r>
      <w:r>
        <w:rPr>
          <w:i/>
          <w:iCs/>
        </w:rPr>
        <w:t xml:space="preserve">Quantum-Safe Cryptography; Migration Strategies for Hybrid Approaches</w:t>
      </w:r>
      <w:r>
        <w:t xml:space="preserve">. TS 103 744. ETSI.</w:t>
      </w:r>
    </w:p>
    <w:bookmarkEnd w:id="73"/>
    <w:bookmarkStart w:id="74" w:name="ref-giacon2018"/>
    <w:p>
      <w:pPr>
        <w:pStyle w:val="Bibliography"/>
      </w:pPr>
      <w:r>
        <w:t xml:space="preserve">Giacon, F., F. Heuer, and B. Poettering. 2018.</w:t>
      </w:r>
      <w:r>
        <w:t xml:space="preserve"> </w:t>
      </w:r>
      <w:r>
        <w:t xml:space="preserve">“</w:t>
      </w:r>
      <w:r>
        <w:t xml:space="preserve">KEM</w:t>
      </w:r>
      <w:r>
        <w:t xml:space="preserve"> </w:t>
      </w:r>
      <w:r>
        <w:t xml:space="preserve">Combiners.”</w:t>
      </w:r>
      <w:r>
        <w:t xml:space="preserve"> </w:t>
      </w:r>
      <w:r>
        <w:rPr>
          <w:i/>
          <w:iCs/>
        </w:rPr>
        <w:t xml:space="preserve">Public-Key Cryptography – PKC 2018</w:t>
      </w:r>
      <w:r>
        <w:t xml:space="preserve">, 190–218.</w:t>
      </w:r>
    </w:p>
    <w:bookmarkEnd w:id="74"/>
    <w:bookmarkStart w:id="76" w:name="ref-chrome-pq"/>
    <w:p>
      <w:pPr>
        <w:pStyle w:val="Bibliography"/>
      </w:pPr>
      <w:r>
        <w:t xml:space="preserve">Google Chrome Team. 2024.</w:t>
      </w:r>
      <w:r>
        <w:t xml:space="preserve"> </w:t>
      </w:r>
      <w:r>
        <w:rPr>
          <w:i/>
          <w:iCs/>
        </w:rPr>
        <w:t xml:space="preserve">Post-Quantum Cryptography in</w:t>
      </w:r>
      <w:r>
        <w:rPr>
          <w:i/>
          <w:iCs/>
        </w:rPr>
        <w:t xml:space="preserve"> </w:t>
      </w:r>
      <w:r>
        <w:rPr>
          <w:i/>
          <w:iCs/>
        </w:rPr>
        <w:t xml:space="preserve">Chrome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Https://blog.chromium.org/2024/09/a-new-satisfsatisfying-satisfyingly.html</w:t>
        </w:r>
      </w:hyperlink>
      <w:r>
        <w:t xml:space="preserve">.</w:t>
      </w:r>
    </w:p>
    <w:bookmarkEnd w:id="76"/>
    <w:bookmarkStart w:id="77" w:name="ref-grover1996"/>
    <w:p>
      <w:pPr>
        <w:pStyle w:val="Bibliography"/>
      </w:pPr>
      <w:r>
        <w:t xml:space="preserve">Grover, L. K. 1996.</w:t>
      </w:r>
      <w:r>
        <w:t xml:space="preserve"> </w:t>
      </w:r>
      <w:r>
        <w:rPr>
          <w:i/>
          <w:iCs/>
        </w:rPr>
        <w:t xml:space="preserve">A Fast Quantum Mechanical Algorithm for Database Search</w:t>
      </w:r>
      <w:r>
        <w:t xml:space="preserve">. 212–19.</w:t>
      </w:r>
    </w:p>
    <w:bookmarkEnd w:id="77"/>
    <w:bookmarkStart w:id="78" w:name="ref-housley2024"/>
    <w:p>
      <w:pPr>
        <w:pStyle w:val="Bibliography"/>
      </w:pPr>
      <w:r>
        <w:t xml:space="preserve">Housley, R. 2024.</w:t>
      </w:r>
      <w:r>
        <w:t xml:space="preserve"> </w:t>
      </w:r>
      <w:r>
        <w:t xml:space="preserve">“Cryptographic Algorithm Agility for Digital Certificates.”</w:t>
      </w:r>
      <w:r>
        <w:t xml:space="preserve"> </w:t>
      </w:r>
      <w:r>
        <w:rPr>
          <w:i/>
          <w:iCs/>
        </w:rPr>
        <w:t xml:space="preserve">Computer Security Resource Center, NIST</w:t>
      </w:r>
      <w:r>
        <w:t xml:space="preserve">.</w:t>
      </w:r>
    </w:p>
    <w:bookmarkEnd w:id="78"/>
    <w:bookmarkStart w:id="79" w:name="ref-joseph2022"/>
    <w:p>
      <w:pPr>
        <w:pStyle w:val="Bibliography"/>
      </w:pPr>
      <w:r>
        <w:t xml:space="preserve">Joseph, D., R. Misoczki, M. Manzano, et al. 2022.</w:t>
      </w:r>
      <w:r>
        <w:t xml:space="preserve"> </w:t>
      </w:r>
      <w:r>
        <w:t xml:space="preserve">“Transitioning Organizations to Post-Quantum Cryptography.”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605: 237–43.</w:t>
      </w:r>
    </w:p>
    <w:bookmarkEnd w:id="79"/>
    <w:bookmarkStart w:id="80" w:name="ref-rfc5869"/>
    <w:p>
      <w:pPr>
        <w:pStyle w:val="Bibliography"/>
      </w:pPr>
      <w:r>
        <w:t xml:space="preserve">Krawczyk, H., and P. Eronen. 2010.</w:t>
      </w:r>
      <w:r>
        <w:t xml:space="preserve"> </w:t>
      </w:r>
      <w:r>
        <w:rPr>
          <w:i/>
          <w:iCs/>
        </w:rPr>
        <w:t xml:space="preserve">HMAC</w:t>
      </w:r>
      <w:r>
        <w:rPr>
          <w:i/>
          <w:iCs/>
        </w:rPr>
        <w:t xml:space="preserve">-Based Extract-and-Expand Key Derivation Function (</w:t>
      </w:r>
      <w:r>
        <w:rPr>
          <w:i/>
          <w:iCs/>
        </w:rPr>
        <w:t xml:space="preserve">HKDF</w:t>
      </w:r>
      <w:r>
        <w:rPr>
          <w:i/>
          <w:iCs/>
        </w:rPr>
        <w:t xml:space="preserve">)</w:t>
      </w:r>
      <w:r>
        <w:t xml:space="preserve">. No. 5869. RFC. IETF.</w:t>
      </w:r>
    </w:p>
    <w:bookmarkEnd w:id="80"/>
    <w:bookmarkStart w:id="81" w:name="ref-langlois2015"/>
    <w:p>
      <w:pPr>
        <w:pStyle w:val="Bibliography"/>
      </w:pPr>
      <w:r>
        <w:t xml:space="preserve">Langlois, A., and D. Stehlé. 2015.</w:t>
      </w:r>
      <w:r>
        <w:t xml:space="preserve"> </w:t>
      </w:r>
      <w:r>
        <w:t xml:space="preserve">“Worst-Case to Average-Case Reductions for Module Lattices.”</w:t>
      </w:r>
      <w:r>
        <w:t xml:space="preserve"> </w:t>
      </w:r>
      <w:r>
        <w:rPr>
          <w:i/>
          <w:iCs/>
        </w:rPr>
        <w:t xml:space="preserve">Designs, Codes and Cryptography</w:t>
      </w:r>
      <w:r>
        <w:t xml:space="preserve"> </w:t>
      </w:r>
      <w:r>
        <w:t xml:space="preserve">75: 565–99.</w:t>
      </w:r>
    </w:p>
    <w:bookmarkEnd w:id="81"/>
    <w:bookmarkStart w:id="82" w:name="ref-lyubashevsky2010"/>
    <w:p>
      <w:pPr>
        <w:pStyle w:val="Bibliography"/>
      </w:pPr>
      <w:r>
        <w:t xml:space="preserve">Lyubashevsky, V., C. Peikert, and O. Regev. 2010.</w:t>
      </w:r>
      <w:r>
        <w:t xml:space="preserve"> </w:t>
      </w:r>
      <w:r>
        <w:t xml:space="preserve">“On Ideal Lattices and Learning with Errors over Rings.”</w:t>
      </w:r>
      <w:r>
        <w:t xml:space="preserve"> </w:t>
      </w:r>
      <w:r>
        <w:rPr>
          <w:i/>
          <w:iCs/>
        </w:rPr>
        <w:t xml:space="preserve">Advances in Cryptology – EUROCRYPT 2010</w:t>
      </w:r>
      <w:r>
        <w:t xml:space="preserve">, 1–23.</w:t>
      </w:r>
    </w:p>
    <w:bookmarkEnd w:id="82"/>
    <w:bookmarkStart w:id="83" w:name="ref-mavroeidis2018"/>
    <w:p>
      <w:pPr>
        <w:pStyle w:val="Bibliography"/>
      </w:pPr>
      <w:r>
        <w:t xml:space="preserve">Mavroeidis, V., K. Vishi, M. D. Zych, and A. Jøsang. 2018.</w:t>
      </w:r>
      <w:r>
        <w:t xml:space="preserve"> </w:t>
      </w:r>
      <w:r>
        <w:t xml:space="preserve">“The Impact of Quantum Computing on Present Cryptography.”</w:t>
      </w:r>
      <w:r>
        <w:t xml:space="preserve"> </w:t>
      </w:r>
      <w:r>
        <w:rPr>
          <w:i/>
          <w:iCs/>
        </w:rPr>
        <w:t xml:space="preserve">International Journal of Advanced Computer Science and Applications</w:t>
      </w:r>
      <w:r>
        <w:t xml:space="preserve"> </w:t>
      </w:r>
      <w:r>
        <w:t xml:space="preserve">9 (3).</w:t>
      </w:r>
    </w:p>
    <w:bookmarkEnd w:id="83"/>
    <w:bookmarkStart w:id="84" w:name="ref-mosca2018"/>
    <w:p>
      <w:pPr>
        <w:pStyle w:val="Bibliography"/>
      </w:pPr>
      <w:r>
        <w:t xml:space="preserve">Mosca, M. 2018.</w:t>
      </w:r>
      <w:r>
        <w:t xml:space="preserve"> </w:t>
      </w:r>
      <w:r>
        <w:t xml:space="preserve">“Cybersecurity in an Era with Quantum Computers: Will We Be Ready?”</w:t>
      </w:r>
      <w:r>
        <w:t xml:space="preserve"> </w:t>
      </w:r>
      <w:r>
        <w:rPr>
          <w:i/>
          <w:iCs/>
        </w:rPr>
        <w:t xml:space="preserve">IEEE Security &amp; Privacy</w:t>
      </w:r>
      <w:r>
        <w:t xml:space="preserve"> </w:t>
      </w:r>
      <w:r>
        <w:t xml:space="preserve">16: 38–41.</w:t>
      </w:r>
    </w:p>
    <w:bookmarkEnd w:id="84"/>
    <w:bookmarkStart w:id="85" w:name="ref-nist-fips204"/>
    <w:p>
      <w:pPr>
        <w:pStyle w:val="Bibliography"/>
      </w:pPr>
      <w:r>
        <w:t xml:space="preserve">National Institute of Standards and Technology. 2024a.</w:t>
      </w:r>
      <w:r>
        <w:t xml:space="preserve"> </w:t>
      </w:r>
      <w:r>
        <w:rPr>
          <w:i/>
          <w:iCs/>
        </w:rPr>
        <w:t xml:space="preserve">Module-Lattice-Based Digital Signature Standard (</w:t>
      </w:r>
      <w:r>
        <w:rPr>
          <w:i/>
          <w:iCs/>
        </w:rPr>
        <w:t xml:space="preserve">ML-DSA</w:t>
      </w:r>
      <w:r>
        <w:rPr>
          <w:i/>
          <w:iCs/>
        </w:rPr>
        <w:t xml:space="preserve">)</w:t>
      </w:r>
      <w:r>
        <w:t xml:space="preserve">. FIPS 204. NIST.</w:t>
      </w:r>
    </w:p>
    <w:bookmarkEnd w:id="85"/>
    <w:bookmarkStart w:id="86" w:name="ref-nist-fips203"/>
    <w:p>
      <w:pPr>
        <w:pStyle w:val="Bibliography"/>
      </w:pPr>
      <w:r>
        <w:t xml:space="preserve">National Institute of Standards and Technology. 2024b.</w:t>
      </w:r>
      <w:r>
        <w:t xml:space="preserve"> </w:t>
      </w:r>
      <w:r>
        <w:rPr>
          <w:i/>
          <w:iCs/>
        </w:rPr>
        <w:t xml:space="preserve">Module-Lattice-Based Key-Encapsulation Mechanism Standard (</w:t>
      </w:r>
      <w:r>
        <w:rPr>
          <w:i/>
          <w:iCs/>
        </w:rPr>
        <w:t xml:space="preserve">ML-KEM</w:t>
      </w:r>
      <w:r>
        <w:rPr>
          <w:i/>
          <w:iCs/>
        </w:rPr>
        <w:t xml:space="preserve">)</w:t>
      </w:r>
      <w:r>
        <w:t xml:space="preserve">. FIPS 203. NIST.</w:t>
      </w:r>
    </w:p>
    <w:bookmarkEnd w:id="86"/>
    <w:bookmarkStart w:id="87" w:name="ref-nist-fips205"/>
    <w:p>
      <w:pPr>
        <w:pStyle w:val="Bibliography"/>
      </w:pPr>
      <w:r>
        <w:t xml:space="preserve">National Institute of Standards and Technology. 2024c.</w:t>
      </w:r>
      <w:r>
        <w:t xml:space="preserve"> </w:t>
      </w:r>
      <w:r>
        <w:rPr>
          <w:i/>
          <w:iCs/>
        </w:rPr>
        <w:t xml:space="preserve">Stateless Hash-Based Digital Signature Standard (</w:t>
      </w:r>
      <w:r>
        <w:rPr>
          <w:i/>
          <w:iCs/>
        </w:rPr>
        <w:t xml:space="preserve">SLH-DSA</w:t>
      </w:r>
      <w:r>
        <w:rPr>
          <w:i/>
          <w:iCs/>
        </w:rPr>
        <w:t xml:space="preserve">)</w:t>
      </w:r>
      <w:r>
        <w:t xml:space="preserve">. FIPS 205. NIST.</w:t>
      </w:r>
    </w:p>
    <w:bookmarkEnd w:id="87"/>
    <w:bookmarkStart w:id="88" w:name="ref-nist-sp800-227"/>
    <w:p>
      <w:pPr>
        <w:pStyle w:val="Bibliography"/>
      </w:pPr>
      <w:r>
        <w:t xml:space="preserve">National Institute of Standards and Technology. 2025.</w:t>
      </w:r>
      <w:r>
        <w:t xml:space="preserve"> </w:t>
      </w:r>
      <w:r>
        <w:rPr>
          <w:i/>
          <w:iCs/>
        </w:rPr>
        <w:t xml:space="preserve">Recommendations for the Transition to Post-Quantum Cryptography</w:t>
      </w:r>
      <w:r>
        <w:t xml:space="preserve">. SP 800-227. NIST.</w:t>
      </w:r>
    </w:p>
    <w:bookmarkEnd w:id="88"/>
    <w:bookmarkStart w:id="89" w:name="ref-cnsa2"/>
    <w:p>
      <w:pPr>
        <w:pStyle w:val="Bibliography"/>
      </w:pPr>
      <w:r>
        <w:t xml:space="preserve">National Security Agency. 2022.</w:t>
      </w:r>
      <w:r>
        <w:t xml:space="preserve"> </w:t>
      </w:r>
      <w:r>
        <w:rPr>
          <w:i/>
          <w:iCs/>
        </w:rPr>
        <w:t xml:space="preserve">Commercial</w:t>
      </w:r>
      <w:r>
        <w:rPr>
          <w:i/>
          <w:iCs/>
        </w:rPr>
        <w:t xml:space="preserve"> </w:t>
      </w:r>
      <w:r>
        <w:rPr>
          <w:i/>
          <w:iCs/>
        </w:rPr>
        <w:t xml:space="preserve">National Security Algorithm Suite</w:t>
      </w:r>
      <w:r>
        <w:rPr>
          <w:i/>
          <w:iCs/>
        </w:rPr>
        <w:t xml:space="preserve"> </w:t>
      </w:r>
      <w:r>
        <w:rPr>
          <w:i/>
          <w:iCs/>
        </w:rPr>
        <w:t xml:space="preserve">2.0</w:t>
      </w:r>
      <w:r>
        <w:t xml:space="preserve">. NSA.</w:t>
      </w:r>
    </w:p>
    <w:bookmarkEnd w:id="89"/>
    <w:bookmarkStart w:id="90" w:name="ref-ott2019"/>
    <w:p>
      <w:pPr>
        <w:pStyle w:val="Bibliography"/>
      </w:pPr>
      <w:r>
        <w:t xml:space="preserve">Ott, D., and C. Peikert. 2019.</w:t>
      </w:r>
      <w:r>
        <w:t xml:space="preserve"> </w:t>
      </w:r>
      <w:r>
        <w:t xml:space="preserve">“Identifying Research Challenges in Post Quantum Cryptography Migration and Cryptographic Agility.”</w:t>
      </w:r>
      <w:r>
        <w:t xml:space="preserve"> </w:t>
      </w:r>
      <w:r>
        <w:rPr>
          <w:i/>
          <w:iCs/>
        </w:rPr>
        <w:t xml:space="preserve">NIST PQC Conference</w:t>
      </w:r>
      <w:r>
        <w:t xml:space="preserve">.</w:t>
      </w:r>
    </w:p>
    <w:bookmarkEnd w:id="90"/>
    <w:bookmarkStart w:id="91" w:name="ref-paquin2020"/>
    <w:p>
      <w:pPr>
        <w:pStyle w:val="Bibliography"/>
      </w:pPr>
      <w:r>
        <w:t xml:space="preserve">Paquin, C., D. Stebila, and G. Tamvada. 2020.</w:t>
      </w:r>
      <w:r>
        <w:t xml:space="preserve"> </w:t>
      </w:r>
      <w:r>
        <w:rPr>
          <w:i/>
          <w:iCs/>
        </w:rPr>
        <w:t xml:space="preserve">Benchmarking Post-Quantum Cryptography in</w:t>
      </w:r>
      <w:r>
        <w:rPr>
          <w:i/>
          <w:iCs/>
        </w:rPr>
        <w:t xml:space="preserve"> </w:t>
      </w:r>
      <w:r>
        <w:rPr>
          <w:i/>
          <w:iCs/>
        </w:rPr>
        <w:t xml:space="preserve">TLS</w:t>
      </w:r>
      <w:r>
        <w:t xml:space="preserve">. 72–91.</w:t>
      </w:r>
    </w:p>
    <w:bookmarkEnd w:id="91"/>
    <w:bookmarkStart w:id="92" w:name="ref-regev2005"/>
    <w:p>
      <w:pPr>
        <w:pStyle w:val="Bibliography"/>
      </w:pPr>
      <w:r>
        <w:t xml:space="preserve">Regev, O. 2005.</w:t>
      </w:r>
      <w:r>
        <w:t xml:space="preserve"> </w:t>
      </w:r>
      <w:r>
        <w:t xml:space="preserve">“On Lattices, Learning with Errors, Random Linear Codes, and Cryptography.”</w:t>
      </w:r>
      <w:r>
        <w:t xml:space="preserve"> </w:t>
      </w:r>
      <w:r>
        <w:rPr>
          <w:i/>
          <w:iCs/>
        </w:rPr>
        <w:t xml:space="preserve">Proceedings of the 37th Annual ACM Symposium on Theory of Computing (STOC)</w:t>
      </w:r>
      <w:r>
        <w:t xml:space="preserve">, 84–93.</w:t>
      </w:r>
    </w:p>
    <w:bookmarkEnd w:id="92"/>
    <w:bookmarkStart w:id="93" w:name="ref-rfc8446"/>
    <w:p>
      <w:pPr>
        <w:pStyle w:val="Bibliography"/>
      </w:pPr>
      <w:r>
        <w:t xml:space="preserve">Rescorla, E. 2018.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Transport Layer Security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TLS</w:t>
      </w:r>
      <w:r>
        <w:rPr>
          <w:i/>
          <w:iCs/>
        </w:rPr>
        <w:t xml:space="preserve">) Protocol Version 1.3</w:t>
      </w:r>
      <w:r>
        <w:t xml:space="preserve">. No. 8446. RFC. IETF.</w:t>
      </w:r>
    </w:p>
    <w:bookmarkEnd w:id="93"/>
    <w:bookmarkStart w:id="94" w:name="ref-schwabe2024"/>
    <w:p>
      <w:pPr>
        <w:pStyle w:val="Bibliography"/>
      </w:pPr>
      <w:r>
        <w:t xml:space="preserve">Schwabe, P., D. Stebila, and T. Wiggers. 2024.</w:t>
      </w:r>
      <w:r>
        <w:t xml:space="preserve"> </w:t>
      </w:r>
      <w:r>
        <w:t xml:space="preserve">“More Efficient Post-Quantum</w:t>
      </w:r>
      <w:r>
        <w:t xml:space="preserve"> </w:t>
      </w:r>
      <w:r>
        <w:t xml:space="preserve">KEMTLS</w:t>
      </w:r>
      <w:r>
        <w:t xml:space="preserve"> </w:t>
      </w:r>
      <w:r>
        <w:t xml:space="preserve">with Pre-Distributed Public Keys.”</w:t>
      </w:r>
      <w:r>
        <w:t xml:space="preserve"> </w:t>
      </w:r>
      <w:r>
        <w:rPr>
          <w:i/>
          <w:iCs/>
        </w:rPr>
        <w:t xml:space="preserve">European Symposium on Research in Computer Security (ESORICS)</w:t>
      </w:r>
      <w:r>
        <w:t xml:space="preserve">.</w:t>
      </w:r>
    </w:p>
    <w:bookmarkEnd w:id="94"/>
    <w:bookmarkStart w:id="95" w:name="ref-shor1997"/>
    <w:p>
      <w:pPr>
        <w:pStyle w:val="Bibliography"/>
      </w:pPr>
      <w:r>
        <w:t xml:space="preserve">Shor, P. W. 1997.</w:t>
      </w:r>
      <w:r>
        <w:t xml:space="preserve"> </w:t>
      </w:r>
      <w:r>
        <w:t xml:space="preserve">“Polynomial-Time Algorithms for Prime Factorization and Discrete Logarithms on a Quantum Computer.”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26 (5): 1484–509.</w:t>
      </w:r>
    </w:p>
    <w:bookmarkEnd w:id="95"/>
    <w:bookmarkStart w:id="96" w:name="ref-draft-hybrid-design"/>
    <w:p>
      <w:pPr>
        <w:pStyle w:val="Bibliography"/>
      </w:pPr>
      <w:r>
        <w:t xml:space="preserve">Stebila, D., S. Fluhrer, and S. Gueron. 2024.</w:t>
      </w:r>
      <w:r>
        <w:t xml:space="preserve"> </w:t>
      </w:r>
      <w:r>
        <w:rPr>
          <w:i/>
          <w:iCs/>
        </w:rPr>
        <w:t xml:space="preserve">Hybrid Key Exchange in</w:t>
      </w:r>
      <w:r>
        <w:rPr>
          <w:i/>
          <w:iCs/>
        </w:rPr>
        <w:t xml:space="preserve"> </w:t>
      </w:r>
      <w:r>
        <w:rPr>
          <w:i/>
          <w:iCs/>
        </w:rPr>
        <w:t xml:space="preserve">TLS</w:t>
      </w:r>
      <w:r>
        <w:rPr>
          <w:i/>
          <w:iCs/>
        </w:rPr>
        <w:t xml:space="preserve"> </w:t>
      </w:r>
      <w:r>
        <w:rPr>
          <w:i/>
          <w:iCs/>
        </w:rPr>
        <w:t xml:space="preserve">1.3</w:t>
      </w:r>
      <w:r>
        <w:t xml:space="preserve">. Internet-Draft, draft-ietf-tls-hybrid-design; IETF.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5" Target="https://blog.chromium.org/2024/09/a-new-satisfsatisfying-satisfyingly.html" TargetMode="External" /><Relationship Type="http://schemas.openxmlformats.org/officeDocument/2006/relationships/hyperlink" Id="rId69" Target="https://blog.cloudflare.com/post-quantum-for-a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blog.chromium.org/2024/09/a-new-satisfsatisfying-satisfyingly.html" TargetMode="External" /><Relationship Type="http://schemas.openxmlformats.org/officeDocument/2006/relationships/hyperlink" Id="rId69" Target="https://blog.cloudflare.com/post-quantum-for-a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Post-Quantum Crypto Agility Framework: Runtime Algorithm Negotiation, Quantum Threat Scoring, and Hybrid Key Exchange</dc:title>
  <dc:creator/>
  <cp:keywords/>
  <dcterms:created xsi:type="dcterms:W3CDTF">2026-03-16T10:01:36Z</dcterms:created>
  <dcterms:modified xsi:type="dcterms:W3CDTF">2026-03-16T10:01:36Z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imminent arrival of cryptographically relevant quantum computers (CRQCs) demands that deployed systems migrate away from RSA and elliptic-curve cryptography toward post-quantum alternatives standardized by NIST. However, enterprise environments encompass thousands of heterogeneous cryptographic assets whose simultaneous migration is infeasible, creating a protracted transition period during which classical, hybrid, and post-quantum algorithms must coexist. We present QBridge, an integrated framework addressing three critical facets of this transition. First, we introduce a Crypto Agility Negotiation Protocol that enables runtime algorithm selection between peers through capability advertisement, policy-constrained intersection, and zero-downtime rotation when algorithms are deprecated or compromised. The protocol supports 28 algorithms across six families governed by four organizational policies aligned with NIST SP 800-227, CNSA 2.0, and ETSI TS 103 744. Second, we describe a Quantum Threat Scoring Engine that computes a composite Quantum Risk Score (QRS) in [0,100] by weighting five factors—algorithm vulnerability, time-horizon risk via Mosca’s inequality, data sensitivity, migration gap, and exposure surface—to prioritize migration across an entire cryptographic asset portfolio. Third, we specify three Hybrid Key Exchange constructions (X25519-ML-KEM, P384-ML-KEM, X25519-ML-KEM) that combine classical ECDH with Module-LWE-based key encapsulation, deriving the shared secret through HKDF-SHA256 with domain separation, suitable for TLS 1.3 integration. We evaluate QBridge on realistic workloads, demonstrating negotiation latency under 2 ms, scoring throughput exceeding 50 000 assets per second, and hybrid KEM overhead within 15% of standalone ML-KEM, making the framework practical for large-scale deployment.</vt:lpwstr>
  </property>
  <property fmtid="{D5CDD505-2E9C-101B-9397-08002B2CF9AE}" pid="3" name="bibliography">
    <vt:lpwstr>paper1_core_pqc/references.bib</vt:lpwstr>
  </property>
</Properties>
</file>