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Post-Quantum Cryptography for Bandwidth-Constrained Aviation Datalinks: Aggregate Signatures and Forward-Secure Channels for ATC Communication</w:t>
      </w:r>
    </w:p>
    <w:p>
      <w:pPr>
        <w:pStyle w:val="Author"/>
      </w:pPr>
    </w:p>
    <w:p>
      <w:pPr>
        <w:pStyle w:val="AbstractTitle"/>
      </w:pPr>
      <w:r>
        <w:t xml:space="preserve">Abstract</w:t>
      </w:r>
    </w:p>
    <w:p>
      <w:pPr>
        <w:pStyle w:val="Abstract"/>
      </w:pPr>
      <w:r>
        <w:t xml:space="preserve">Air traffic control (ATC) communication systems operate under stringent bandwidth constraints that pose a fundamental challenge to the adoption of post-quantum cryptography (PQC). Current ATC datalinks—including VHF ACARS at 2.4 kbps, HF Datalink at 1.8 kbps, and classic SATCOM at 600 bps—cannot accommodate the significantly larger signature and key sizes of lattice-based schemes such as ML-DSA and Falcon, where individual signatures range from 666 bytes to 3.3 KB. At the same time, the</w:t>
      </w:r>
      <w:r>
        <w:t xml:space="preserve"> </w:t>
      </w:r>
      <w:r>
        <w:t xml:space="preserve">“harvest now, decrypt later”</w:t>
      </w:r>
      <w:r>
        <w:t xml:space="preserve"> </w:t>
      </w:r>
      <w:r>
        <w:t xml:space="preserve">(HNDL) threat model makes quantum-resistant security an urgent requirement for safety-critical aviation messages that may retain sensitivity for decades.</w:t>
      </w:r>
    </w:p>
    <w:p>
      <w:pPr>
        <w:pStyle w:val="Abstract"/>
      </w:pPr>
      <w:r>
        <w:t xml:space="preserve">This paper presents two complementary constructions that enable practical PQC deployment on bandwidth-constrained aviation datalinks. First, we introduce a Merkle tree aggregate signature scheme that compresses</w:t>
      </w:r>
      <w:r>
        <w:t xml:space="preserve"> </w:t>
      </w:r>
      <m:oMath>
        <m:r>
          <m:t>N</m:t>
        </m:r>
      </m:oMath>
      <w:r>
        <w:t xml:space="preserve"> </w:t>
      </w:r>
      <w:r>
        <w:t xml:space="preserve">individual PQC signatures into a single compact aggregate proof. By computing SHA3-256 leaf hashes of individual signatures, constructing a Merkle tree, and applying Zstd compression, the scheme achieves bandwidth reductions of 80–90% on the most constrained channels, reducing per-signature overhead to approximately 100–200 bytes. The scheme incorporates priority-aware handling where DISTRESS messages bypass aggregation to ensure zero additional latency for safety-critical communications. Second, we design a forward-secure double-ratchet channel protocol using ephemeral ML-KEM-768 key exchanges per epoch, with AES-256-GCM symmetric encryption and HKDF-SHA3-256 key derivation. The protocol supports four ratchet modes—per-message, per-epoch, per-exchange, and periodic—tailored to the operational profiles of ACARS, CPDLC, ADS-C, and LDACS channels. Key erasure is performed immediately at epoch boundaries with a one-interval retention window for message reordering. We provide detailed performance analysis across five channel profiles, demonstrating aggregate verification latency below 50 ms for batches of 64 messages and ratchet overhead compatible with real-time ATC operations. Security analysis establishes aggregate unforgeability under the collision resistance of SHA3-256 and forward secrecy under the IND-CCA2 security of ML-KEM-768.</w:t>
      </w:r>
    </w:p>
    <w:p>
      <w:pPr>
        <w:pStyle w:val="FirstParagraph"/>
      </w:pPr>
      <w:r>
        <w:t xml:space="preserve">Post-quantum cryptography, air traffic control, aggregate signatures, forward secrecy, ML-KEM, ML-DSA, ACARS, CPDLC, LDACS, bandwidth optimization</w:t>
      </w:r>
    </w:p>
    <w:bookmarkStart w:id="11" w:name="introduction"/>
    <w:p>
      <w:pPr>
        <w:pStyle w:val="Heading1"/>
      </w:pPr>
      <w:r>
        <w:t xml:space="preserve">Introduction</w:t>
      </w:r>
    </w:p>
    <w:p>
      <w:pPr>
        <w:pStyle w:val="FirstParagraph"/>
      </w:pPr>
      <w:r>
        <w:t xml:space="preserve">Aviation communication has undergone a fundamental transformation over the past three decades. The transition from analog voice-only radio to digital datalinks—Aircraft Communications Addressing and Reporting System (ACARS), Controller-Pilot Data Link Communications (CPDLC), and Automatic Dependent Surveillance-Broadcast (ADS-B)—has enabled more efficient air traffic management but has simultaneously expanded the attack surface for cyber threats </w:t>
      </w:r>
      <w:r>
        <w:t xml:space="preserve">(Strohmeier et al. 2015; Costin and Francillon 2012)</w:t>
      </w:r>
      <w:r>
        <w:t xml:space="preserve">. The safety-critical nature of these communications, where a compromised message could endanger hundreds of lives, demands the highest assurance levels for authentication and confidentiality.</w:t>
      </w:r>
    </w:p>
    <w:p>
      <w:pPr>
        <w:pStyle w:val="BodyText"/>
      </w:pPr>
      <w:r>
        <w:t xml:space="preserve">The advent of cryptographically relevant quantum computers (CRQCs) poses a particularly acute threat to aviation. Unlike many communication domains where data sensitivity is transient, ATC communications carry implications for accident investigation, regulatory compliance, and national security that extend for decades. The</w:t>
      </w:r>
      <w:r>
        <w:t xml:space="preserve"> </w:t>
      </w:r>
      <w:r>
        <w:t xml:space="preserve">“harvest now, decrypt later”</w:t>
      </w:r>
      <w:r>
        <w:t xml:space="preserve"> </w:t>
      </w:r>
      <w:r>
        <w:t xml:space="preserve">(HNDL) attack model </w:t>
      </w:r>
      <w:r>
        <w:t xml:space="preserve">(Mosca 2018)</w:t>
      </w:r>
      <w:r>
        <w:t xml:space="preserve">—where adversaries record encrypted traffic today for future quantum decryption—is especially concerning for aviation, as recorded ATC transcripts could reveal flight patterns, military movements, and critical infrastructure vulnerabilities.</w:t>
      </w:r>
    </w:p>
    <w:p>
      <w:pPr>
        <w:pStyle w:val="BodyText"/>
      </w:pPr>
      <w:r>
        <w:t xml:space="preserve">The National Institute of Standards and Technology (NIST) has finalized the first generation of post-quantum cryptographic standards: ML-KEM (FIPS 203) </w:t>
      </w:r>
      <w:r>
        <w:t xml:space="preserve">(National Institute of Standards and Technology 2024b)</w:t>
      </w:r>
      <w:r>
        <w:t xml:space="preserve"> </w:t>
      </w:r>
      <w:r>
        <w:t xml:space="preserve">for key encapsulation, ML-DSA (FIPS 204) </w:t>
      </w:r>
      <w:r>
        <w:t xml:space="preserve">(National Institute of Standards and Technology 2024a)</w:t>
      </w:r>
      <w:r>
        <w:t xml:space="preserve"> </w:t>
      </w:r>
      <w:r>
        <w:t xml:space="preserve">for digital signatures, and SLH-DSA (FIPS 205) </w:t>
      </w:r>
      <w:r>
        <w:t xml:space="preserve">(National Institute of Standards and Technology 2024c)</w:t>
      </w:r>
      <w:r>
        <w:t xml:space="preserve"> </w:t>
      </w:r>
      <w:r>
        <w:t xml:space="preserve">for stateless hash-based signatures. The NSA’s CNSA 2.0 suite </w:t>
      </w:r>
      <w:r>
        <w:t xml:space="preserve">(National Security Agency 2022)</w:t>
      </w:r>
      <w:r>
        <w:t xml:space="preserve"> </w:t>
      </w:r>
      <w:r>
        <w:t xml:space="preserve">mandates PQC adoption for national security systems by 2035, a timeline that directly affects military and civil aviation infrastructure.</w:t>
      </w:r>
    </w:p>
    <w:p>
      <w:pPr>
        <w:pStyle w:val="BodyText"/>
      </w:pPr>
      <w:r>
        <w:t xml:space="preserve">However, PQC adoption faces a critical obstacle in aviation:</w:t>
      </w:r>
      <w:r>
        <w:t xml:space="preserve"> </w:t>
      </w:r>
      <w:r>
        <w:rPr>
          <w:i/>
          <w:iCs/>
        </w:rPr>
        <w:t xml:space="preserve">bandwidth</w:t>
      </w:r>
      <w:r>
        <w:t xml:space="preserve">. The signature sizes of lattice-based schemes are orders of magnitude larger than their classical counterparts. ML-DSA-65 produces signatures of 3,309 bytes compared to 64 bytes for Ed25519, while even the more compact Falcon-512 generates 666-byte signatures. On a VHF ACARS channel operating at 2.4 kbps, transmitting a single ML-DSA-65 signature requires approximately 11 seconds—an unacceptable delay for time-critical ATC messages.</w:t>
      </w:r>
    </w:p>
    <w:p>
      <w:pPr>
        <w:pStyle w:val="BodyText"/>
      </w:pPr>
      <w:r>
        <w:t xml:space="preserve">Table </w:t>
      </w:r>
      <w:hyperlink w:anchor="tab:sig_comparison">
        <w:r>
          <w:rPr>
            <w:rStyle w:val="Hyperlink"/>
          </w:rPr>
          <w:t xml:space="preserve">1</w:t>
        </w:r>
      </w:hyperlink>
      <w:r>
        <w:t xml:space="preserve"> </w:t>
      </w:r>
      <w:r>
        <w:t xml:space="preserve">illustrates the severity of this mismatch. The most bandwidth-constrained channels cannot feasibly carry individual PQC signatures without either unacceptable latency or significant reduction in message throughput.</w:t>
      </w:r>
    </w:p>
    <w:bookmarkStart w:id="9" w:name="tab:sig_comparison"/>
    <w:p>
      <w:pPr>
        <w:pStyle w:val="TableCaption"/>
      </w:pPr>
      <w:r>
        <w:t xml:space="preserve">PQC Signature Sizes vs. ATC Channel Capacities</w:t>
      </w:r>
    </w:p>
    <w:tbl>
      <w:tblPr>
        <w:tblStyle w:val="Table"/>
        <w:tblW w:type="auto" w:w="0"/>
        <w:tblLook w:firstRow="1" w:lastRow="0" w:firstColumn="0" w:lastColumn="0" w:noHBand="0" w:noVBand="0" w:val="0020"/>
        <w:tblCaption w:val="PQC Signature Sizes vs. ATC Channel Capacities"/>
      </w:tblPr>
      <w:tblGrid>
        <w:gridCol w:w="2640"/>
        <w:gridCol w:w="2640"/>
        <w:gridCol w:w="2640"/>
      </w:tblGrid>
      <w:tr>
        <w:trPr>
          <w:tblHeader w:val="on"/>
        </w:trPr>
        <w:tc>
          <w:tcPr/>
          <w:p>
            <w:pPr>
              <w:pStyle w:val="Compact"/>
              <w:jc w:val="left"/>
            </w:pPr>
            <w:r>
              <w:rPr>
                <w:b/>
                <w:bCs/>
              </w:rPr>
              <w:t xml:space="preserve">Scheme</w:t>
            </w:r>
          </w:p>
        </w:tc>
        <w:tc>
          <w:tcPr/>
          <w:p>
            <w:pPr>
              <w:pStyle w:val="Compact"/>
              <w:jc w:val="center"/>
            </w:pPr>
            <w:r>
              <w:rPr>
                <w:b/>
                <w:bCs/>
              </w:rPr>
              <w:t xml:space="preserve">Sig. Size (B)</w:t>
            </w:r>
          </w:p>
        </w:tc>
        <w:tc>
          <w:tcPr/>
          <w:p>
            <w:pPr>
              <w:pStyle w:val="Compact"/>
              <w:jc w:val="center"/>
            </w:pPr>
            <w:r>
              <w:rPr>
                <w:b/>
                <w:bCs/>
              </w:rPr>
              <w:t xml:space="preserve">TX Time @ 2.4 kbps</w:t>
            </w:r>
          </w:p>
        </w:tc>
      </w:tr>
      <w:tr>
        <w:tc>
          <w:tcPr/>
          <w:p>
            <w:pPr>
              <w:pStyle w:val="Compact"/>
              <w:jc w:val="left"/>
            </w:pPr>
            <w:r>
              <w:t xml:space="preserve">Ed25519 (classical)</w:t>
            </w:r>
          </w:p>
        </w:tc>
        <w:tc>
          <w:tcPr/>
          <w:p>
            <w:pPr>
              <w:pStyle w:val="Compact"/>
              <w:jc w:val="center"/>
            </w:pPr>
            <w:r>
              <w:t xml:space="preserve">64</w:t>
            </w:r>
          </w:p>
        </w:tc>
        <w:tc>
          <w:tcPr/>
          <w:p>
            <w:pPr>
              <w:pStyle w:val="Compact"/>
              <w:jc w:val="center"/>
            </w:pPr>
            <w:r>
              <w:t xml:space="preserve">0.21 s</w:t>
            </w:r>
          </w:p>
        </w:tc>
      </w:tr>
      <w:tr>
        <w:tc>
          <w:tcPr/>
          <w:p>
            <w:pPr>
              <w:pStyle w:val="Compact"/>
              <w:jc w:val="left"/>
            </w:pPr>
            <w:r>
              <w:t xml:space="preserve">Falcon-512</w:t>
            </w:r>
          </w:p>
        </w:tc>
        <w:tc>
          <w:tcPr/>
          <w:p>
            <w:pPr>
              <w:pStyle w:val="Compact"/>
              <w:jc w:val="center"/>
            </w:pPr>
            <w:r>
              <w:t xml:space="preserve">666</w:t>
            </w:r>
          </w:p>
        </w:tc>
        <w:tc>
          <w:tcPr/>
          <w:p>
            <w:pPr>
              <w:pStyle w:val="Compact"/>
              <w:jc w:val="center"/>
            </w:pPr>
            <w:r>
              <w:t xml:space="preserve">2.22 s</w:t>
            </w:r>
          </w:p>
        </w:tc>
      </w:tr>
      <w:tr>
        <w:tc>
          <w:tcPr/>
          <w:p>
            <w:pPr>
              <w:pStyle w:val="Compact"/>
              <w:jc w:val="left"/>
            </w:pPr>
            <w:r>
              <w:t xml:space="preserve">ML-DSA-44</w:t>
            </w:r>
          </w:p>
        </w:tc>
        <w:tc>
          <w:tcPr/>
          <w:p>
            <w:pPr>
              <w:pStyle w:val="Compact"/>
              <w:jc w:val="center"/>
            </w:pPr>
            <w:r>
              <w:t xml:space="preserve">2,420</w:t>
            </w:r>
          </w:p>
        </w:tc>
        <w:tc>
          <w:tcPr/>
          <w:p>
            <w:pPr>
              <w:pStyle w:val="Compact"/>
              <w:jc w:val="center"/>
            </w:pPr>
            <w:r>
              <w:t xml:space="preserve">8.07 s</w:t>
            </w:r>
          </w:p>
        </w:tc>
      </w:tr>
      <w:tr>
        <w:tc>
          <w:tcPr/>
          <w:p>
            <w:pPr>
              <w:pStyle w:val="Compact"/>
              <w:jc w:val="left"/>
            </w:pPr>
            <w:r>
              <w:t xml:space="preserve">ML-DSA-65</w:t>
            </w:r>
          </w:p>
        </w:tc>
        <w:tc>
          <w:tcPr/>
          <w:p>
            <w:pPr>
              <w:pStyle w:val="Compact"/>
              <w:jc w:val="center"/>
            </w:pPr>
            <w:r>
              <w:t xml:space="preserve">3,309</w:t>
            </w:r>
          </w:p>
        </w:tc>
        <w:tc>
          <w:tcPr/>
          <w:p>
            <w:pPr>
              <w:pStyle w:val="Compact"/>
              <w:jc w:val="center"/>
            </w:pPr>
            <w:r>
              <w:t xml:space="preserve">11.03 s</w:t>
            </w:r>
          </w:p>
        </w:tc>
      </w:tr>
      <w:tr>
        <w:tc>
          <w:tcPr/>
          <w:p>
            <w:pPr>
              <w:pStyle w:val="Compact"/>
              <w:jc w:val="left"/>
            </w:pPr>
            <w:r>
              <w:t xml:space="preserve">SLH-DSA-128s</w:t>
            </w:r>
          </w:p>
        </w:tc>
        <w:tc>
          <w:tcPr/>
          <w:p>
            <w:pPr>
              <w:pStyle w:val="Compact"/>
              <w:jc w:val="center"/>
            </w:pPr>
            <w:r>
              <w:t xml:space="preserve">7,856</w:t>
            </w:r>
          </w:p>
        </w:tc>
        <w:tc>
          <w:tcPr/>
          <w:p>
            <w:pPr>
              <w:pStyle w:val="Compact"/>
              <w:jc w:val="center"/>
            </w:pPr>
            <w:r>
              <w:t xml:space="preserve">26.19 s</w:t>
            </w:r>
          </w:p>
        </w:tc>
      </w:tr>
    </w:tbl>
    <w:bookmarkEnd w:id="9"/>
    <w:bookmarkStart w:id="10" w:name="contributions"/>
    <w:p>
      <w:pPr>
        <w:pStyle w:val="Heading2"/>
      </w:pPr>
      <w:r>
        <w:t xml:space="preserve">Contributions</w:t>
      </w:r>
    </w:p>
    <w:p>
      <w:pPr>
        <w:pStyle w:val="FirstParagraph"/>
      </w:pPr>
      <w:r>
        <w:t xml:space="preserve">This paper addresses the bandwidth-PQC conflict in aviation through two complementary constructions:</w:t>
      </w:r>
    </w:p>
    <w:p>
      <w:pPr>
        <w:numPr>
          <w:ilvl w:val="0"/>
          <w:numId w:val="1001"/>
        </w:numPr>
      </w:pPr>
      <w:r>
        <w:rPr>
          <w:b/>
          <w:bCs/>
        </w:rPr>
        <w:t xml:space="preserve">Merkle Tree Aggregate Signature Scheme.</w:t>
      </w:r>
      <w:r>
        <w:t xml:space="preserve"> </w:t>
      </w:r>
      <w:r>
        <w:t xml:space="preserve">We present a hash-based aggregate signature construction that compresses</w:t>
      </w:r>
      <w:r>
        <w:t xml:space="preserve"> </w:t>
      </w:r>
      <m:oMath>
        <m:r>
          <m:t>N</m:t>
        </m:r>
      </m:oMath>
      <w:r>
        <w:t xml:space="preserve"> </w:t>
      </w:r>
      <w:r>
        <w:t xml:space="preserve">individual PQC signatures into a single compact proof. The scheme builds a Merkle tree over SHA3-256 hashes of</w:t>
      </w:r>
      <w:r>
        <w:t xml:space="preserve"> </w:t>
      </w:r>
      <m:oMath>
        <m:r>
          <m:rPr>
            <m:sty m:val="p"/>
          </m:rPr>
          <m:t>(</m:t>
        </m:r>
        <m:r>
          <m:t>m</m:t>
        </m:r>
        <m:r>
          <m:t>e</m:t>
        </m:r>
        <m:r>
          <m:t>s</m:t>
        </m:r>
        <m:r>
          <m:t>s</m:t>
        </m:r>
        <m:r>
          <m:t>a</m:t>
        </m:r>
        <m:r>
          <m:t>g</m:t>
        </m:r>
        <m:r>
          <m:t>e</m:t>
        </m:r>
        <m:r>
          <m:rPr>
            <m:sty m:val="p"/>
          </m:rPr>
          <m:t>∥</m:t>
        </m:r>
        <m:r>
          <m:t>s</m:t>
        </m:r>
        <m:r>
          <m:t>i</m:t>
        </m:r>
        <m:r>
          <m:t>g</m:t>
        </m:r>
        <m:r>
          <m:t>n</m:t>
        </m:r>
        <m:r>
          <m:t>a</m:t>
        </m:r>
        <m:r>
          <m:t>t</m:t>
        </m:r>
        <m:r>
          <m:t>u</m:t>
        </m:r>
        <m:r>
          <m:t>r</m:t>
        </m:r>
        <m:r>
          <m:t>e</m:t>
        </m:r>
        <m:r>
          <m:rPr>
            <m:sty m:val="p"/>
          </m:rPr>
          <m:t>)</m:t>
        </m:r>
      </m:oMath>
      <w:r>
        <w:t xml:space="preserve"> </w:t>
      </w:r>
      <w:r>
        <w:t xml:space="preserve">pairs and transmits only the tree root plus truncated leaf identifiers, achieving 80–90% bandwidth reduction. A priority-aware mechanism ensures DISTRESS messages bypass aggregation entirely.</w:t>
      </w:r>
    </w:p>
    <w:p>
      <w:pPr>
        <w:numPr>
          <w:ilvl w:val="0"/>
          <w:numId w:val="1001"/>
        </w:numPr>
      </w:pPr>
      <w:r>
        <w:rPr>
          <w:b/>
          <w:bCs/>
        </w:rPr>
        <w:t xml:space="preserve">Forward-Secure Double-Ratchet Channels.</w:t>
      </w:r>
      <w:r>
        <w:t xml:space="preserve"> </w:t>
      </w:r>
      <w:r>
        <w:t xml:space="preserve">We design a ratcheting key derivation protocol using ephemeral ML-KEM-768 key exchanges that provides forward secrecy for ATC datalinks. The protocol supports channel-specific ratchet modes (per-message, per-epoch, per-exchange) and performs immediate key erasure at epoch boundaries.</w:t>
      </w:r>
    </w:p>
    <w:p>
      <w:pPr>
        <w:pStyle w:val="FirstParagraph"/>
      </w:pPr>
      <w:r>
        <w:t xml:space="preserve">Both constructions are implemented and evaluated against real ATC channel profiles, demonstrating practical deployment feasibility on existing aviation infrastructure. To our knowledge, this is the first work to address both signature aggregation and forward secrecy for post-quantum aviation communications under realistic bandwidth constraints.</w:t>
      </w:r>
    </w:p>
    <w:p>
      <w:pPr>
        <w:pStyle w:val="BodyText"/>
      </w:pPr>
      <w:r>
        <w:t xml:space="preserve">The remainder of this paper is organized as follows. Section </w:t>
      </w:r>
      <w:hyperlink w:anchor="sec:background">
        <w:r>
          <w:rPr>
            <w:rStyle w:val="Hyperlink"/>
          </w:rPr>
          <w:t xml:space="preserve">2</w:t>
        </w:r>
      </w:hyperlink>
      <w:r>
        <w:t xml:space="preserve"> </w:t>
      </w:r>
      <w:r>
        <w:t xml:space="preserve">provides background on ATC communications and PQC. Section </w:t>
      </w:r>
      <w:hyperlink w:anchor="sec:model">
        <w:r>
          <w:rPr>
            <w:rStyle w:val="Hyperlink"/>
          </w:rPr>
          <w:t xml:space="preserve">3</w:t>
        </w:r>
      </w:hyperlink>
      <w:r>
        <w:t xml:space="preserve"> </w:t>
      </w:r>
      <w:r>
        <w:t xml:space="preserve">presents the system model and threat model. Sections </w:t>
      </w:r>
      <w:hyperlink w:anchor="sec:aggregate">
        <w:r>
          <w:rPr>
            <w:rStyle w:val="Hyperlink"/>
          </w:rPr>
          <w:t xml:space="preserve">4</w:t>
        </w:r>
      </w:hyperlink>
      <w:r>
        <w:t xml:space="preserve"> </w:t>
      </w:r>
      <w:r>
        <w:t xml:space="preserve">and </w:t>
      </w:r>
      <w:hyperlink w:anchor="sec:forward">
        <w:r>
          <w:rPr>
            <w:rStyle w:val="Hyperlink"/>
          </w:rPr>
          <w:t xml:space="preserve">5</w:t>
        </w:r>
      </w:hyperlink>
      <w:r>
        <w:t xml:space="preserve"> </w:t>
      </w:r>
      <w:r>
        <w:t xml:space="preserve">describe our two constructions. Section </w:t>
      </w:r>
      <w:hyperlink w:anchor="sec:evaluation">
        <w:r>
          <w:rPr>
            <w:rStyle w:val="Hyperlink"/>
          </w:rPr>
          <w:t xml:space="preserve">6</w:t>
        </w:r>
      </w:hyperlink>
      <w:r>
        <w:t xml:space="preserve"> </w:t>
      </w:r>
      <w:r>
        <w:t xml:space="preserve">presents performance evaluation results. Section </w:t>
      </w:r>
      <w:hyperlink w:anchor="sec:security">
        <w:r>
          <w:rPr>
            <w:rStyle w:val="Hyperlink"/>
          </w:rPr>
          <w:t xml:space="preserve">7</w:t>
        </w:r>
      </w:hyperlink>
      <w:r>
        <w:t xml:space="preserve"> </w:t>
      </w:r>
      <w:r>
        <w:t xml:space="preserve">provides security analysis. Section </w:t>
      </w:r>
      <w:hyperlink w:anchor="sec:related">
        <w:r>
          <w:rPr>
            <w:rStyle w:val="Hyperlink"/>
          </w:rPr>
          <w:t xml:space="preserve">8</w:t>
        </w:r>
      </w:hyperlink>
      <w:r>
        <w:t xml:space="preserve"> </w:t>
      </w:r>
      <w:r>
        <w:t xml:space="preserve">surveys related work, and Section </w:t>
      </w:r>
      <w:hyperlink w:anchor="sec:conclusion">
        <w:r>
          <w:rPr>
            <w:rStyle w:val="Hyperlink"/>
          </w:rPr>
          <w:t xml:space="preserve">9</w:t>
        </w:r>
      </w:hyperlink>
      <w:r>
        <w:t xml:space="preserve"> </w:t>
      </w:r>
      <w:r>
        <w:t xml:space="preserve">concludes.</w:t>
      </w:r>
    </w:p>
    <w:bookmarkEnd w:id="10"/>
    <w:bookmarkEnd w:id="11"/>
    <w:bookmarkStart w:id="17" w:name="sec:background"/>
    <w:p>
      <w:pPr>
        <w:pStyle w:val="Heading1"/>
      </w:pPr>
      <w:r>
        <w:t xml:space="preserve">Background</w:t>
      </w:r>
    </w:p>
    <w:bookmarkStart w:id="12" w:name="atc-communication-systems"/>
    <w:p>
      <w:pPr>
        <w:pStyle w:val="Heading2"/>
      </w:pPr>
      <w:r>
        <w:t xml:space="preserve">ATC Communication Systems</w:t>
      </w:r>
    </w:p>
    <w:p>
      <w:pPr>
        <w:pStyle w:val="FirstParagraph"/>
      </w:pPr>
      <w:r>
        <w:t xml:space="preserve">Modern ATC relies on a heterogeneous set of communication channels, each with distinct bandwidth characteristics, message formats, and operational constraints.</w:t>
      </w:r>
    </w:p>
    <w:p>
      <w:pPr>
        <w:pStyle w:val="BodyText"/>
      </w:pPr>
      <w:r>
        <w:rPr>
          <w:b/>
          <w:bCs/>
        </w:rPr>
        <w:t xml:space="preserve">ACARS</w:t>
      </w:r>
      <w:r>
        <w:t xml:space="preserve"> </w:t>
      </w:r>
      <w:r>
        <w:t xml:space="preserve">(Aircraft Communications Addressing and Reporting System) is the oldest and most widely deployed aviation datalink, providing text-based communication between aircraft and ground stations via VHF, HF, or satellite links. VHF ACARS operates at 2.4 kbps with message sizes limited to approximately 220 characters. Despite its age, ACARS remains critical for airline operational control (AOC) messages, including weight and balance data, departure clearances, and weather updates.</w:t>
      </w:r>
    </w:p>
    <w:p>
      <w:pPr>
        <w:pStyle w:val="BodyText"/>
      </w:pPr>
      <w:r>
        <w:rPr>
          <w:b/>
          <w:bCs/>
        </w:rPr>
        <w:t xml:space="preserve">CPDLC</w:t>
      </w:r>
      <w:r>
        <w:t xml:space="preserve"> </w:t>
      </w:r>
      <w:r>
        <w:t xml:space="preserve">(Controller-Pilot Data Link Communications) enables digital communication between air traffic controllers and pilots, reducing voice channel congestion. CPDLC messages follow the ICAO-defined ATN/IPS protocol stack </w:t>
      </w:r>
      <w:r>
        <w:t xml:space="preserve">(International Civil Aviation Organization 2015)</w:t>
      </w:r>
      <w:r>
        <w:t xml:space="preserve"> </w:t>
      </w:r>
      <w:r>
        <w:t xml:space="preserve">and carry safety-critical instructions such as altitude clearances, route modifications, and holding instructions. Message latency requirements are stringent: routine messages must be delivered within 10 seconds, while urgent messages require sub-5-second delivery.</w:t>
      </w:r>
    </w:p>
    <w:p>
      <w:pPr>
        <w:pStyle w:val="BodyText"/>
      </w:pPr>
      <w:r>
        <w:rPr>
          <w:b/>
          <w:bCs/>
        </w:rPr>
        <w:t xml:space="preserve">ADS-B</w:t>
      </w:r>
      <w:r>
        <w:t xml:space="preserve"> </w:t>
      </w:r>
      <w:r>
        <w:t xml:space="preserve">(Automatic Dependent Surveillance-Broadcast) transmits aircraft position, velocity, and identification at 1 MHz (1 Mbps) using 112-bit messages at 2 Hz intervals </w:t>
      </w:r>
      <w:r>
        <w:t xml:space="preserve">(RTCA 2016)</w:t>
      </w:r>
      <w:r>
        <w:t xml:space="preserve">. While ADS-B has higher raw bandwidth than ACARS, individual message sizes are severely limited, and the broadcast nature creates unique security challenges </w:t>
      </w:r>
      <w:r>
        <w:t xml:space="preserve">(Strohmeier et al. 2015)</w:t>
      </w:r>
      <w:r>
        <w:t xml:space="preserve">.</w:t>
      </w:r>
    </w:p>
    <w:p>
      <w:pPr>
        <w:pStyle w:val="BodyText"/>
      </w:pPr>
      <w:r>
        <w:rPr>
          <w:b/>
          <w:bCs/>
        </w:rPr>
        <w:t xml:space="preserve">ADS-C</w:t>
      </w:r>
      <w:r>
        <w:t xml:space="preserve"> </w:t>
      </w:r>
      <w:r>
        <w:t xml:space="preserve">(Automatic Dependent Surveillance-Contract) provides surveillance data over point-to-point datalinks as part of contractual agreements between aircraft and ATC centers. ADS-C operates over ACARS or ATN networks with periodic position reports at intervals from 30 seconds to 30 minutes.</w:t>
      </w:r>
    </w:p>
    <w:p>
      <w:pPr>
        <w:pStyle w:val="BodyText"/>
      </w:pPr>
      <w:r>
        <w:rPr>
          <w:b/>
          <w:bCs/>
        </w:rPr>
        <w:t xml:space="preserve">LDACS</w:t>
      </w:r>
      <w:r>
        <w:t xml:space="preserve"> </w:t>
      </w:r>
      <w:r>
        <w:t xml:space="preserve">(L-Band Digital Aeronautical Communications System) is the next-generation terrestrial datalink currently under standardization by EUROCAE </w:t>
      </w:r>
      <w:r>
        <w:t xml:space="preserve">(EUROCAE 2021, 2022)</w:t>
      </w:r>
      <w:r>
        <w:t xml:space="preserve">. LDACS provides approximately 100 kbps of capacity with built-in security mechanisms, representing a significant bandwidth improvement over legacy channels </w:t>
      </w:r>
      <w:r>
        <w:t xml:space="preserve">(Mäurer et al. 2021)</w:t>
      </w:r>
      <w:r>
        <w:t xml:space="preserve">.</w:t>
      </w:r>
    </w:p>
    <w:bookmarkEnd w:id="12"/>
    <w:bookmarkStart w:id="13" w:name="current-aviation-security-arinc-823"/>
    <w:p>
      <w:pPr>
        <w:pStyle w:val="Heading2"/>
      </w:pPr>
      <w:r>
        <w:t xml:space="preserve">Current Aviation Security: ARINC 823</w:t>
      </w:r>
    </w:p>
    <w:p>
      <w:pPr>
        <w:pStyle w:val="FirstParagraph"/>
      </w:pPr>
      <w:r>
        <w:t xml:space="preserve">The primary security specification for ACARS datalinks is ARINC 823 </w:t>
      </w:r>
      <w:r>
        <w:t xml:space="preserve">(ARINC 2007)</w:t>
      </w:r>
      <w:r>
        <w:t xml:space="preserve">, which defines the AMS (ACARS Message Security) protocol. ARINC 823 provides message authentication via HMAC-SHA-256 and optional confidentiality via AES-128-CBC, with pre-shared symmetric keys distributed through airline key management systems.</w:t>
      </w:r>
    </w:p>
    <w:p>
      <w:pPr>
        <w:pStyle w:val="BodyText"/>
      </w:pPr>
      <w:r>
        <w:t xml:space="preserve">ARINC 823 has several limitations relevant to the quantum threat:</w:t>
      </w:r>
    </w:p>
    <w:p>
      <w:pPr>
        <w:numPr>
          <w:ilvl w:val="0"/>
          <w:numId w:val="1002"/>
        </w:numPr>
      </w:pPr>
      <w:r>
        <w:t xml:space="preserve">Key establishment relies on RSA or ECDH, both vulnerable to Shor’s algorithm </w:t>
      </w:r>
      <w:r>
        <w:t xml:space="preserve">(Shor 1997)</w:t>
      </w:r>
      <w:r>
        <w:t xml:space="preserve">.</w:t>
      </w:r>
    </w:p>
    <w:p>
      <w:pPr>
        <w:numPr>
          <w:ilvl w:val="0"/>
          <w:numId w:val="1002"/>
        </w:numPr>
      </w:pPr>
      <w:r>
        <w:t xml:space="preserve">No forward secrecy: compromise of the long-term key reveals all past and future session keys derived from it.</w:t>
      </w:r>
    </w:p>
    <w:p>
      <w:pPr>
        <w:numPr>
          <w:ilvl w:val="0"/>
          <w:numId w:val="1002"/>
        </w:numPr>
      </w:pPr>
      <w:r>
        <w:t xml:space="preserve">No signature aggregation: each message carries its own authentication tag, consuming bandwidth individually.</w:t>
      </w:r>
    </w:p>
    <w:p>
      <w:pPr>
        <w:numPr>
          <w:ilvl w:val="0"/>
          <w:numId w:val="1002"/>
        </w:numPr>
      </w:pPr>
      <w:r>
        <w:t xml:space="preserve">Limited crypto-agility: transitioning to PQC requires protocol-level changes beyond simple algorithm substitution.</w:t>
      </w:r>
    </w:p>
    <w:bookmarkEnd w:id="13"/>
    <w:bookmarkStart w:id="15" w:name="post-quantum-signature-size-challenge"/>
    <w:p>
      <w:pPr>
        <w:pStyle w:val="Heading2"/>
      </w:pPr>
      <w:r>
        <w:t xml:space="preserve">Post-Quantum Signature Size Challenge</w:t>
      </w:r>
    </w:p>
    <w:p>
      <w:pPr>
        <w:pStyle w:val="FirstParagraph"/>
      </w:pPr>
      <w:r>
        <w:t xml:space="preserve">The fundamental tension between PQC and aviation bandwidth is quantitative. Table </w:t>
      </w:r>
      <w:hyperlink w:anchor="tab:pqc_sizes">
        <w:r>
          <w:rPr>
            <w:rStyle w:val="Hyperlink"/>
          </w:rPr>
          <w:t xml:space="preserve">2</w:t>
        </w:r>
      </w:hyperlink>
      <w:r>
        <w:t xml:space="preserve"> </w:t>
      </w:r>
      <w:r>
        <w:t xml:space="preserve">summarizes the signature and public key sizes for NIST-standardized PQC signature schemes at security level 2 (128-bit equivalent) and level 3 (192-bit equivalent).</w:t>
      </w:r>
    </w:p>
    <w:bookmarkStart w:id="14" w:name="tab:pqc_sizes"/>
    <w:p>
      <w:pPr>
        <w:pStyle w:val="TableCaption"/>
      </w:pPr>
      <w:r>
        <w:t xml:space="preserve">NIST PQC Signature Scheme Sizes</w:t>
      </w:r>
    </w:p>
    <w:tbl>
      <w:tblPr>
        <w:tblStyle w:val="Table"/>
        <w:tblW w:type="auto" w:w="0"/>
        <w:tblLook w:firstRow="1" w:lastRow="0" w:firstColumn="0" w:lastColumn="0" w:noHBand="0" w:noVBand="0" w:val="0020"/>
        <w:tblCaption w:val="NIST PQC Signature Scheme Sizes"/>
      </w:tblPr>
      <w:tblGrid>
        <w:gridCol w:w="1980"/>
        <w:gridCol w:w="1980"/>
        <w:gridCol w:w="1980"/>
        <w:gridCol w:w="1980"/>
      </w:tblGrid>
      <w:tr>
        <w:trPr>
          <w:tblHeader w:val="on"/>
        </w:trPr>
        <w:tc>
          <w:tcPr/>
          <w:p>
            <w:pPr>
              <w:pStyle w:val="Compact"/>
              <w:jc w:val="left"/>
            </w:pPr>
            <w:r>
              <w:rPr>
                <w:b/>
                <w:bCs/>
              </w:rPr>
              <w:t xml:space="preserve">Scheme</w:t>
            </w:r>
          </w:p>
        </w:tc>
        <w:tc>
          <w:tcPr/>
          <w:p>
            <w:pPr>
              <w:pStyle w:val="Compact"/>
              <w:jc w:val="center"/>
            </w:pPr>
            <w:r>
              <w:rPr>
                <w:b/>
                <w:bCs/>
              </w:rPr>
              <w:t xml:space="preserve">PK (B)</w:t>
            </w:r>
          </w:p>
        </w:tc>
        <w:tc>
          <w:tcPr/>
          <w:p>
            <w:pPr>
              <w:pStyle w:val="Compact"/>
              <w:jc w:val="center"/>
            </w:pPr>
            <w:r>
              <w:rPr>
                <w:b/>
                <w:bCs/>
              </w:rPr>
              <w:t xml:space="preserve">Sig (B)</w:t>
            </w:r>
          </w:p>
        </w:tc>
        <w:tc>
          <w:tcPr/>
          <w:p>
            <w:pPr>
              <w:pStyle w:val="Compact"/>
              <w:jc w:val="center"/>
            </w:pPr>
            <w:r>
              <w:rPr>
                <w:b/>
                <w:bCs/>
              </w:rPr>
              <w:t xml:space="preserve">Level</w:t>
            </w:r>
          </w:p>
        </w:tc>
      </w:tr>
      <w:tr>
        <w:tc>
          <w:tcPr/>
          <w:p>
            <w:pPr>
              <w:pStyle w:val="Compact"/>
              <w:jc w:val="left"/>
            </w:pPr>
            <w:r>
              <w:t xml:space="preserve">ML-DSA-44</w:t>
            </w:r>
          </w:p>
        </w:tc>
        <w:tc>
          <w:tcPr/>
          <w:p>
            <w:pPr>
              <w:pStyle w:val="Compact"/>
              <w:jc w:val="center"/>
            </w:pPr>
            <w:r>
              <w:t xml:space="preserve">1,312</w:t>
            </w:r>
          </w:p>
        </w:tc>
        <w:tc>
          <w:tcPr/>
          <w:p>
            <w:pPr>
              <w:pStyle w:val="Compact"/>
              <w:jc w:val="center"/>
            </w:pPr>
            <w:r>
              <w:t xml:space="preserve">2,420</w:t>
            </w:r>
          </w:p>
        </w:tc>
        <w:tc>
          <w:tcPr/>
          <w:p>
            <w:pPr>
              <w:pStyle w:val="Compact"/>
              <w:jc w:val="center"/>
            </w:pPr>
            <w:r>
              <w:t xml:space="preserve">2</w:t>
            </w:r>
          </w:p>
        </w:tc>
      </w:tr>
      <w:tr>
        <w:tc>
          <w:tcPr/>
          <w:p>
            <w:pPr>
              <w:pStyle w:val="Compact"/>
              <w:jc w:val="left"/>
            </w:pPr>
            <w:r>
              <w:t xml:space="preserve">ML-DSA-65</w:t>
            </w:r>
          </w:p>
        </w:tc>
        <w:tc>
          <w:tcPr/>
          <w:p>
            <w:pPr>
              <w:pStyle w:val="Compact"/>
              <w:jc w:val="center"/>
            </w:pPr>
            <w:r>
              <w:t xml:space="preserve">1,952</w:t>
            </w:r>
          </w:p>
        </w:tc>
        <w:tc>
          <w:tcPr/>
          <w:p>
            <w:pPr>
              <w:pStyle w:val="Compact"/>
              <w:jc w:val="center"/>
            </w:pPr>
            <w:r>
              <w:t xml:space="preserve">3,309</w:t>
            </w:r>
          </w:p>
        </w:tc>
        <w:tc>
          <w:tcPr/>
          <w:p>
            <w:pPr>
              <w:pStyle w:val="Compact"/>
              <w:jc w:val="center"/>
            </w:pPr>
            <w:r>
              <w:t xml:space="preserve">3</w:t>
            </w:r>
          </w:p>
        </w:tc>
      </w:tr>
      <w:tr>
        <w:tc>
          <w:tcPr/>
          <w:p>
            <w:pPr>
              <w:pStyle w:val="Compact"/>
              <w:jc w:val="left"/>
            </w:pPr>
            <w:r>
              <w:t xml:space="preserve">ML-DSA-87</w:t>
            </w:r>
          </w:p>
        </w:tc>
        <w:tc>
          <w:tcPr/>
          <w:p>
            <w:pPr>
              <w:pStyle w:val="Compact"/>
              <w:jc w:val="center"/>
            </w:pPr>
            <w:r>
              <w:t xml:space="preserve">2,592</w:t>
            </w:r>
          </w:p>
        </w:tc>
        <w:tc>
          <w:tcPr/>
          <w:p>
            <w:pPr>
              <w:pStyle w:val="Compact"/>
              <w:jc w:val="center"/>
            </w:pPr>
            <w:r>
              <w:t xml:space="preserve">4,627</w:t>
            </w:r>
          </w:p>
        </w:tc>
        <w:tc>
          <w:tcPr/>
          <w:p>
            <w:pPr>
              <w:pStyle w:val="Compact"/>
              <w:jc w:val="center"/>
            </w:pPr>
            <w:r>
              <w:t xml:space="preserve">5</w:t>
            </w:r>
          </w:p>
        </w:tc>
      </w:tr>
      <w:tr>
        <w:tc>
          <w:tcPr/>
          <w:p>
            <w:pPr>
              <w:pStyle w:val="Compact"/>
              <w:jc w:val="left"/>
            </w:pPr>
            <w:r>
              <w:t xml:space="preserve">Falcon-512</w:t>
            </w:r>
          </w:p>
        </w:tc>
        <w:tc>
          <w:tcPr/>
          <w:p>
            <w:pPr>
              <w:pStyle w:val="Compact"/>
              <w:jc w:val="center"/>
            </w:pPr>
            <w:r>
              <w:t xml:space="preserve">897</w:t>
            </w:r>
          </w:p>
        </w:tc>
        <w:tc>
          <w:tcPr/>
          <w:p>
            <w:pPr>
              <w:pStyle w:val="Compact"/>
              <w:jc w:val="center"/>
            </w:pPr>
            <w:r>
              <w:t xml:space="preserve">666</w:t>
            </w:r>
          </w:p>
        </w:tc>
        <w:tc>
          <w:tcPr/>
          <w:p>
            <w:pPr>
              <w:pStyle w:val="Compact"/>
              <w:jc w:val="center"/>
            </w:pPr>
            <w:r>
              <w:t xml:space="preserve">1</w:t>
            </w:r>
          </w:p>
        </w:tc>
      </w:tr>
      <w:tr>
        <w:tc>
          <w:tcPr/>
          <w:p>
            <w:pPr>
              <w:pStyle w:val="Compact"/>
              <w:jc w:val="left"/>
            </w:pPr>
            <w:r>
              <w:t xml:space="preserve">Falcon-1024</w:t>
            </w:r>
          </w:p>
        </w:tc>
        <w:tc>
          <w:tcPr/>
          <w:p>
            <w:pPr>
              <w:pStyle w:val="Compact"/>
              <w:jc w:val="center"/>
            </w:pPr>
            <w:r>
              <w:t xml:space="preserve">1,793</w:t>
            </w:r>
          </w:p>
        </w:tc>
        <w:tc>
          <w:tcPr/>
          <w:p>
            <w:pPr>
              <w:pStyle w:val="Compact"/>
              <w:jc w:val="center"/>
            </w:pPr>
            <w:r>
              <w:t xml:space="preserve">1,280</w:t>
            </w:r>
          </w:p>
        </w:tc>
        <w:tc>
          <w:tcPr/>
          <w:p>
            <w:pPr>
              <w:pStyle w:val="Compact"/>
              <w:jc w:val="center"/>
            </w:pPr>
            <w:r>
              <w:t xml:space="preserve">5</w:t>
            </w:r>
          </w:p>
        </w:tc>
      </w:tr>
      <w:tr>
        <w:tc>
          <w:tcPr/>
          <w:p>
            <w:pPr>
              <w:pStyle w:val="Compact"/>
              <w:jc w:val="left"/>
            </w:pPr>
            <w:r>
              <w:t xml:space="preserve">SLH-DSA-128s</w:t>
            </w:r>
          </w:p>
        </w:tc>
        <w:tc>
          <w:tcPr/>
          <w:p>
            <w:pPr>
              <w:pStyle w:val="Compact"/>
              <w:jc w:val="center"/>
            </w:pPr>
            <w:r>
              <w:t xml:space="preserve">32</w:t>
            </w:r>
          </w:p>
        </w:tc>
        <w:tc>
          <w:tcPr/>
          <w:p>
            <w:pPr>
              <w:pStyle w:val="Compact"/>
              <w:jc w:val="center"/>
            </w:pPr>
            <w:r>
              <w:t xml:space="preserve">7,856</w:t>
            </w:r>
          </w:p>
        </w:tc>
        <w:tc>
          <w:tcPr/>
          <w:p>
            <w:pPr>
              <w:pStyle w:val="Compact"/>
              <w:jc w:val="center"/>
            </w:pPr>
            <w:r>
              <w:t xml:space="preserve">1</w:t>
            </w:r>
          </w:p>
        </w:tc>
      </w:tr>
      <w:tr>
        <w:tc>
          <w:tcPr/>
          <w:p>
            <w:pPr>
              <w:pStyle w:val="Compact"/>
              <w:jc w:val="left"/>
            </w:pPr>
            <w:r>
              <w:t xml:space="preserve">SLH-DSA-128f</w:t>
            </w:r>
          </w:p>
        </w:tc>
        <w:tc>
          <w:tcPr/>
          <w:p>
            <w:pPr>
              <w:pStyle w:val="Compact"/>
              <w:jc w:val="center"/>
            </w:pPr>
            <w:r>
              <w:t xml:space="preserve">32</w:t>
            </w:r>
          </w:p>
        </w:tc>
        <w:tc>
          <w:tcPr/>
          <w:p>
            <w:pPr>
              <w:pStyle w:val="Compact"/>
              <w:jc w:val="center"/>
            </w:pPr>
            <w:r>
              <w:t xml:space="preserve">17,088</w:t>
            </w:r>
          </w:p>
        </w:tc>
        <w:tc>
          <w:tcPr/>
          <w:p>
            <w:pPr>
              <w:pStyle w:val="Compact"/>
              <w:jc w:val="center"/>
            </w:pPr>
            <w:r>
              <w:t xml:space="preserve">1</w:t>
            </w:r>
          </w:p>
        </w:tc>
      </w:tr>
    </w:tbl>
    <w:bookmarkEnd w:id="14"/>
    <w:p>
      <w:pPr>
        <w:pStyle w:val="BodyText"/>
      </w:pPr>
      <w:r>
        <w:t xml:space="preserve">Even the most compact PQC signature scheme (Falcon-512 at 666 bytes) produces signatures over 10</w:t>
      </w:r>
      <m:oMath>
        <m:r>
          <m:rPr>
            <m:sty m:val="p"/>
          </m:rPr>
          <m:t>×</m:t>
        </m:r>
      </m:oMath>
      <w:r>
        <w:t xml:space="preserve"> </w:t>
      </w:r>
      <w:r>
        <w:t xml:space="preserve">larger than ECDSA-256 (64 bytes). For an ATC ground station receiving position reports from 50 aircraft simultaneously, the aggregate authentication overhead using individual ML-DSA-65 signatures would be approximately 165 KB—requiring over 9 minutes to transmit on a VHF ACARS channel. This motivates our aggregate signature construction.</w:t>
      </w:r>
    </w:p>
    <w:bookmarkEnd w:id="15"/>
    <w:bookmarkStart w:id="16" w:name="forward-secrecy-in-aviation-context"/>
    <w:p>
      <w:pPr>
        <w:pStyle w:val="Heading2"/>
      </w:pPr>
      <w:r>
        <w:t xml:space="preserve">Forward Secrecy in Aviation Context</w:t>
      </w:r>
    </w:p>
    <w:p>
      <w:pPr>
        <w:pStyle w:val="FirstParagraph"/>
      </w:pPr>
      <w:r>
        <w:t xml:space="preserve">Forward secrecy ensures that compromise of long-term keying material does not enable decryption of previously recorded sessions. In the aviation context, forward secrecy is critical for several reasons:</w:t>
      </w:r>
    </w:p>
    <w:p>
      <w:pPr>
        <w:numPr>
          <w:ilvl w:val="0"/>
          <w:numId w:val="1003"/>
        </w:numPr>
      </w:pPr>
      <w:r>
        <w:t xml:space="preserve">ATC communications may be recorded and stored for years for accident investigation.</w:t>
      </w:r>
    </w:p>
    <w:p>
      <w:pPr>
        <w:numPr>
          <w:ilvl w:val="0"/>
          <w:numId w:val="1003"/>
        </w:numPr>
      </w:pPr>
      <w:r>
        <w:t xml:space="preserve">Ground station infrastructure may be compromised without immediate detection.</w:t>
      </w:r>
    </w:p>
    <w:p>
      <w:pPr>
        <w:numPr>
          <w:ilvl w:val="0"/>
          <w:numId w:val="1003"/>
        </w:numPr>
      </w:pPr>
      <w:r>
        <w:t xml:space="preserve">The HNDL threat model implies that encrypted traffic recorded today could be decrypted by a future CRQC.</w:t>
      </w:r>
    </w:p>
    <w:p>
      <w:pPr>
        <w:numPr>
          <w:ilvl w:val="0"/>
          <w:numId w:val="1003"/>
        </w:numPr>
      </w:pPr>
      <w:r>
        <w:t xml:space="preserve">Military and government aviation communications have classification lifetimes exceeding 25 years.</w:t>
      </w:r>
    </w:p>
    <w:p>
      <w:pPr>
        <w:pStyle w:val="FirstParagraph"/>
      </w:pPr>
      <w:r>
        <w:t xml:space="preserve">The Signal protocol’s double ratchet </w:t>
      </w:r>
      <w:r>
        <w:t xml:space="preserve">(Cohn-Gordon et al. 2020; Alwen et al. 2019)</w:t>
      </w:r>
      <w:r>
        <w:t xml:space="preserve"> </w:t>
      </w:r>
      <w:r>
        <w:t xml:space="preserve">provides a well-analyzed model for achieving forward secrecy through continuous key evolution. Adapting this model to post-quantum aviation channels requires addressing the bandwidth cost of periodic ML-KEM key exchanges and the operational constraints of ATC communication patterns.</w:t>
      </w:r>
    </w:p>
    <w:bookmarkEnd w:id="16"/>
    <w:bookmarkEnd w:id="17"/>
    <w:bookmarkStart w:id="22" w:name="sec:model"/>
    <w:p>
      <w:pPr>
        <w:pStyle w:val="Heading1"/>
      </w:pPr>
      <w:r>
        <w:t xml:space="preserve">System Model and Threat Model</w:t>
      </w:r>
    </w:p>
    <w:bookmarkStart w:id="19" w:name="atc-communication-architecture"/>
    <w:p>
      <w:pPr>
        <w:pStyle w:val="Heading2"/>
      </w:pPr>
      <w:r>
        <w:t xml:space="preserve">ATC Communication Architecture</w:t>
      </w:r>
    </w:p>
    <w:p>
      <w:pPr>
        <w:pStyle w:val="FirstParagraph"/>
      </w:pPr>
      <w:r>
        <w:t xml:space="preserve">We model the ATC communication environment as a set of</w:t>
      </w:r>
      <w:r>
        <w:t xml:space="preserve"> </w:t>
      </w:r>
      <m:oMath>
        <m:r>
          <m:t>n</m:t>
        </m:r>
      </m:oMath>
      <w:r>
        <w:t xml:space="preserve"> </w:t>
      </w:r>
      <w:r>
        <w:t xml:space="preserve">aircraft</w:t>
      </w:r>
      <w:r>
        <w:t xml:space="preserve"> </w:t>
      </w:r>
      <m:oMath>
        <m:r>
          <m:rPr>
            <m:scr m:val="script"/>
            <m:sty m:val="p"/>
          </m:rP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 </w:t>
      </w:r>
      <w:r>
        <w:t xml:space="preserve">communicating with a set of</w:t>
      </w:r>
      <w:r>
        <w:t xml:space="preserve"> </w:t>
      </w:r>
      <m:oMath>
        <m:r>
          <m:t>m</m:t>
        </m:r>
      </m:oMath>
      <w:r>
        <w:t xml:space="preserve"> </w:t>
      </w:r>
      <w:r>
        <w:t xml:space="preserve">ground stations</w:t>
      </w:r>
      <w:r>
        <w:t xml:space="preserve"> </w:t>
      </w:r>
      <m:oMath>
        <m:r>
          <m:rPr>
            <m:scr m:val="script"/>
            <m:sty m:val="p"/>
          </m:rPr>
          <m:t>G</m:t>
        </m:r>
        <m:r>
          <m:rPr>
            <m:sty m:val="p"/>
          </m:rPr>
          <m:t>=</m:t>
        </m:r>
        <m:r>
          <m:rPr>
            <m:sty m:val="p"/>
          </m:rPr>
          <m:t>{</m:t>
        </m:r>
        <m:sSub>
          <m:e>
            <m:r>
              <m:t>G</m:t>
            </m:r>
          </m:e>
          <m:sub>
            <m:r>
              <m:t>1</m:t>
            </m:r>
          </m:sub>
        </m:sSub>
        <m:r>
          <m:rPr>
            <m:sty m:val="p"/>
          </m:rPr>
          <m:t>,</m:t>
        </m:r>
        <m:r>
          <m:rPr>
            <m:sty m:val="p"/>
          </m:rPr>
          <m:t>…</m:t>
        </m:r>
        <m:r>
          <m:rPr>
            <m:sty m:val="p"/>
          </m:rPr>
          <m:t>,</m:t>
        </m:r>
        <m:sSub>
          <m:e>
            <m:r>
              <m:t>G</m:t>
            </m:r>
          </m:e>
          <m:sub>
            <m:r>
              <m:t>m</m:t>
            </m:r>
          </m:sub>
        </m:sSub>
        <m:r>
          <m:rPr>
            <m:sty m:val="p"/>
          </m:rPr>
          <m:t>}</m:t>
        </m:r>
      </m:oMath>
      <w:r>
        <w:t xml:space="preserve"> </w:t>
      </w:r>
      <w:r>
        <w:t xml:space="preserve">over a heterogeneous set of datalink channels</w:t>
      </w:r>
      <w:r>
        <w:t xml:space="preserve"> </w:t>
      </w:r>
      <m:oMath>
        <m:r>
          <m:rPr>
            <m:scr m:val="script"/>
            <m:sty m:val="p"/>
          </m:rPr>
          <m:t>C</m:t>
        </m:r>
        <m:r>
          <m:rPr>
            <m:sty m:val="p"/>
          </m:rPr>
          <m:t>=</m:t>
        </m:r>
        <m:r>
          <m:rPr>
            <m:sty m:val="p"/>
          </m:rPr>
          <m:t>{</m:t>
        </m:r>
        <m:sSub>
          <m:e>
            <m:r>
              <m:t>c</m:t>
            </m:r>
          </m:e>
          <m:sub>
            <m:r>
              <m:t>1</m:t>
            </m:r>
          </m:sub>
        </m:sSub>
        <m:r>
          <m:rPr>
            <m:sty m:val="p"/>
          </m:rPr>
          <m:t>,</m:t>
        </m:r>
        <m:r>
          <m:rPr>
            <m:sty m:val="p"/>
          </m:rPr>
          <m:t>…</m:t>
        </m:r>
        <m:r>
          <m:rPr>
            <m:sty m:val="p"/>
          </m:rPr>
          <m:t>,</m:t>
        </m:r>
        <m:sSub>
          <m:e>
            <m:r>
              <m:t>c</m:t>
            </m:r>
          </m:e>
          <m:sub>
            <m:r>
              <m:t>k</m:t>
            </m:r>
          </m:sub>
        </m:sSub>
        <m:r>
          <m:rPr>
            <m:sty m:val="p"/>
          </m:rPr>
          <m:t>}</m:t>
        </m:r>
      </m:oMath>
      <w:r>
        <w:t xml:space="preserve">. Each channel</w:t>
      </w:r>
      <w:r>
        <w:t xml:space="preserve"> </w:t>
      </w:r>
      <m:oMath>
        <m:sSub>
          <m:e>
            <m:r>
              <m:t>c</m:t>
            </m:r>
          </m:e>
          <m:sub>
            <m:r>
              <m:t>j</m:t>
            </m:r>
          </m:sub>
        </m:sSub>
        <m:r>
          <m:rPr>
            <m:sty m:val="p"/>
          </m:rPr>
          <m:t>∈</m:t>
        </m:r>
        <m:r>
          <m:rPr>
            <m:scr m:val="script"/>
            <m:sty m:val="p"/>
          </m:rPr>
          <m:t>C</m:t>
        </m:r>
      </m:oMath>
      <w:r>
        <w:t xml:space="preserve"> </w:t>
      </w:r>
      <w:r>
        <w:t xml:space="preserve">is characterized by a tuple:</w:t>
      </w:r>
    </w:p>
    <w:p>
      <w:pPr>
        <w:pStyle w:val="BodyText"/>
      </w:pPr>
      <m:oMathPara>
        <m:oMathParaPr>
          <m:jc m:val="center"/>
        </m:oMathParaPr>
        <m:oMath>
          <m:sSub>
            <m:e>
              <m:r>
                <m:t>c</m:t>
              </m:r>
            </m:e>
            <m:sub>
              <m:r>
                <m:t>j</m:t>
              </m:r>
            </m:sub>
          </m:sSub>
          <m:r>
            <m:rPr>
              <m:sty m:val="p"/>
            </m:rPr>
            <m:t>=</m:t>
          </m:r>
          <m:r>
            <m:rPr>
              <m:sty m:val="p"/>
            </m:rPr>
            <m:t>(</m:t>
          </m:r>
          <m:sSub>
            <m:e>
              <m:r>
                <m:t>B</m:t>
              </m:r>
            </m:e>
            <m:sub>
              <m:r>
                <m:t>j</m:t>
              </m:r>
            </m:sub>
          </m:sSub>
          <m:r>
            <m:rPr>
              <m:sty m:val="p"/>
            </m:rPr>
            <m:t>,</m:t>
          </m:r>
          <m:sSub>
            <m:e>
              <m:r>
                <m:t>L</m:t>
              </m:r>
            </m:e>
            <m:sub>
              <m:r>
                <m:t>j</m:t>
              </m:r>
            </m:sub>
          </m:sSub>
          <m:r>
            <m:rPr>
              <m:sty m:val="p"/>
            </m:rPr>
            <m:t>,</m:t>
          </m:r>
          <m:sSub>
            <m:e>
              <m:r>
                <m:t>M</m:t>
              </m:r>
            </m:e>
            <m:sub>
              <m:r>
                <m:t>j</m:t>
              </m:r>
            </m:sub>
          </m:sSub>
          <m:r>
            <m:rPr>
              <m:sty m:val="p"/>
            </m:rPr>
            <m:t>,</m:t>
          </m:r>
          <m:sSub>
            <m:e>
              <m:r>
                <m:t>P</m:t>
              </m:r>
            </m:e>
            <m:sub>
              <m:r>
                <m:t>j</m:t>
              </m:r>
            </m:sub>
          </m:sSub>
          <m:r>
            <m:rPr>
              <m:sty m:val="p"/>
            </m:rPr>
            <m:t>)</m:t>
          </m:r>
        </m:oMath>
      </m:oMathPara>
    </w:p>
    <w:p>
      <w:pPr>
        <w:pStyle w:val="FirstParagraph"/>
      </w:pPr>
      <w:r>
        <w:t xml:space="preserve">where</w:t>
      </w:r>
      <w:r>
        <w:t xml:space="preserve"> </w:t>
      </w:r>
      <m:oMath>
        <m:sSub>
          <m:e>
            <m:r>
              <m:t>B</m:t>
            </m:r>
          </m:e>
          <m:sub>
            <m:r>
              <m:t>j</m:t>
            </m:r>
          </m:sub>
        </m:sSub>
      </m:oMath>
      <w:r>
        <w:t xml:space="preserve"> </w:t>
      </w:r>
      <w:r>
        <w:t xml:space="preserve">is the channel bandwidth (bps),</w:t>
      </w:r>
      <w:r>
        <w:t xml:space="preserve"> </w:t>
      </w:r>
      <m:oMath>
        <m:sSub>
          <m:e>
            <m:r>
              <m:t>L</m:t>
            </m:r>
          </m:e>
          <m:sub>
            <m:r>
              <m:t>j</m:t>
            </m:r>
          </m:sub>
        </m:sSub>
      </m:oMath>
      <w:r>
        <w:t xml:space="preserve"> </w:t>
      </w:r>
      <w:r>
        <w:t xml:space="preserve">is the one-way propagation latency (ms),</w:t>
      </w:r>
      <w:r>
        <w:t xml:space="preserve"> </w:t>
      </w:r>
      <m:oMath>
        <m:sSub>
          <m:e>
            <m:r>
              <m:t>M</m:t>
            </m:r>
          </m:e>
          <m:sub>
            <m:r>
              <m:t>j</m:t>
            </m:r>
          </m:sub>
        </m:sSub>
      </m:oMath>
      <w:r>
        <w:t xml:space="preserve"> </w:t>
      </w:r>
      <w:r>
        <w:t xml:space="preserve">is the maximum message size (bytes), and</w:t>
      </w:r>
      <w:r>
        <w:t xml:space="preserve"> </w:t>
      </w:r>
      <m:oMath>
        <m:sSub>
          <m:e>
            <m:r>
              <m:t>P</m:t>
            </m:r>
          </m:e>
          <m:sub>
            <m:r>
              <m:t>j</m:t>
            </m:r>
          </m:sub>
        </m:sSub>
      </m:oMath>
      <w:r>
        <w:t xml:space="preserve"> </w:t>
      </w:r>
      <w:r>
        <w:t xml:space="preserve">is the protocol overhead (bytes per message).</w:t>
      </w:r>
    </w:p>
    <w:p>
      <w:pPr>
        <w:pStyle w:val="BodyText"/>
      </w:pPr>
      <w:r>
        <w:t xml:space="preserve">Table </w:t>
      </w:r>
      <w:hyperlink w:anchor="tab:channel_profiles">
        <w:r>
          <w:rPr>
            <w:rStyle w:val="Hyperlink"/>
          </w:rPr>
          <w:t xml:space="preserve">3</w:t>
        </w:r>
      </w:hyperlink>
      <w:r>
        <w:t xml:space="preserve"> </w:t>
      </w:r>
      <w:r>
        <w:t xml:space="preserve">summarizes the channel profiles used in our analysis.</w:t>
      </w:r>
    </w:p>
    <w:bookmarkStart w:id="18" w:name="tab:channel_profiles"/>
    <w:p>
      <w:pPr>
        <w:pStyle w:val="TableCaption"/>
      </w:pPr>
      <w:r>
        <w:t xml:space="preserve">ATC Channel Profiles</w:t>
      </w:r>
    </w:p>
    <w:tbl>
      <w:tblPr>
        <w:tblStyle w:val="Table"/>
        <w:tblW w:type="auto" w:w="0"/>
        <w:tblLook w:firstRow="1" w:lastRow="0" w:firstColumn="0" w:lastColumn="0" w:noHBand="0" w:noVBand="0" w:val="0020"/>
        <w:tblCaption w:val="ATC Channel Profiles"/>
      </w:tblPr>
      <w:tblGrid>
        <w:gridCol w:w="1584"/>
        <w:gridCol w:w="1584"/>
        <w:gridCol w:w="1584"/>
        <w:gridCol w:w="1584"/>
        <w:gridCol w:w="1584"/>
      </w:tblGrid>
      <w:tr>
        <w:trPr>
          <w:tblHeader w:val="on"/>
        </w:trPr>
        <w:tc>
          <w:tcPr/>
          <w:p>
            <w:pPr>
              <w:pStyle w:val="Compact"/>
              <w:jc w:val="left"/>
            </w:pPr>
            <w:r>
              <w:rPr>
                <w:b/>
                <w:bCs/>
              </w:rPr>
              <w:t xml:space="preserve">Channel</w:t>
            </w:r>
          </w:p>
        </w:tc>
        <w:tc>
          <w:tcPr/>
          <w:p>
            <w:pPr>
              <w:pStyle w:val="Compact"/>
              <w:jc w:val="center"/>
            </w:pPr>
            <m:oMath>
              <m:r>
                <m:t>B</m:t>
              </m:r>
            </m:oMath>
            <w:r>
              <w:t xml:space="preserve"> </w:t>
            </w:r>
            <w:r>
              <w:rPr>
                <w:b/>
                <w:bCs/>
              </w:rPr>
              <w:t xml:space="preserve">(kbps)</w:t>
            </w:r>
          </w:p>
        </w:tc>
        <w:tc>
          <w:tcPr/>
          <w:p>
            <w:pPr>
              <w:pStyle w:val="Compact"/>
              <w:jc w:val="center"/>
            </w:pPr>
            <m:oMath>
              <m:r>
                <m:t>L</m:t>
              </m:r>
            </m:oMath>
            <w:r>
              <w:t xml:space="preserve"> </w:t>
            </w:r>
            <w:r>
              <w:rPr>
                <w:b/>
                <w:bCs/>
              </w:rPr>
              <w:t xml:space="preserve">(ms)</w:t>
            </w:r>
          </w:p>
        </w:tc>
        <w:tc>
          <w:tcPr/>
          <w:p>
            <w:pPr>
              <w:pStyle w:val="Compact"/>
              <w:jc w:val="center"/>
            </w:pPr>
            <m:oMath>
              <m:r>
                <m:t>M</m:t>
              </m:r>
            </m:oMath>
            <w:r>
              <w:t xml:space="preserve"> </w:t>
            </w:r>
            <w:r>
              <w:rPr>
                <w:b/>
                <w:bCs/>
              </w:rPr>
              <w:t xml:space="preserve">(B)</w:t>
            </w:r>
          </w:p>
        </w:tc>
        <w:tc>
          <w:tcPr/>
          <w:p>
            <w:pPr>
              <w:pStyle w:val="Compact"/>
              <w:jc w:val="center"/>
            </w:pPr>
            <w:r>
              <w:rPr>
                <w:b/>
                <w:bCs/>
              </w:rPr>
              <w:t xml:space="preserve">Target Red.</w:t>
            </w:r>
          </w:p>
        </w:tc>
      </w:tr>
      <w:tr>
        <w:tc>
          <w:tcPr/>
          <w:p>
            <w:pPr>
              <w:pStyle w:val="Compact"/>
              <w:jc w:val="left"/>
            </w:pPr>
            <w:r>
              <w:t xml:space="preserve">VHF ACARS</w:t>
            </w:r>
          </w:p>
        </w:tc>
        <w:tc>
          <w:tcPr/>
          <w:p>
            <w:pPr>
              <w:pStyle w:val="Compact"/>
              <w:jc w:val="center"/>
            </w:pPr>
            <w:r>
              <w:t xml:space="preserve">2.4</w:t>
            </w:r>
          </w:p>
        </w:tc>
        <w:tc>
          <w:tcPr/>
          <w:p>
            <w:pPr>
              <w:pStyle w:val="Compact"/>
              <w:jc w:val="center"/>
            </w:pPr>
            <w:r>
              <w:t xml:space="preserve">50</w:t>
            </w:r>
          </w:p>
        </w:tc>
        <w:tc>
          <w:tcPr/>
          <w:p>
            <w:pPr>
              <w:pStyle w:val="Compact"/>
              <w:jc w:val="center"/>
            </w:pPr>
            <w:r>
              <w:t xml:space="preserve">220</w:t>
            </w:r>
          </w:p>
        </w:tc>
        <w:tc>
          <w:tcPr/>
          <w:p>
            <w:pPr>
              <w:pStyle w:val="Compact"/>
              <w:jc w:val="center"/>
            </w:pPr>
            <w:r>
              <w:t xml:space="preserve">80%</w:t>
            </w:r>
          </w:p>
        </w:tc>
      </w:tr>
      <w:tr>
        <w:tc>
          <w:tcPr/>
          <w:p>
            <w:pPr>
              <w:pStyle w:val="Compact"/>
              <w:jc w:val="left"/>
            </w:pPr>
            <w:r>
              <w:t xml:space="preserve">HF Datalink</w:t>
            </w:r>
          </w:p>
        </w:tc>
        <w:tc>
          <w:tcPr/>
          <w:p>
            <w:pPr>
              <w:pStyle w:val="Compact"/>
              <w:jc w:val="center"/>
            </w:pPr>
            <w:r>
              <w:t xml:space="preserve">1.8</w:t>
            </w:r>
          </w:p>
        </w:tc>
        <w:tc>
          <w:tcPr/>
          <w:p>
            <w:pPr>
              <w:pStyle w:val="Compact"/>
              <w:jc w:val="center"/>
            </w:pPr>
            <w:r>
              <w:t xml:space="preserve">200</w:t>
            </w:r>
          </w:p>
        </w:tc>
        <w:tc>
          <w:tcPr/>
          <w:p>
            <w:pPr>
              <w:pStyle w:val="Compact"/>
              <w:jc w:val="center"/>
            </w:pPr>
            <w:r>
              <w:t xml:space="preserve">180</w:t>
            </w:r>
          </w:p>
        </w:tc>
        <w:tc>
          <w:tcPr/>
          <w:p>
            <w:pPr>
              <w:pStyle w:val="Compact"/>
              <w:jc w:val="center"/>
            </w:pPr>
            <w:r>
              <w:t xml:space="preserve">85%</w:t>
            </w:r>
          </w:p>
        </w:tc>
      </w:tr>
      <w:tr>
        <w:tc>
          <w:tcPr/>
          <w:p>
            <w:pPr>
              <w:pStyle w:val="Compact"/>
              <w:jc w:val="left"/>
            </w:pPr>
            <w:r>
              <w:t xml:space="preserve">SATCOM Classic</w:t>
            </w:r>
          </w:p>
        </w:tc>
        <w:tc>
          <w:tcPr/>
          <w:p>
            <w:pPr>
              <w:pStyle w:val="Compact"/>
              <w:jc w:val="center"/>
            </w:pPr>
            <w:r>
              <w:t xml:space="preserve">0.6</w:t>
            </w:r>
          </w:p>
        </w:tc>
        <w:tc>
          <w:tcPr/>
          <w:p>
            <w:pPr>
              <w:pStyle w:val="Compact"/>
              <w:jc w:val="center"/>
            </w:pPr>
            <w:r>
              <w:t xml:space="preserve">540</w:t>
            </w:r>
          </w:p>
        </w:tc>
        <w:tc>
          <w:tcPr/>
          <w:p>
            <w:pPr>
              <w:pStyle w:val="Compact"/>
              <w:jc w:val="center"/>
            </w:pPr>
            <w:r>
              <w:t xml:space="preserve">256</w:t>
            </w:r>
          </w:p>
        </w:tc>
        <w:tc>
          <w:tcPr/>
          <w:p>
            <w:pPr>
              <w:pStyle w:val="Compact"/>
              <w:jc w:val="center"/>
            </w:pPr>
            <w:r>
              <w:t xml:space="preserve">90%</w:t>
            </w:r>
          </w:p>
        </w:tc>
      </w:tr>
      <w:tr>
        <w:tc>
          <w:tcPr/>
          <w:p>
            <w:pPr>
              <w:pStyle w:val="Compact"/>
              <w:jc w:val="left"/>
            </w:pPr>
            <w:r>
              <w:t xml:space="preserve">LDACS</w:t>
            </w:r>
          </w:p>
        </w:tc>
        <w:tc>
          <w:tcPr/>
          <w:p>
            <w:pPr>
              <w:pStyle w:val="Compact"/>
              <w:jc w:val="center"/>
            </w:pPr>
            <w:r>
              <w:t xml:space="preserve">100</w:t>
            </w:r>
          </w:p>
        </w:tc>
        <w:tc>
          <w:tcPr/>
          <w:p>
            <w:pPr>
              <w:pStyle w:val="Compact"/>
              <w:jc w:val="center"/>
            </w:pPr>
            <w:r>
              <w:t xml:space="preserve">20</w:t>
            </w:r>
          </w:p>
        </w:tc>
        <w:tc>
          <w:tcPr/>
          <w:p>
            <w:pPr>
              <w:pStyle w:val="Compact"/>
              <w:jc w:val="center"/>
            </w:pPr>
            <w:r>
              <w:t xml:space="preserve">2048</w:t>
            </w:r>
          </w:p>
        </w:tc>
        <w:tc>
          <w:tcPr/>
          <w:p>
            <w:pPr>
              <w:pStyle w:val="Compact"/>
              <w:jc w:val="center"/>
            </w:pPr>
            <w:r>
              <w:t xml:space="preserve">50%</w:t>
            </w:r>
          </w:p>
        </w:tc>
      </w:tr>
      <w:tr>
        <w:tc>
          <w:tcPr/>
          <w:p>
            <w:pPr>
              <w:pStyle w:val="Compact"/>
              <w:jc w:val="left"/>
            </w:pPr>
            <w:r>
              <w:t xml:space="preserve">ADS-B</w:t>
            </w:r>
          </w:p>
        </w:tc>
        <w:tc>
          <w:tcPr/>
          <w:p>
            <w:pPr>
              <w:pStyle w:val="Compact"/>
              <w:jc w:val="center"/>
            </w:pPr>
            <w:r>
              <w:t xml:space="preserve">1000</w:t>
            </w:r>
          </w:p>
        </w:tc>
        <w:tc>
          <w:tcPr/>
          <w:p>
            <w:pPr>
              <w:pStyle w:val="Compact"/>
              <w:jc w:val="center"/>
            </w:pPr>
            <w:r>
              <w:t xml:space="preserve">1</w:t>
            </w:r>
          </w:p>
        </w:tc>
        <w:tc>
          <w:tcPr/>
          <w:p>
            <w:pPr>
              <w:pStyle w:val="Compact"/>
              <w:jc w:val="center"/>
            </w:pPr>
            <w:r>
              <w:t xml:space="preserve">112</w:t>
            </w:r>
          </w:p>
        </w:tc>
        <w:tc>
          <w:tcPr/>
          <w:p>
            <w:pPr>
              <w:pStyle w:val="Compact"/>
              <w:jc w:val="center"/>
            </w:pPr>
            <w:r>
              <w:t xml:space="preserve">30%</w:t>
            </w:r>
          </w:p>
        </w:tc>
      </w:tr>
    </w:tbl>
    <w:bookmarkEnd w:id="18"/>
    <w:bookmarkEnd w:id="19"/>
    <w:bookmarkStart w:id="20" w:name="message-priority-model"/>
    <w:p>
      <w:pPr>
        <w:pStyle w:val="Heading2"/>
      </w:pPr>
      <w:r>
        <w:t xml:space="preserve">Message Priority Model</w:t>
      </w:r>
    </w:p>
    <w:p>
      <w:pPr>
        <w:pStyle w:val="FirstParagraph"/>
      </w:pPr>
      <w:r>
        <w:t xml:space="preserve">ATC messages are classified into four priority levels following ICAO conventions:</w:t>
      </w:r>
    </w:p>
    <w:p>
      <w:pPr>
        <w:numPr>
          <w:ilvl w:val="0"/>
          <w:numId w:val="1004"/>
        </w:numPr>
      </w:pPr>
      <w:r>
        <w:rPr>
          <w:b/>
          <w:bCs/>
        </w:rPr>
        <w:t xml:space="preserve">DISTRESS</w:t>
      </w:r>
      <w:r>
        <w:t xml:space="preserve"> </w:t>
      </w:r>
      <w:r>
        <w:t xml:space="preserve">(</w:t>
      </w:r>
      <m:oMath>
        <m:r>
          <m:t>p</m:t>
        </m:r>
        <m:r>
          <m:rPr>
            <m:sty m:val="p"/>
          </m:rPr>
          <m:t>=</m:t>
        </m:r>
        <m:r>
          <m:t>1</m:t>
        </m:r>
      </m:oMath>
      <w:r>
        <w:t xml:space="preserve">): Mayday declarations requiring immediate relay. These messages must never be delayed by cryptographic batching.</w:t>
      </w:r>
    </w:p>
    <w:p>
      <w:pPr>
        <w:numPr>
          <w:ilvl w:val="0"/>
          <w:numId w:val="1004"/>
        </w:numPr>
      </w:pPr>
      <w:r>
        <w:rPr>
          <w:b/>
          <w:bCs/>
        </w:rPr>
        <w:t xml:space="preserve">URGENCY</w:t>
      </w:r>
      <w:r>
        <w:t xml:space="preserve"> </w:t>
      </w:r>
      <w:r>
        <w:t xml:space="preserve">(</w:t>
      </w:r>
      <m:oMath>
        <m:r>
          <m:t>p</m:t>
        </m:r>
        <m:r>
          <m:rPr>
            <m:sty m:val="p"/>
          </m:rPr>
          <m:t>=</m:t>
        </m:r>
        <m:r>
          <m:t>2</m:t>
        </m:r>
      </m:oMath>
      <w:r>
        <w:t xml:space="preserve">): Pan-pan declarations and urgent ATC instructions.</w:t>
      </w:r>
    </w:p>
    <w:p>
      <w:pPr>
        <w:numPr>
          <w:ilvl w:val="0"/>
          <w:numId w:val="1004"/>
        </w:numPr>
      </w:pPr>
      <w:r>
        <w:rPr>
          <w:b/>
          <w:bCs/>
        </w:rPr>
        <w:t xml:space="preserve">SAFETY</w:t>
      </w:r>
      <w:r>
        <w:t xml:space="preserve"> </w:t>
      </w:r>
      <w:r>
        <w:t xml:space="preserve">(</w:t>
      </w:r>
      <m:oMath>
        <m:r>
          <m:t>p</m:t>
        </m:r>
        <m:r>
          <m:rPr>
            <m:sty m:val="p"/>
          </m:rPr>
          <m:t>=</m:t>
        </m:r>
        <m:r>
          <m:t>3</m:t>
        </m:r>
      </m:oMath>
      <w:r>
        <w:t xml:space="preserve">): Safety-related information including weather advisories and terrain warnings.</w:t>
      </w:r>
    </w:p>
    <w:p>
      <w:pPr>
        <w:numPr>
          <w:ilvl w:val="0"/>
          <w:numId w:val="1004"/>
        </w:numPr>
      </w:pPr>
      <w:r>
        <w:rPr>
          <w:b/>
          <w:bCs/>
        </w:rPr>
        <w:t xml:space="preserve">ROUTINE</w:t>
      </w:r>
      <w:r>
        <w:t xml:space="preserve"> </w:t>
      </w:r>
      <w:r>
        <w:t xml:space="preserve">(</w:t>
      </w:r>
      <m:oMath>
        <m:r>
          <m:t>p</m:t>
        </m:r>
        <m:r>
          <m:rPr>
            <m:sty m:val="p"/>
          </m:rPr>
          <m:t>=</m:t>
        </m:r>
        <m:r>
          <m:t>4</m:t>
        </m:r>
      </m:oMath>
      <w:r>
        <w:t xml:space="preserve">): Normal operational messages including position reports, clearances, and AOC traffic.</w:t>
      </w:r>
    </w:p>
    <w:p>
      <w:pPr>
        <w:pStyle w:val="FirstParagraph"/>
      </w:pPr>
      <w:r>
        <w:t xml:space="preserve">Our aggregate signature scheme respects this priority ordering: DISTRESS messages bypass aggregation entirely and are transmitted with individual signatures. URGENCY messages may be aggregated only within small, low-latency batches.</w:t>
      </w:r>
    </w:p>
    <w:bookmarkEnd w:id="20"/>
    <w:bookmarkStart w:id="21" w:name="threat-model"/>
    <w:p>
      <w:pPr>
        <w:pStyle w:val="Heading2"/>
      </w:pPr>
      <w:r>
        <w:t xml:space="preserve">Threat Model</w:t>
      </w:r>
    </w:p>
    <w:p>
      <w:pPr>
        <w:pStyle w:val="FirstParagraph"/>
      </w:pPr>
      <w:r>
        <w:t xml:space="preserve">We consider a computationally bounded quantum adversary</w:t>
      </w:r>
      <w:r>
        <w:t xml:space="preserve"> </w:t>
      </w:r>
      <m:oMath>
        <m:r>
          <m:rPr>
            <m:scr m:val="script"/>
            <m:sty m:val="p"/>
          </m:rPr>
          <m:t>Q</m:t>
        </m:r>
      </m:oMath>
      <w:r>
        <w:t xml:space="preserve"> </w:t>
      </w:r>
      <w:r>
        <w:t xml:space="preserve">with the following capabilities:</w:t>
      </w:r>
    </w:p>
    <w:p>
      <w:pPr>
        <w:pStyle w:val="BodyText"/>
      </w:pPr>
      <w:r>
        <w:rPr>
          <w:b/>
          <w:bCs/>
        </w:rPr>
        <w:t xml:space="preserve">Passive capabilities:</w:t>
      </w:r>
      <w:r>
        <w:t xml:space="preserve"> </w:t>
      </w:r>
      <m:oMath>
        <m:r>
          <m:rPr>
            <m:scr m:val="script"/>
            <m:sty m:val="p"/>
          </m:rPr>
          <m:t>Q</m:t>
        </m:r>
      </m:oMath>
      <w:r>
        <w:t xml:space="preserve"> </w:t>
      </w:r>
      <w:r>
        <w:t xml:space="preserve">can record all traffic on any ATC channel (HNDL model). Recorded ciphertexts may be stored indefinitely and decrypted once a CRQC becomes available.</w:t>
      </w:r>
    </w:p>
    <w:p>
      <w:pPr>
        <w:pStyle w:val="BodyText"/>
      </w:pPr>
      <w:r>
        <w:rPr>
          <w:b/>
          <w:bCs/>
        </w:rPr>
        <w:t xml:space="preserve">Active capabilities:</w:t>
      </w:r>
      <w:r>
        <w:t xml:space="preserve"> </w:t>
      </w:r>
      <m:oMath>
        <m:r>
          <m:rPr>
            <m:scr m:val="script"/>
            <m:sty m:val="p"/>
          </m:rPr>
          <m:t>Q</m:t>
        </m:r>
      </m:oMath>
      <w:r>
        <w:t xml:space="preserve"> </w:t>
      </w:r>
      <w:r>
        <w:t xml:space="preserve">can inject, modify, and replay messages on unprotected channels (particularly ADS-B) </w:t>
      </w:r>
      <w:r>
        <w:t xml:space="preserve">(Costin and Francillon 2012; Schäfer et al. 2014)</w:t>
      </w:r>
      <w:r>
        <w:t xml:space="preserve">. The adversary may also compromise individual aircraft avionics or ground station systems.</w:t>
      </w:r>
    </w:p>
    <w:p>
      <w:pPr>
        <w:pStyle w:val="BodyText"/>
      </w:pPr>
      <w:r>
        <w:rPr>
          <w:b/>
          <w:bCs/>
        </w:rPr>
        <w:t xml:space="preserve">Key compromise:</w:t>
      </w:r>
      <w:r>
        <w:t xml:space="preserve"> </w:t>
      </w:r>
      <w:r>
        <w:t xml:space="preserve">We consider adaptive key compromise where</w:t>
      </w:r>
      <w:r>
        <w:t xml:space="preserve"> </w:t>
      </w:r>
      <m:oMath>
        <m:r>
          <m:rPr>
            <m:scr m:val="script"/>
            <m:sty m:val="p"/>
          </m:rPr>
          <m:t>Q</m:t>
        </m:r>
      </m:oMath>
      <w:r>
        <w:t xml:space="preserve"> </w:t>
      </w:r>
      <w:r>
        <w:t xml:space="preserve">may obtain the long-term private key of any entity at time</w:t>
      </w:r>
      <w:r>
        <w:t xml:space="preserve"> </w:t>
      </w:r>
      <m:oMath>
        <m:sSup>
          <m:e>
            <m:r>
              <m:t>t</m:t>
            </m:r>
          </m:e>
          <m:sup>
            <m:r>
              <m:rPr>
                <m:sty m:val="p"/>
              </m:rPr>
              <m:t>*</m:t>
            </m:r>
          </m:sup>
        </m:sSup>
      </m:oMath>
      <w:r>
        <w:t xml:space="preserve">. Forward secrecy requires that messages encrypted before</w:t>
      </w:r>
      <w:r>
        <w:t xml:space="preserve"> </w:t>
      </w:r>
      <m:oMath>
        <m:sSup>
          <m:e>
            <m:r>
              <m:t>t</m:t>
            </m:r>
          </m:e>
          <m:sup>
            <m:r>
              <m:rPr>
                <m:sty m:val="p"/>
              </m:rPr>
              <m:t>*</m:t>
            </m:r>
          </m:sup>
        </m:sSup>
      </m:oMath>
      <w:r>
        <w:t xml:space="preserve"> </w:t>
      </w:r>
      <w:r>
        <w:t xml:space="preserve">remain confidential.</w:t>
      </w:r>
    </w:p>
    <w:p>
      <w:pPr>
        <w:pStyle w:val="BodyText"/>
      </w:pPr>
      <w:r>
        <w:rPr>
          <w:b/>
          <w:bCs/>
        </w:rPr>
        <w:t xml:space="preserve">Quantum capability timeline:</w:t>
      </w:r>
      <w:r>
        <w:t xml:space="preserve"> </w:t>
      </w:r>
      <w:r>
        <w:t xml:space="preserve">Following NSA CNSA 2.0 guidance </w:t>
      </w:r>
      <w:r>
        <w:t xml:space="preserve">(National Security Agency 2022)</w:t>
      </w:r>
      <w:r>
        <w:t xml:space="preserve">, we assume a CRQC capable of breaking RSA-2048 and ECDH-256 may exist within 10–20 years, requiring PQC migration to begin immediately for systems with long deployment lifetimes.</w:t>
      </w:r>
    </w:p>
    <w:p>
      <w:pPr>
        <w:pStyle w:val="BodyText"/>
      </w:pPr>
      <w:r>
        <w:rPr>
          <w:b/>
          <w:bCs/>
        </w:rPr>
        <w:t xml:space="preserve">Security goals:</w:t>
      </w:r>
    </w:p>
    <w:p>
      <w:pPr>
        <w:numPr>
          <w:ilvl w:val="0"/>
          <w:numId w:val="1005"/>
        </w:numPr>
      </w:pPr>
      <w:r>
        <w:rPr>
          <w:i/>
          <w:iCs/>
        </w:rPr>
        <w:t xml:space="preserve">Aggregate unforgeability:</w:t>
      </w:r>
      <w:r>
        <w:t xml:space="preserve"> </w:t>
      </w:r>
      <w:r>
        <w:t xml:space="preserve">No PPT adversary can forge an aggregate signature that verifies correctly for any message not signed by the legitimate sender.</w:t>
      </w:r>
    </w:p>
    <w:p>
      <w:pPr>
        <w:numPr>
          <w:ilvl w:val="0"/>
          <w:numId w:val="1005"/>
        </w:numPr>
      </w:pPr>
      <w:r>
        <w:rPr>
          <w:i/>
          <w:iCs/>
        </w:rPr>
        <w:t xml:space="preserve">Forward secrecy:</w:t>
      </w:r>
      <w:r>
        <w:t xml:space="preserve"> </w:t>
      </w:r>
      <w:r>
        <w:t xml:space="preserve">Compromise of keys at time</w:t>
      </w:r>
      <w:r>
        <w:t xml:space="preserve"> </w:t>
      </w:r>
      <m:oMath>
        <m:sSup>
          <m:e>
            <m:r>
              <m:t>t</m:t>
            </m:r>
          </m:e>
          <m:sup>
            <m:r>
              <m:rPr>
                <m:sty m:val="p"/>
              </m:rPr>
              <m:t>*</m:t>
            </m:r>
          </m:sup>
        </m:sSup>
      </m:oMath>
      <w:r>
        <w:t xml:space="preserve"> </w:t>
      </w:r>
      <w:r>
        <w:t xml:space="preserve">does not reveal plaintexts of messages encrypted before</w:t>
      </w:r>
      <w:r>
        <w:t xml:space="preserve"> </w:t>
      </w:r>
      <m:oMath>
        <m:sSup>
          <m:e>
            <m:r>
              <m:t>t</m:t>
            </m:r>
          </m:e>
          <m:sup>
            <m:r>
              <m:rPr>
                <m:sty m:val="p"/>
              </m:rPr>
              <m:t>*</m:t>
            </m:r>
          </m:sup>
        </m:sSup>
      </m:oMath>
      <w:r>
        <w:t xml:space="preserve">.</w:t>
      </w:r>
    </w:p>
    <w:p>
      <w:pPr>
        <w:numPr>
          <w:ilvl w:val="0"/>
          <w:numId w:val="1005"/>
        </w:numPr>
      </w:pPr>
      <w:r>
        <w:rPr>
          <w:i/>
          <w:iCs/>
        </w:rPr>
        <w:t xml:space="preserve">Key compromise impersonation (KCI) resistance:</w:t>
      </w:r>
      <w:r>
        <w:t xml:space="preserve"> </w:t>
      </w:r>
      <w:r>
        <w:t xml:space="preserve">Compromise of party</w:t>
      </w:r>
      <w:r>
        <w:t xml:space="preserve"> </w:t>
      </w:r>
      <m:oMath>
        <m:r>
          <m:t>A</m:t>
        </m:r>
      </m:oMath>
      <w:r>
        <w:t xml:space="preserve">’s long-term key does not allow impersonation of</w:t>
      </w:r>
      <w:r>
        <w:t xml:space="preserve"> </w:t>
      </w:r>
      <m:oMath>
        <m:r>
          <m:t>B</m:t>
        </m:r>
      </m:oMath>
      <w:r>
        <w:t xml:space="preserve"> </w:t>
      </w:r>
      <w:r>
        <w:t xml:space="preserve">to</w:t>
      </w:r>
      <w:r>
        <w:t xml:space="preserve"> </w:t>
      </w:r>
      <m:oMath>
        <m:r>
          <m:t>A</m:t>
        </m:r>
      </m:oMath>
      <w:r>
        <w:t xml:space="preserve">.</w:t>
      </w:r>
    </w:p>
    <w:bookmarkEnd w:id="21"/>
    <w:bookmarkEnd w:id="22"/>
    <w:bookmarkStart w:id="30" w:name="sec:aggregate"/>
    <w:p>
      <w:pPr>
        <w:pStyle w:val="Heading1"/>
      </w:pPr>
      <w:r>
        <w:t xml:space="preserve">Merkle Tree Aggregate Signature Scheme</w:t>
      </w:r>
    </w:p>
    <w:bookmarkStart w:id="23" w:name="overview"/>
    <w:p>
      <w:pPr>
        <w:pStyle w:val="Heading2"/>
      </w:pPr>
      <w:r>
        <w:t xml:space="preserve">Overview</w:t>
      </w:r>
    </w:p>
    <w:p>
      <w:pPr>
        <w:pStyle w:val="FirstParagraph"/>
      </w:pPr>
      <w:r>
        <w:t xml:space="preserve">Our aggregate signature scheme enables a ground station (or relay) that has collected</w:t>
      </w:r>
      <w:r>
        <w:t xml:space="preserve"> </w:t>
      </w:r>
      <m:oMath>
        <m:r>
          <m:t>N</m:t>
        </m:r>
      </m:oMath>
      <w:r>
        <w:t xml:space="preserve"> </w:t>
      </w:r>
      <w:r>
        <w:t xml:space="preserve">individually signed ATC messages to compress them into a single compact aggregate proof. The aggregate can be verified by any party that possesses the original messages and the signers’ public keys. The construction is generic: it works with any PQC signature scheme (ML-DSA, Falcon, SLH-DSA) as the underlying individual signature algorithm.</w:t>
      </w:r>
    </w:p>
    <w:p>
      <w:pPr>
        <w:pStyle w:val="BodyText"/>
      </w:pPr>
      <w:r>
        <w:t xml:space="preserve">The key insight is that rather than transmitting all</w:t>
      </w:r>
      <w:r>
        <w:t xml:space="preserve"> </w:t>
      </w:r>
      <m:oMath>
        <m:r>
          <m:t>N</m:t>
        </m:r>
      </m:oMath>
      <w:r>
        <w:t xml:space="preserve"> </w:t>
      </w:r>
      <w:r>
        <w:t xml:space="preserve">full PQC signatures, we transmit only a Merkle tree root over the signature hashes plus truncated per-message identifiers, achieving significant bandwidth savings on constrained channels.</w:t>
      </w:r>
    </w:p>
    <w:bookmarkEnd w:id="23"/>
    <w:bookmarkStart w:id="24" w:name="construction"/>
    <w:p>
      <w:pPr>
        <w:pStyle w:val="Heading2"/>
      </w:pPr>
      <w:r>
        <w:t xml:space="preserve">Construction</w:t>
      </w:r>
    </w:p>
    <w:p>
      <w:pPr>
        <w:pStyle w:val="FirstParagraph"/>
      </w:pPr>
      <w:r>
        <w:t xml:space="preserve">Let</w:t>
      </w:r>
      <w:r>
        <w:t xml:space="preserve"> </w:t>
      </w:r>
      <m:oMath>
        <m:r>
          <m:rPr>
            <m:scr m:val="sans-serif"/>
            <m:sty m:val="p"/>
          </m:rPr>
          <m:t>S</m:t>
        </m:r>
        <m:r>
          <m:rPr>
            <m:scr m:val="sans-serif"/>
            <m:sty m:val="p"/>
          </m:rPr>
          <m:t>i</m:t>
        </m:r>
        <m:r>
          <m:rPr>
            <m:scr m:val="sans-serif"/>
            <m:sty m:val="p"/>
          </m:rPr>
          <m:t>g</m:t>
        </m:r>
        <m:r>
          <m:rPr>
            <m:sty m:val="p"/>
          </m:rPr>
          <m:t>=</m:t>
        </m:r>
        <m:r>
          <m:rPr>
            <m:sty m:val="p"/>
          </m:rPr>
          <m:t>(</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r>
          <m:rPr>
            <m:scr m:val="sans-serif"/>
            <m:sty m:val="p"/>
          </m:rPr>
          <m:t>S</m:t>
        </m:r>
        <m:r>
          <m:rPr>
            <m:scr m:val="sans-serif"/>
            <m:sty m:val="p"/>
          </m:rPr>
          <m:t>i</m:t>
        </m:r>
        <m:r>
          <m:rPr>
            <m:scr m:val="sans-serif"/>
            <m:sty m:val="p"/>
          </m:rPr>
          <m:t>g</m:t>
        </m:r>
        <m:r>
          <m:rPr>
            <m:scr m:val="sans-serif"/>
            <m:sty m:val="p"/>
          </m:rPr>
          <m:t>n</m:t>
        </m:r>
        <m:r>
          <m:rPr>
            <m:sty m:val="p"/>
          </m:rPr>
          <m:t>,</m:t>
        </m:r>
        <m:r>
          <m:rPr>
            <m:scr m:val="sans-serif"/>
            <m:sty m:val="p"/>
          </m:rPr>
          <m:t>V</m:t>
        </m:r>
        <m:r>
          <m:rPr>
            <m:scr m:val="sans-serif"/>
            <m:sty m:val="p"/>
          </m:rPr>
          <m:t>e</m:t>
        </m:r>
        <m:r>
          <m:rPr>
            <m:scr m:val="sans-serif"/>
            <m:sty m:val="p"/>
          </m:rPr>
          <m:t>r</m:t>
        </m:r>
        <m:r>
          <m:rPr>
            <m:scr m:val="sans-serif"/>
            <m:sty m:val="p"/>
          </m:rPr>
          <m:t>i</m:t>
        </m:r>
        <m:r>
          <m:rPr>
            <m:scr m:val="sans-serif"/>
            <m:sty m:val="p"/>
          </m:rPr>
          <m:t>f</m:t>
        </m:r>
        <m:r>
          <m:rPr>
            <m:scr m:val="sans-serif"/>
            <m:sty m:val="p"/>
          </m:rPr>
          <m:t>y</m:t>
        </m:r>
        <m:r>
          <m:rPr>
            <m:sty m:val="p"/>
          </m:rPr>
          <m:t>)</m:t>
        </m:r>
      </m:oMath>
      <w:r>
        <w:t xml:space="preserve"> </w:t>
      </w:r>
      <w:r>
        <w:t xml:space="preserve">be a PQC signature scheme. Let</w:t>
      </w:r>
      <w:r>
        <w:t xml:space="preserve"> </w:t>
      </w:r>
      <m:oMath>
        <m:r>
          <m:t>H</m:t>
        </m:r>
        <m:r>
          <m:rPr>
            <m:sty m:val="p"/>
          </m:rPr>
          <m:t>:</m:t>
        </m:r>
        <m:r>
          <m:rPr>
            <m:sty m:val="p"/>
          </m:rPr>
          <m:t>{</m:t>
        </m:r>
        <m:r>
          <m:t>0</m:t>
        </m:r>
        <m:r>
          <m:rPr>
            <m:sty m:val="p"/>
          </m:rPr>
          <m:t>,</m:t>
        </m:r>
        <m:r>
          <m:t>1</m:t>
        </m:r>
        <m:sSup>
          <m:e>
            <m:r>
              <m:rPr>
                <m:sty m:val="p"/>
              </m:rPr>
              <m:t>}</m:t>
            </m:r>
          </m:e>
          <m:sup>
            <m:r>
              <m:rPr>
                <m:sty m:val="p"/>
              </m:rPr>
              <m:t>*</m:t>
            </m:r>
          </m:sup>
        </m:sSup>
        <m:r>
          <m:rPr>
            <m:sty m:val="p"/>
          </m:rPr>
          <m:t>→</m:t>
        </m:r>
        <m:r>
          <m:rPr>
            <m:sty m:val="p"/>
          </m:rPr>
          <m:t>{</m:t>
        </m:r>
        <m:r>
          <m:t>0</m:t>
        </m:r>
        <m:r>
          <m:rPr>
            <m:sty m:val="p"/>
          </m:rPr>
          <m:t>,</m:t>
        </m:r>
        <m:r>
          <m:t>1</m:t>
        </m:r>
        <m:sSup>
          <m:e>
            <m:r>
              <m:rPr>
                <m:sty m:val="p"/>
              </m:rPr>
              <m:t>}</m:t>
            </m:r>
          </m:e>
          <m:sup>
            <m:r>
              <m:t>256</m:t>
            </m:r>
          </m:sup>
        </m:sSup>
      </m:oMath>
      <w:r>
        <w:t xml:space="preserve"> </w:t>
      </w:r>
      <w:r>
        <w:t xml:space="preserve">be SHA3-256. Let</w:t>
      </w:r>
      <w:r>
        <w:t xml:space="preserve"> </w:t>
      </w:r>
      <m:oMath>
        <m:r>
          <m:rPr>
            <m:scr m:val="sans-serif"/>
            <m:sty m:val="p"/>
          </m:rPr>
          <m:t>C</m:t>
        </m:r>
        <m:r>
          <m:rPr>
            <m:scr m:val="sans-serif"/>
            <m:sty m:val="p"/>
          </m:rPr>
          <m:t>o</m:t>
        </m:r>
        <m:r>
          <m:rPr>
            <m:scr m:val="sans-serif"/>
            <m:sty m:val="p"/>
          </m:rPr>
          <m:t>m</m:t>
        </m:r>
        <m:r>
          <m:rPr>
            <m:scr m:val="sans-serif"/>
            <m:sty m:val="p"/>
          </m:rPr>
          <m:t>p</m:t>
        </m:r>
        <m:r>
          <m:rPr>
            <m:scr m:val="sans-serif"/>
            <m:sty m:val="p"/>
          </m:rPr>
          <m:t>r</m:t>
        </m:r>
        <m:r>
          <m:rPr>
            <m:scr m:val="sans-serif"/>
            <m:sty m:val="p"/>
          </m:rPr>
          <m:t>e</m:t>
        </m:r>
        <m:r>
          <m:rPr>
            <m:scr m:val="sans-serif"/>
            <m:sty m:val="p"/>
          </m:rPr>
          <m:t>s</m:t>
        </m:r>
        <m:r>
          <m:rPr>
            <m:scr m:val="sans-serif"/>
            <m:sty m:val="p"/>
          </m:rPr>
          <m:t>s</m:t>
        </m:r>
        <m:r>
          <m:rPr>
            <m:sty m:val="p"/>
          </m:rPr>
          <m:t>:</m:t>
        </m:r>
        <m:r>
          <m:rPr>
            <m:sty m:val="p"/>
          </m:rPr>
          <m:t>{</m:t>
        </m:r>
        <m:r>
          <m:t>0</m:t>
        </m:r>
        <m:r>
          <m:rPr>
            <m:sty m:val="p"/>
          </m:rPr>
          <m:t>,</m:t>
        </m:r>
        <m:r>
          <m:t>1</m:t>
        </m:r>
        <m:sSup>
          <m:e>
            <m:r>
              <m:rPr>
                <m:sty m:val="p"/>
              </m:rPr>
              <m:t>}</m:t>
            </m:r>
          </m:e>
          <m:sup>
            <m:r>
              <m:rPr>
                <m:sty m:val="p"/>
              </m:rPr>
              <m:t>*</m:t>
            </m:r>
          </m:sup>
        </m:sSup>
        <m:r>
          <m:rPr>
            <m:sty m:val="p"/>
          </m:rPr>
          <m:t>→</m:t>
        </m:r>
        <m:r>
          <m:rPr>
            <m:sty m:val="p"/>
          </m:rPr>
          <m:t>{</m:t>
        </m:r>
        <m:r>
          <m:t>0</m:t>
        </m:r>
        <m:r>
          <m:rPr>
            <m:sty m:val="p"/>
          </m:rPr>
          <m:t>,</m:t>
        </m:r>
        <m:r>
          <m:t>1</m:t>
        </m:r>
        <m:sSup>
          <m:e>
            <m:r>
              <m:rPr>
                <m:sty m:val="p"/>
              </m:rPr>
              <m:t>}</m:t>
            </m:r>
          </m:e>
          <m:sup>
            <m:r>
              <m:rPr>
                <m:sty m:val="p"/>
              </m:rPr>
              <m:t>*</m:t>
            </m:r>
          </m:sup>
        </m:sSup>
      </m:oMath>
      <w:r>
        <w:t xml:space="preserve"> </w:t>
      </w:r>
      <w:r>
        <w:t xml:space="preserve">be the Zstd compression function </w:t>
      </w:r>
      <w:r>
        <w:t xml:space="preserve">(Collet and Kucherawy 2021)</w:t>
      </w:r>
      <w:r>
        <w:t xml:space="preserve">.</w:t>
      </w:r>
    </w:p>
    <w:p>
      <w:pPr>
        <w:pStyle w:val="BodyText"/>
      </w:pPr>
      <w:r>
        <w:rPr>
          <w:b/>
          <w:bCs/>
        </w:rPr>
        <w:t xml:space="preserve">Individual Signing.</w:t>
      </w:r>
      <w:r>
        <w:t xml:space="preserve"> </w:t>
      </w:r>
      <w:r>
        <w:t xml:space="preserve">Each aircraft</w:t>
      </w:r>
      <w:r>
        <w:t xml:space="preserve"> </w:t>
      </w:r>
      <m:oMath>
        <m:sSub>
          <m:e>
            <m:r>
              <m:t>A</m:t>
            </m:r>
          </m:e>
          <m:sub>
            <m:r>
              <m:t>i</m:t>
            </m:r>
          </m:sub>
        </m:sSub>
      </m:oMath>
      <w:r>
        <w:t xml:space="preserve"> </w:t>
      </w:r>
      <w:r>
        <w:t xml:space="preserve">signs its message</w:t>
      </w:r>
      <w:r>
        <w:t xml:space="preserve"> </w:t>
      </w:r>
      <m:oMath>
        <m:sSub>
          <m:e>
            <m:r>
              <m:t>m</m:t>
            </m:r>
          </m:e>
          <m:sub>
            <m:r>
              <m:t>i</m:t>
            </m:r>
          </m:sub>
        </m:sSub>
      </m:oMath>
      <w:r>
        <w:t xml:space="preserve"> </w:t>
      </w:r>
      <w:r>
        <w:t xml:space="preserve">with its private key</w:t>
      </w:r>
      <w:r>
        <w:t xml:space="preserve"> </w:t>
      </w:r>
      <m:oMath>
        <m:r>
          <m:t>s</m:t>
        </m:r>
        <m:sSub>
          <m:e>
            <m:r>
              <m:t>k</m:t>
            </m:r>
          </m:e>
          <m:sub>
            <m:r>
              <m:t>i</m:t>
            </m:r>
          </m:sub>
        </m:sSub>
      </m:oMath>
      <w:r>
        <w:t xml:space="preserve">:</w:t>
      </w:r>
    </w:p>
    <w:p>
      <w:pPr>
        <w:pStyle w:val="BodyText"/>
      </w:pPr>
      <m:oMathPara>
        <m:oMathParaPr>
          <m:jc m:val="center"/>
        </m:oMathParaPr>
        <m:oMath>
          <m:sSub>
            <m:e>
              <m:r>
                <m:t>σ</m:t>
              </m:r>
            </m:e>
            <m:sub>
              <m:r>
                <m:t>i</m:t>
              </m:r>
            </m:sub>
          </m:sSub>
          <m:r>
            <m:rPr>
              <m:sty m:val="p"/>
            </m:rPr>
            <m:t>←</m:t>
          </m:r>
          <m:r>
            <m:rPr>
              <m:scr m:val="sans-serif"/>
              <m:sty m:val="p"/>
            </m:rPr>
            <m:t>S</m:t>
          </m:r>
          <m:r>
            <m:rPr>
              <m:scr m:val="sans-serif"/>
              <m:sty m:val="p"/>
            </m:rPr>
            <m:t>i</m:t>
          </m:r>
          <m:r>
            <m:rPr>
              <m:scr m:val="sans-serif"/>
              <m:sty m:val="p"/>
            </m:rPr>
            <m:t>g</m:t>
          </m:r>
          <m:r>
            <m:rPr>
              <m:scr m:val="sans-serif"/>
              <m:sty m:val="p"/>
            </m:rPr>
            <m:t>.</m:t>
          </m:r>
          <m:r>
            <m:rPr>
              <m:scr m:val="sans-serif"/>
              <m:sty m:val="p"/>
            </m:rPr>
            <m:t>S</m:t>
          </m:r>
          <m:r>
            <m:rPr>
              <m:scr m:val="sans-serif"/>
              <m:sty m:val="p"/>
            </m:rPr>
            <m:t>i</m:t>
          </m:r>
          <m:r>
            <m:rPr>
              <m:scr m:val="sans-serif"/>
              <m:sty m:val="p"/>
            </m:rPr>
            <m:t>g</m:t>
          </m:r>
          <m:r>
            <m:rPr>
              <m:scr m:val="sans-serif"/>
              <m:sty m:val="p"/>
            </m:rPr>
            <m:t>n</m:t>
          </m:r>
          <m:r>
            <m:rPr>
              <m:sty m:val="p"/>
            </m:rPr>
            <m:t>(</m:t>
          </m:r>
          <m:r>
            <m:t>s</m:t>
          </m:r>
          <m:sSub>
            <m:e>
              <m:r>
                <m:t>k</m:t>
              </m:r>
            </m:e>
            <m:sub>
              <m:r>
                <m:t>i</m:t>
              </m:r>
            </m:sub>
          </m:sSub>
          <m:r>
            <m:rPr>
              <m:sty m:val="p"/>
            </m:rPr>
            <m:t>,</m:t>
          </m:r>
          <m:sSub>
            <m:e>
              <m:r>
                <m:t>m</m:t>
              </m:r>
            </m:e>
            <m:sub>
              <m:r>
                <m:t>i</m:t>
              </m:r>
            </m:sub>
          </m:sSub>
          <m:r>
            <m:rPr>
              <m:sty m:val="p"/>
            </m:rPr>
            <m:t>)</m:t>
          </m:r>
        </m:oMath>
      </m:oMathPara>
    </w:p>
    <w:p>
      <w:pPr>
        <w:pStyle w:val="FirstParagraph"/>
      </w:pPr>
      <w:r>
        <w:t xml:space="preserve">The signed message tuple is</w:t>
      </w:r>
      <w:r>
        <w:t xml:space="preserve"> </w:t>
      </w:r>
      <m:oMath>
        <m:r>
          <m:rPr>
            <m:sty m:val="p"/>
          </m:rPr>
          <m:t>(</m:t>
        </m:r>
        <m:sSub>
          <m:e>
            <m:r>
              <m:t>m</m:t>
            </m:r>
          </m:e>
          <m:sub>
            <m:r>
              <m:t>i</m:t>
            </m:r>
          </m:sub>
        </m:sSub>
        <m:r>
          <m:rPr>
            <m:sty m:val="p"/>
          </m:rPr>
          <m:t>,</m:t>
        </m:r>
        <m:sSub>
          <m:e>
            <m:r>
              <m:t>σ</m:t>
            </m:r>
          </m:e>
          <m:sub>
            <m:r>
              <m:t>i</m:t>
            </m:r>
          </m:sub>
        </m:sSub>
        <m:r>
          <m:rPr>
            <m:sty m:val="p"/>
          </m:rPr>
          <m:t>,</m:t>
        </m:r>
        <m:r>
          <m:t>H</m:t>
        </m:r>
        <m:r>
          <m:rPr>
            <m:sty m:val="p"/>
          </m:rPr>
          <m:t>(</m:t>
        </m:r>
        <m:r>
          <m:t>p</m:t>
        </m:r>
        <m:sSub>
          <m:e>
            <m:r>
              <m:t>k</m:t>
            </m:r>
          </m:e>
          <m:sub>
            <m:r>
              <m:t>i</m:t>
            </m:r>
          </m:sub>
        </m:sSub>
        <m:r>
          <m:rPr>
            <m:sty m:val="p"/>
          </m:rPr>
          <m:t>)</m:t>
        </m:r>
        <m:r>
          <m:rPr>
            <m:sty m:val="p"/>
          </m:rPr>
          <m:t>)</m:t>
        </m:r>
      </m:oMath>
      <w:r>
        <w:t xml:space="preserve"> </w:t>
      </w:r>
      <w:r>
        <w:t xml:space="preserve">where</w:t>
      </w:r>
      <w:r>
        <w:t xml:space="preserve"> </w:t>
      </w:r>
      <m:oMath>
        <m:r>
          <m:t>p</m:t>
        </m:r>
        <m:sSub>
          <m:e>
            <m:r>
              <m:t>k</m:t>
            </m:r>
          </m:e>
          <m:sub>
            <m:r>
              <m:t>i</m:t>
            </m:r>
          </m:sub>
        </m:sSub>
      </m:oMath>
      <w:r>
        <w:t xml:space="preserve"> </w:t>
      </w:r>
      <w:r>
        <w:t xml:space="preserve">is</w:t>
      </w:r>
      <w:r>
        <w:t xml:space="preserve"> </w:t>
      </w:r>
      <m:oMath>
        <m:sSub>
          <m:e>
            <m:r>
              <m:t>A</m:t>
            </m:r>
          </m:e>
          <m:sub>
            <m:r>
              <m:t>i</m:t>
            </m:r>
          </m:sub>
        </m:sSub>
      </m:oMath>
      <w:r>
        <w:t xml:space="preserve">’s public key.</w:t>
      </w:r>
    </w:p>
    <w:p>
      <w:pPr>
        <w:pStyle w:val="BodyText"/>
      </w:pPr>
      <w:r>
        <w:rPr>
          <w:b/>
          <w:bCs/>
        </w:rPr>
        <w:t xml:space="preserve">Aggregate Generation.</w:t>
      </w:r>
      <w:r>
        <w:t xml:space="preserve"> </w:t>
      </w:r>
      <w:r>
        <w:t xml:space="preserve">Given</w:t>
      </w:r>
      <w:r>
        <w:t xml:space="preserve"> </w:t>
      </w:r>
      <m:oMath>
        <m:r>
          <m:t>N</m:t>
        </m:r>
      </m:oMath>
      <w:r>
        <w:t xml:space="preserve"> </w:t>
      </w:r>
      <w:r>
        <w:t xml:space="preserve">signed message tuples</w:t>
      </w:r>
      <w:r>
        <w:t xml:space="preserve"> </w:t>
      </w:r>
      <m:oMath>
        <m:r>
          <m:rPr>
            <m:sty m:val="p"/>
          </m:rPr>
          <m:t>{</m:t>
        </m:r>
        <m:r>
          <m:rPr>
            <m:sty m:val="p"/>
          </m:rPr>
          <m:t>(</m:t>
        </m:r>
        <m:sSub>
          <m:e>
            <m:r>
              <m:t>m</m:t>
            </m:r>
          </m:e>
          <m:sub>
            <m:r>
              <m:t>i</m:t>
            </m:r>
          </m:sub>
        </m:sSub>
        <m:r>
          <m:rPr>
            <m:sty m:val="p"/>
          </m:rPr>
          <m:t>,</m:t>
        </m:r>
        <m:sSub>
          <m:e>
            <m:r>
              <m:t>σ</m:t>
            </m:r>
          </m:e>
          <m:sub>
            <m:r>
              <m:t>i</m:t>
            </m:r>
          </m:sub>
        </m:sSub>
        <m:r>
          <m:rPr>
            <m:sty m:val="p"/>
          </m:rPr>
          <m:t>,</m:t>
        </m:r>
        <m:r>
          <m:t>H</m:t>
        </m:r>
        <m:r>
          <m:rPr>
            <m:sty m:val="p"/>
          </m:rPr>
          <m:t>(</m:t>
        </m:r>
        <m:r>
          <m:t>p</m:t>
        </m:r>
        <m:sSub>
          <m:e>
            <m:r>
              <m:t>k</m:t>
            </m:r>
          </m:e>
          <m:sub>
            <m:r>
              <m:t>i</m:t>
            </m:r>
          </m:sub>
        </m:sSub>
        <m:r>
          <m:rPr>
            <m:sty m:val="p"/>
          </m:rPr>
          <m:t>)</m:t>
        </m:r>
        <m:r>
          <m:rPr>
            <m:sty m:val="p"/>
          </m:rPr>
          <m:t>)</m:t>
        </m:r>
        <m:sSubSup>
          <m:e>
            <m:r>
              <m:rPr>
                <m:sty m:val="p"/>
              </m:rPr>
              <m:t>}</m:t>
            </m:r>
          </m:e>
          <m:sub>
            <m:r>
              <m:t>i</m:t>
            </m:r>
            <m:r>
              <m:rPr>
                <m:sty m:val="p"/>
              </m:rPr>
              <m:t>=</m:t>
            </m:r>
            <m:r>
              <m:t>1</m:t>
            </m:r>
          </m:sub>
          <m:sup>
            <m:r>
              <m:t>N</m:t>
            </m:r>
          </m:sup>
        </m:sSubSup>
      </m:oMath>
      <w:r>
        <w:t xml:space="preserve">, the aggregator computes:</w:t>
      </w:r>
    </w:p>
    <w:p>
      <w:pPr>
        <w:numPr>
          <w:ilvl w:val="0"/>
          <w:numId w:val="1006"/>
        </w:numPr>
      </w:pPr>
      <w:r>
        <w:t xml:space="preserve">For each</w:t>
      </w:r>
      <w:r>
        <w:t xml:space="preserve"> </w:t>
      </w:r>
      <m:oMath>
        <m:r>
          <m:t>i</m:t>
        </m:r>
        <m:r>
          <m:rPr>
            <m:sty m:val="p"/>
          </m:rPr>
          <m:t>∈</m:t>
        </m:r>
        <m:r>
          <m:rPr>
            <m:sty m:val="p"/>
          </m:rPr>
          <m:t>[</m:t>
        </m:r>
        <m:r>
          <m:t>N</m:t>
        </m:r>
        <m:r>
          <m:rPr>
            <m:sty m:val="p"/>
          </m:rPr>
          <m:t>]</m:t>
        </m:r>
      </m:oMath>
      <w:r>
        <w:t xml:space="preserve">, compute the message hash:</w:t>
      </w:r>
    </w:p>
    <w:p>
      <w:pPr>
        <w:pStyle w:val="BodyText"/>
      </w:pPr>
      <m:oMathPara>
        <m:oMathParaPr>
          <m:jc m:val="center"/>
        </m:oMathParaPr>
        <m:oMath>
          <m:sSub>
            <m:e>
              <m:r>
                <m:t>h</m:t>
              </m:r>
            </m:e>
            <m:sub>
              <m:r>
                <m:t>i</m:t>
              </m:r>
            </m:sub>
          </m:sSub>
          <m:r>
            <m:rPr>
              <m:sty m:val="p"/>
            </m:rPr>
            <m:t>=</m:t>
          </m:r>
          <m:r>
            <m:t>H</m:t>
          </m:r>
          <m:r>
            <m:rPr>
              <m:sty m:val="p"/>
            </m:rPr>
            <m:t>(</m:t>
          </m:r>
          <m:sSub>
            <m:e>
              <m:r>
                <m:rPr>
                  <m:scr m:val="sans-serif"/>
                  <m:sty m:val="p"/>
                </m:rPr>
                <m:t>i</m:t>
              </m:r>
              <m:r>
                <m:rPr>
                  <m:scr m:val="sans-serif"/>
                  <m:sty m:val="p"/>
                </m:rPr>
                <m:t>d</m:t>
              </m:r>
            </m:e>
            <m:sub>
              <m:r>
                <m:t>i</m:t>
              </m:r>
            </m:sub>
          </m:sSub>
          <m:r>
            <m:rPr>
              <m:sty m:val="p"/>
            </m:rPr>
            <m:t>∥</m:t>
          </m:r>
          <m:sSub>
            <m:e>
              <m:r>
                <m:t>m</m:t>
              </m:r>
            </m:e>
            <m:sub>
              <m:r>
                <m:t>i</m:t>
              </m:r>
            </m:sub>
          </m:sSub>
          <m:r>
            <m:rPr>
              <m:sty m:val="p"/>
            </m:rPr>
            <m:t>∥</m:t>
          </m:r>
          <m:r>
            <m:t>H</m:t>
          </m:r>
          <m:r>
            <m:rPr>
              <m:sty m:val="p"/>
            </m:rPr>
            <m:t>(</m:t>
          </m:r>
          <m:r>
            <m:t>p</m:t>
          </m:r>
          <m:sSub>
            <m:e>
              <m:r>
                <m:t>k</m:t>
              </m:r>
            </m:e>
            <m:sub>
              <m:r>
                <m:t>i</m:t>
              </m:r>
            </m:sub>
          </m:sSub>
          <m:r>
            <m:rPr>
              <m:sty m:val="p"/>
            </m:rPr>
            <m:t>)</m:t>
          </m:r>
          <m:r>
            <m:rPr>
              <m:sty m:val="p"/>
            </m:rPr>
            <m:t>)</m:t>
          </m:r>
        </m:oMath>
      </m:oMathPara>
    </w:p>
    <w:p>
      <w:pPr>
        <w:numPr>
          <w:ilvl w:val="0"/>
          <w:numId w:val="1000"/>
        </w:numPr>
      </w:pPr>
      <w:r>
        <w:t xml:space="preserve">where</w:t>
      </w:r>
      <w:r>
        <w:t xml:space="preserve"> </w:t>
      </w:r>
      <m:oMath>
        <m:sSub>
          <m:e>
            <m:r>
              <m:rPr>
                <m:scr m:val="sans-serif"/>
                <m:sty m:val="p"/>
              </m:rPr>
              <m:t>i</m:t>
            </m:r>
            <m:r>
              <m:rPr>
                <m:scr m:val="sans-serif"/>
                <m:sty m:val="p"/>
              </m:rPr>
              <m:t>d</m:t>
            </m:r>
          </m:e>
          <m:sub>
            <m:r>
              <m:t>i</m:t>
            </m:r>
          </m:sub>
        </m:sSub>
      </m:oMath>
      <w:r>
        <w:t xml:space="preserve"> </w:t>
      </w:r>
      <w:r>
        <w:t xml:space="preserve">is a unique message identifier.</w:t>
      </w:r>
    </w:p>
    <w:p>
      <w:pPr>
        <w:numPr>
          <w:ilvl w:val="0"/>
          <w:numId w:val="1006"/>
        </w:numPr>
      </w:pPr>
      <w:r>
        <w:t xml:space="preserve">Compute the leaf hash for each message-signature pair:</w:t>
      </w:r>
    </w:p>
    <w:p>
      <w:pPr>
        <w:pStyle w:val="BodyText"/>
      </w:pPr>
      <m:oMathPara>
        <m:oMathParaPr>
          <m:jc m:val="center"/>
        </m:oMathParaPr>
        <m:oMath>
          <m:sSub>
            <m:e>
              <m:r>
                <m:t>ℓ</m:t>
              </m:r>
            </m:e>
            <m:sub>
              <m:r>
                <m:t>i</m:t>
              </m:r>
            </m:sub>
          </m:sSub>
          <m:r>
            <m:rPr>
              <m:sty m:val="p"/>
            </m:rPr>
            <m:t>=</m:t>
          </m:r>
          <m:r>
            <m:t>H</m:t>
          </m:r>
          <m:r>
            <m:rPr>
              <m:sty m:val="p"/>
            </m:rPr>
            <m:t>(</m:t>
          </m:r>
          <m:sSub>
            <m:e>
              <m:r>
                <m:t>h</m:t>
              </m:r>
            </m:e>
            <m:sub>
              <m:r>
                <m:t>i</m:t>
              </m:r>
            </m:sub>
          </m:sSub>
          <m:r>
            <m:rPr>
              <m:sty m:val="p"/>
            </m:rPr>
            <m:t>∥</m:t>
          </m:r>
          <m:sSub>
            <m:e>
              <m:r>
                <m:t>σ</m:t>
              </m:r>
            </m:e>
            <m:sub>
              <m:r>
                <m:t>i</m:t>
              </m:r>
            </m:sub>
          </m:sSub>
          <m:r>
            <m:rPr>
              <m:sty m:val="p"/>
            </m:rPr>
            <m:t>)</m:t>
          </m:r>
        </m:oMath>
      </m:oMathPara>
    </w:p>
    <w:p>
      <w:pPr>
        <w:numPr>
          <w:ilvl w:val="0"/>
          <w:numId w:val="1006"/>
        </w:numPr>
      </w:pPr>
      <w:r>
        <w:t xml:space="preserve">Build a binary Merkle tree</w:t>
      </w:r>
      <w:r>
        <w:t xml:space="preserve"> </w:t>
      </w:r>
      <m:oMath>
        <m:r>
          <m:rPr>
            <m:scr m:val="script"/>
            <m:sty m:val="p"/>
          </m:rPr>
          <m:t>T</m:t>
        </m:r>
      </m:oMath>
      <w:r>
        <w:t xml:space="preserve"> </w:t>
      </w:r>
      <w:r>
        <w:t xml:space="preserve">over leaves</w:t>
      </w:r>
      <w:r>
        <w:t xml:space="preserve"> </w:t>
      </w:r>
      <m:oMath>
        <m:r>
          <m:rPr>
            <m:sty m:val="p"/>
          </m:rPr>
          <m:t>{</m:t>
        </m:r>
        <m:sSub>
          <m:e>
            <m:r>
              <m:t>ℓ</m:t>
            </m:r>
          </m:e>
          <m:sub>
            <m:r>
              <m:t>1</m:t>
            </m:r>
          </m:sub>
        </m:sSub>
        <m:r>
          <m:rPr>
            <m:sty m:val="p"/>
          </m:rPr>
          <m:t>,</m:t>
        </m:r>
        <m:r>
          <m:rPr>
            <m:sty m:val="p"/>
          </m:rPr>
          <m:t>…</m:t>
        </m:r>
        <m:r>
          <m:rPr>
            <m:sty m:val="p"/>
          </m:rPr>
          <m:t>,</m:t>
        </m:r>
        <m:sSub>
          <m:e>
            <m:r>
              <m:t>ℓ</m:t>
            </m:r>
          </m:e>
          <m:sub>
            <m:r>
              <m:t>N</m:t>
            </m:r>
          </m:sub>
        </m:sSub>
        <m:r>
          <m:rPr>
            <m:sty m:val="p"/>
          </m:rPr>
          <m:t>}</m:t>
        </m:r>
      </m:oMath>
      <w:r>
        <w:t xml:space="preserve">:</w:t>
      </w:r>
    </w:p>
    <w:p>
      <w:pPr>
        <w:pStyle w:val="BodyText"/>
      </w:pPr>
      <m:oMathPara>
        <m:oMathParaPr>
          <m:jc m:val="center"/>
        </m:oMathParaPr>
        <m:oMath>
          <m:r>
            <m:rPr>
              <m:scr m:val="sans-serif"/>
              <m:sty m:val="p"/>
            </m:rPr>
            <m:t>r</m:t>
          </m:r>
          <m:r>
            <m:rPr>
              <m:scr m:val="sans-serif"/>
              <m:sty m:val="p"/>
            </m:rPr>
            <m:t>o</m:t>
          </m:r>
          <m:r>
            <m:rPr>
              <m:scr m:val="sans-serif"/>
              <m:sty m:val="p"/>
            </m:rPr>
            <m:t>o</m:t>
          </m:r>
          <m:r>
            <m:rPr>
              <m:scr m:val="sans-serif"/>
              <m:sty m:val="p"/>
            </m:rPr>
            <m:t>t</m:t>
          </m:r>
          <m:r>
            <m:rPr>
              <m:sty m:val="p"/>
            </m:rPr>
            <m:t>=</m:t>
          </m:r>
          <m:r>
            <m:rPr>
              <m:scr m:val="sans-serif"/>
              <m:sty m:val="p"/>
            </m:rPr>
            <m:t>M</m:t>
          </m:r>
          <m:r>
            <m:rPr>
              <m:scr m:val="sans-serif"/>
              <m:sty m:val="p"/>
            </m:rPr>
            <m:t>e</m:t>
          </m:r>
          <m:r>
            <m:rPr>
              <m:scr m:val="sans-serif"/>
              <m:sty m:val="p"/>
            </m:rPr>
            <m:t>r</m:t>
          </m:r>
          <m:r>
            <m:rPr>
              <m:scr m:val="sans-serif"/>
              <m:sty m:val="p"/>
            </m:rPr>
            <m:t>k</m:t>
          </m:r>
          <m:r>
            <m:rPr>
              <m:scr m:val="sans-serif"/>
              <m:sty m:val="p"/>
            </m:rPr>
            <m:t>l</m:t>
          </m:r>
          <m:r>
            <m:rPr>
              <m:scr m:val="sans-serif"/>
              <m:sty m:val="p"/>
            </m:rPr>
            <m:t>e</m:t>
          </m:r>
          <m:r>
            <m:rPr>
              <m:scr m:val="sans-serif"/>
              <m:sty m:val="p"/>
            </m:rPr>
            <m:t>R</m:t>
          </m:r>
          <m:r>
            <m:rPr>
              <m:scr m:val="sans-serif"/>
              <m:sty m:val="p"/>
            </m:rPr>
            <m:t>o</m:t>
          </m:r>
          <m:r>
            <m:rPr>
              <m:scr m:val="sans-serif"/>
              <m:sty m:val="p"/>
            </m:rPr>
            <m:t>o</m:t>
          </m:r>
          <m:r>
            <m:rPr>
              <m:scr m:val="sans-serif"/>
              <m:sty m:val="p"/>
            </m:rPr>
            <m:t>t</m:t>
          </m:r>
          <m:r>
            <m:rPr>
              <m:sty m:val="p"/>
            </m:rPr>
            <m:t>(</m:t>
          </m:r>
          <m:sSub>
            <m:e>
              <m:r>
                <m:t>ℓ</m:t>
              </m:r>
            </m:e>
            <m:sub>
              <m:r>
                <m:t>1</m:t>
              </m:r>
            </m:sub>
          </m:sSub>
          <m:r>
            <m:rPr>
              <m:sty m:val="p"/>
            </m:rPr>
            <m:t>,</m:t>
          </m:r>
          <m:r>
            <m:rPr>
              <m:sty m:val="p"/>
            </m:rPr>
            <m:t>…</m:t>
          </m:r>
          <m:r>
            <m:rPr>
              <m:sty m:val="p"/>
            </m:rPr>
            <m:t>,</m:t>
          </m:r>
          <m:sSub>
            <m:e>
              <m:r>
                <m:t>ℓ</m:t>
              </m:r>
            </m:e>
            <m:sub>
              <m:r>
                <m:t>N</m:t>
              </m:r>
            </m:sub>
          </m:sSub>
          <m:r>
            <m:rPr>
              <m:sty m:val="p"/>
            </m:rPr>
            <m:t>)</m:t>
          </m:r>
        </m:oMath>
      </m:oMathPara>
    </w:p>
    <w:p>
      <w:pPr>
        <w:numPr>
          <w:ilvl w:val="0"/>
          <w:numId w:val="1000"/>
        </w:numPr>
      </w:pPr>
      <w:r>
        <w:t xml:space="preserve">where internal nodes are computed as</w:t>
      </w:r>
      <w:r>
        <w:t xml:space="preserve"> </w:t>
      </w:r>
      <m:oMath>
        <m:r>
          <m:t>H</m:t>
        </m:r>
        <m:r>
          <m:rPr>
            <m:sty m:val="p"/>
          </m:rPr>
          <m:t>(</m:t>
        </m:r>
        <m:r>
          <m:rPr>
            <m:nor/>
            <m:sty m:val="p"/>
          </m:rPr>
          <m:t>left</m:t>
        </m:r>
        <m:r>
          <m:rPr>
            <m:sty m:val="p"/>
          </m:rPr>
          <m:t>∥</m:t>
        </m:r>
        <m:r>
          <m:rPr>
            <m:nor/>
            <m:sty m:val="p"/>
          </m:rPr>
          <m:t>right</m:t>
        </m:r>
        <m:r>
          <m:rPr>
            <m:sty m:val="p"/>
          </m:rPr>
          <m:t>)</m:t>
        </m:r>
      </m:oMath>
      <w:r>
        <w:t xml:space="preserve">, with duplication of the last leaf when</w:t>
      </w:r>
      <w:r>
        <w:t xml:space="preserve"> </w:t>
      </w:r>
      <m:oMath>
        <m:r>
          <m:t>N</m:t>
        </m:r>
      </m:oMath>
      <w:r>
        <w:t xml:space="preserve"> </w:t>
      </w:r>
      <w:r>
        <w:t xml:space="preserve">is odd.</w:t>
      </w:r>
    </w:p>
    <w:p>
      <w:pPr>
        <w:numPr>
          <w:ilvl w:val="0"/>
          <w:numId w:val="1006"/>
        </w:numPr>
      </w:pPr>
      <w:r>
        <w:t xml:space="preserve">Construct the aggregate:</w:t>
      </w:r>
    </w:p>
    <w:p>
      <w:pPr>
        <w:pStyle w:val="BodyText"/>
      </w:pPr>
      <m:oMathPara>
        <m:oMathParaPr>
          <m:jc m:val="center"/>
        </m:oMathParaPr>
        <m:oMath>
          <m:r>
            <m:t>α</m:t>
          </m:r>
          <m:r>
            <m:rPr>
              <m:sty m:val="p"/>
            </m:rPr>
            <m:t>=</m:t>
          </m:r>
          <m:r>
            <m:rPr>
              <m:scr m:val="sans-serif"/>
              <m:sty m:val="p"/>
            </m:rPr>
            <m:t>C</m:t>
          </m:r>
          <m:r>
            <m:rPr>
              <m:scr m:val="sans-serif"/>
              <m:sty m:val="p"/>
            </m:rPr>
            <m:t>o</m:t>
          </m:r>
          <m:r>
            <m:rPr>
              <m:scr m:val="sans-serif"/>
              <m:sty m:val="p"/>
            </m:rPr>
            <m:t>m</m:t>
          </m:r>
          <m:r>
            <m:rPr>
              <m:scr m:val="sans-serif"/>
              <m:sty m:val="p"/>
            </m:rPr>
            <m:t>p</m:t>
          </m:r>
          <m:r>
            <m:rPr>
              <m:scr m:val="sans-serif"/>
              <m:sty m:val="p"/>
            </m:rPr>
            <m:t>r</m:t>
          </m:r>
          <m:r>
            <m:rPr>
              <m:scr m:val="sans-serif"/>
              <m:sty m:val="p"/>
            </m:rPr>
            <m:t>e</m:t>
          </m:r>
          <m:r>
            <m:rPr>
              <m:scr m:val="sans-serif"/>
              <m:sty m:val="p"/>
            </m:rPr>
            <m:t>s</m:t>
          </m:r>
          <m:r>
            <m:rPr>
              <m:scr m:val="sans-serif"/>
              <m:sty m:val="p"/>
            </m:rPr>
            <m:t>s</m:t>
          </m:r>
          <m:d>
            <m:dPr>
              <m:begChr m:val="("/>
              <m:sepChr m:val=""/>
              <m:endChr m:val=")"/>
              <m:grow/>
            </m:dPr>
            <m:e>
              <m:r>
                <m:rPr>
                  <m:scr m:val="sans-serif"/>
                  <m:sty m:val="p"/>
                </m:rPr>
                <m:t>r</m:t>
              </m:r>
              <m:r>
                <m:rPr>
                  <m:scr m:val="sans-serif"/>
                  <m:sty m:val="p"/>
                </m:rPr>
                <m:t>o</m:t>
              </m:r>
              <m:r>
                <m:rPr>
                  <m:scr m:val="sans-serif"/>
                  <m:sty m:val="p"/>
                </m:rPr>
                <m:t>o</m:t>
              </m:r>
              <m:r>
                <m:rPr>
                  <m:scr m:val="sans-serif"/>
                  <m:sty m:val="p"/>
                </m:rPr>
                <m:t>t</m:t>
              </m:r>
              <m:r>
                <m:rPr>
                  <m:sty m:val="p"/>
                </m:rPr>
                <m:t>∥</m:t>
              </m:r>
              <m:r>
                <m:t>N</m:t>
              </m:r>
              <m:r>
                <m:rPr>
                  <m:sty m:val="p"/>
                </m:rPr>
                <m:t>∥</m:t>
              </m:r>
              <m:sSubSup>
                <m:e>
                  <m:r>
                    <m:t>ℓ</m:t>
                  </m:r>
                </m:e>
                <m:sub>
                  <m:r>
                    <m:t>1</m:t>
                  </m:r>
                </m:sub>
                <m:sup>
                  <m:r>
                    <m:rPr>
                      <m:sty m:val="p"/>
                    </m:rPr>
                    <m:t>[</m:t>
                  </m:r>
                  <m:r>
                    <m:t>t</m:t>
                  </m:r>
                  <m:r>
                    <m:rPr>
                      <m:sty m:val="p"/>
                    </m:rPr>
                    <m:t>]</m:t>
                  </m:r>
                </m:sup>
              </m:sSubSup>
              <m:r>
                <m:rPr>
                  <m:sty m:val="p"/>
                </m:rPr>
                <m:t>∥</m:t>
              </m:r>
              <m:r>
                <m:rPr>
                  <m:sty m:val="p"/>
                </m:rPr>
                <m:t>⋯</m:t>
              </m:r>
              <m:r>
                <m:rPr>
                  <m:sty m:val="p"/>
                </m:rPr>
                <m:t>∥</m:t>
              </m:r>
              <m:sSubSup>
                <m:e>
                  <m:r>
                    <m:t>ℓ</m:t>
                  </m:r>
                </m:e>
                <m:sub>
                  <m:r>
                    <m:t>N</m:t>
                  </m:r>
                </m:sub>
                <m:sup>
                  <m:r>
                    <m:rPr>
                      <m:sty m:val="p"/>
                    </m:rPr>
                    <m:t>[</m:t>
                  </m:r>
                  <m:r>
                    <m:t>t</m:t>
                  </m:r>
                  <m:r>
                    <m:rPr>
                      <m:sty m:val="p"/>
                    </m:rPr>
                    <m:t>]</m:t>
                  </m:r>
                </m:sup>
              </m:sSubSup>
            </m:e>
          </m:d>
        </m:oMath>
      </m:oMathPara>
    </w:p>
    <w:p>
      <w:pPr>
        <w:numPr>
          <w:ilvl w:val="0"/>
          <w:numId w:val="1000"/>
        </w:numPr>
      </w:pPr>
      <w:r>
        <w:t xml:space="preserve">where</w:t>
      </w:r>
      <w:r>
        <w:t xml:space="preserve"> </w:t>
      </w:r>
      <m:oMath>
        <m:sSubSup>
          <m:e>
            <m:r>
              <m:t>ℓ</m:t>
            </m:r>
          </m:e>
          <m:sub>
            <m:r>
              <m:t>i</m:t>
            </m:r>
          </m:sub>
          <m:sup>
            <m:r>
              <m:rPr>
                <m:sty m:val="p"/>
              </m:rPr>
              <m:t>[</m:t>
            </m:r>
            <m:r>
              <m:t>t</m:t>
            </m:r>
            <m:r>
              <m:rPr>
                <m:sty m:val="p"/>
              </m:rPr>
              <m:t>]</m:t>
            </m:r>
          </m:sup>
        </m:sSubSup>
      </m:oMath>
      <w:r>
        <w:t xml:space="preserve"> </w:t>
      </w:r>
      <w:r>
        <w:t xml:space="preserve">denotes the first</w:t>
      </w:r>
      <w:r>
        <w:t xml:space="preserve"> </w:t>
      </w:r>
      <m:oMath>
        <m:r>
          <m:t>t</m:t>
        </m:r>
      </m:oMath>
      <w:r>
        <w:t xml:space="preserve"> </w:t>
      </w:r>
      <w:r>
        <w:t xml:space="preserve">bytes of</w:t>
      </w:r>
      <w:r>
        <w:t xml:space="preserve"> </w:t>
      </w:r>
      <m:oMath>
        <m:sSub>
          <m:e>
            <m:r>
              <m:t>ℓ</m:t>
            </m:r>
          </m:e>
          <m:sub>
            <m:r>
              <m:t>i</m:t>
            </m:r>
          </m:sub>
        </m:sSub>
      </m:oMath>
      <w:r>
        <w:t xml:space="preserve"> </w:t>
      </w:r>
      <w:r>
        <w:t xml:space="preserve">(truncated identifier) and</w:t>
      </w:r>
      <w:r>
        <w:t xml:space="preserve"> </w:t>
      </w:r>
      <m:oMath>
        <m:r>
          <m:t>t</m:t>
        </m:r>
      </m:oMath>
      <w:r>
        <w:t xml:space="preserve"> </w:t>
      </w:r>
      <w:r>
        <w:t xml:space="preserve">is a channel-dependent truncation parameter.</w:t>
      </w:r>
    </w:p>
    <w:p>
      <w:pPr>
        <w:pStyle w:val="FirstParagraph"/>
      </w:pPr>
      <w:r>
        <w:t xml:space="preserve">Algorithm </w:t>
      </w:r>
      <w:hyperlink w:anchor="alg:aggregate_sign">
        <w:r>
          <w:rPr>
            <w:rStyle w:val="Hyperlink"/>
          </w:rPr>
          <w:t xml:space="preserve">[alg:aggregate_sign]</w:t>
        </w:r>
      </w:hyperlink>
      <w:r>
        <w:t xml:space="preserve"> </w:t>
      </w:r>
      <w:r>
        <w:t xml:space="preserve">provides the complete aggregation procedure.</w:t>
      </w:r>
    </w:p>
    <w:p>
      <w:pPr>
        <w:pStyle w:val="BodyText"/>
      </w:pPr>
      <w:r>
        <w:t xml:space="preserve">Signed messages</w:t>
      </w:r>
      <w:r>
        <w:t xml:space="preserve"> </w:t>
      </w:r>
      <m:oMath>
        <m:r>
          <m:rPr>
            <m:sty m:val="p"/>
          </m:rPr>
          <m:t>{</m:t>
        </m:r>
        <m:r>
          <m:rPr>
            <m:sty m:val="p"/>
          </m:rPr>
          <m:t>(</m:t>
        </m:r>
        <m:sSub>
          <m:e>
            <m:r>
              <m:t>m</m:t>
            </m:r>
          </m:e>
          <m:sub>
            <m:r>
              <m:t>i</m:t>
            </m:r>
          </m:sub>
        </m:sSub>
        <m:r>
          <m:rPr>
            <m:sty m:val="p"/>
          </m:rPr>
          <m:t>,</m:t>
        </m:r>
        <m:sSub>
          <m:e>
            <m:r>
              <m:t>σ</m:t>
            </m:r>
          </m:e>
          <m:sub>
            <m:r>
              <m:t>i</m:t>
            </m:r>
          </m:sub>
        </m:sSub>
        <m:r>
          <m:rPr>
            <m:sty m:val="p"/>
          </m:rPr>
          <m:t>,</m:t>
        </m:r>
        <m:r>
          <m:t>H</m:t>
        </m:r>
        <m:r>
          <m:rPr>
            <m:sty m:val="p"/>
          </m:rPr>
          <m:t>(</m:t>
        </m:r>
        <m:r>
          <m:t>p</m:t>
        </m:r>
        <m:sSub>
          <m:e>
            <m:r>
              <m:t>k</m:t>
            </m:r>
          </m:e>
          <m:sub>
            <m:r>
              <m:t>i</m:t>
            </m:r>
          </m:sub>
        </m:sSub>
        <m:r>
          <m:rPr>
            <m:sty m:val="p"/>
          </m:rPr>
          <m:t>)</m:t>
        </m:r>
        <m:r>
          <m:rPr>
            <m:sty m:val="p"/>
          </m:rPr>
          <m:t>)</m:t>
        </m:r>
        <m:sSubSup>
          <m:e>
            <m:r>
              <m:rPr>
                <m:sty m:val="p"/>
              </m:rPr>
              <m:t>}</m:t>
            </m:r>
          </m:e>
          <m:sub>
            <m:r>
              <m:t>i</m:t>
            </m:r>
            <m:r>
              <m:rPr>
                <m:sty m:val="p"/>
              </m:rPr>
              <m:t>=</m:t>
            </m:r>
            <m:r>
              <m:t>1</m:t>
            </m:r>
          </m:sub>
          <m:sup>
            <m:r>
              <m:t>N</m:t>
            </m:r>
          </m:sup>
        </m:sSubSup>
      </m:oMath>
      <w:r>
        <w:t xml:space="preserve">, channel</w:t>
      </w:r>
      <w:r>
        <w:t xml:space="preserve"> </w:t>
      </w:r>
      <m:oMath>
        <m:r>
          <m:t>c</m:t>
        </m:r>
      </m:oMath>
      <w:r>
        <w:t xml:space="preserve"> </w:t>
      </w:r>
      <w:r>
        <w:t xml:space="preserve">Aggregate signature</w:t>
      </w:r>
      <w:r>
        <w:t xml:space="preserve"> </w:t>
      </w:r>
      <m:oMath>
        <m:r>
          <m:t>α</m:t>
        </m:r>
      </m:oMath>
      <w:r>
        <w:t xml:space="preserve"> </w:t>
      </w:r>
      <m:oMath>
        <m:r>
          <m:rPr>
            <m:scr m:val="script"/>
            <m:sty m:val="p"/>
          </m:rPr>
          <m:t>L</m:t>
        </m:r>
        <m:r>
          <m:rPr>
            <m:sty m:val="p"/>
          </m:rPr>
          <m:t>←</m:t>
        </m:r>
        <m:r>
          <m:rPr>
            <m:sty m:val="p"/>
          </m:rPr>
          <m:t>∅</m:t>
        </m:r>
      </m:oMath>
      <w:r>
        <w:t xml:space="preserve"> </w:t>
      </w:r>
      <m:oMath>
        <m:r>
          <m:rPr>
            <m:scr m:val="script"/>
            <m:sty m:val="p"/>
          </m:rPr>
          <m:t>H</m:t>
        </m:r>
        <m:r>
          <m:rPr>
            <m:sty m:val="p"/>
          </m:rPr>
          <m:t>←</m:t>
        </m:r>
        <m:r>
          <m:rPr>
            <m:sty m:val="p"/>
          </m:rPr>
          <m:t>∅</m:t>
        </m:r>
      </m:oMath>
      <w:r>
        <w:t xml:space="preserve"> </w:t>
      </w:r>
      <w:r>
        <w:rPr>
          <w:b/>
          <w:bCs/>
        </w:rPr>
        <w:t xml:space="preserve">output</w:t>
      </w:r>
      <w:r>
        <w:t xml:space="preserve"> </w:t>
      </w:r>
      <m:oMath>
        <m:r>
          <m:rPr>
            <m:sty m:val="p"/>
          </m:rPr>
          <m:t>(</m:t>
        </m:r>
        <m:sSub>
          <m:e>
            <m:r>
              <m:t>m</m:t>
            </m:r>
          </m:e>
          <m:sub>
            <m:r>
              <m:t>i</m:t>
            </m:r>
          </m:sub>
        </m:sSub>
        <m:r>
          <m:rPr>
            <m:sty m:val="p"/>
          </m:rPr>
          <m:t>,</m:t>
        </m:r>
        <m:sSub>
          <m:e>
            <m:r>
              <m:t>σ</m:t>
            </m:r>
          </m:e>
          <m:sub>
            <m:r>
              <m:t>i</m:t>
            </m:r>
          </m:sub>
        </m:sSub>
        <m:r>
          <m:rPr>
            <m:sty m:val="p"/>
          </m:rPr>
          <m:t>)</m:t>
        </m:r>
      </m:oMath>
      <w:r>
        <w:t xml:space="preserve"> </w:t>
      </w:r>
      <w:r>
        <w:t xml:space="preserve">directly</w:t>
      </w:r>
      <w:r>
        <w:t xml:space="preserve"> </w:t>
      </w:r>
      <w:r>
        <w:rPr>
          <w:b/>
          <w:bCs/>
        </w:rPr>
        <w:t xml:space="preserve">continue</w:t>
      </w:r>
      <w:r>
        <w:t xml:space="preserve"> </w:t>
      </w:r>
      <m:oMath>
        <m:sSub>
          <m:e>
            <m:r>
              <m:t>h</m:t>
            </m:r>
          </m:e>
          <m:sub>
            <m:r>
              <m:t>i</m:t>
            </m:r>
          </m:sub>
        </m:sSub>
        <m:r>
          <m:rPr>
            <m:sty m:val="p"/>
          </m:rPr>
          <m:t>←</m:t>
        </m:r>
        <m:r>
          <m:t>H</m:t>
        </m:r>
        <m:r>
          <m:rPr>
            <m:sty m:val="p"/>
          </m:rPr>
          <m:t>(</m:t>
        </m:r>
        <m:sSub>
          <m:e>
            <m:r>
              <m:rPr>
                <m:scr m:val="sans-serif"/>
                <m:sty m:val="p"/>
              </m:rPr>
              <m:t>i</m:t>
            </m:r>
            <m:r>
              <m:rPr>
                <m:scr m:val="sans-serif"/>
                <m:sty m:val="p"/>
              </m:rPr>
              <m:t>d</m:t>
            </m:r>
          </m:e>
          <m:sub>
            <m:r>
              <m:t>i</m:t>
            </m:r>
          </m:sub>
        </m:sSub>
        <m:r>
          <m:rPr>
            <m:sty m:val="p"/>
          </m:rPr>
          <m:t>∥</m:t>
        </m:r>
        <m:sSub>
          <m:e>
            <m:r>
              <m:t>m</m:t>
            </m:r>
          </m:e>
          <m:sub>
            <m:r>
              <m:t>i</m:t>
            </m:r>
          </m:sub>
        </m:sSub>
        <m:r>
          <m:rPr>
            <m:sty m:val="p"/>
          </m:rPr>
          <m:t>∥</m:t>
        </m:r>
        <m:r>
          <m:t>H</m:t>
        </m:r>
        <m:r>
          <m:rPr>
            <m:sty m:val="p"/>
          </m:rPr>
          <m:t>(</m:t>
        </m:r>
        <m:r>
          <m:t>p</m:t>
        </m:r>
        <m:sSub>
          <m:e>
            <m:r>
              <m:t>k</m:t>
            </m:r>
          </m:e>
          <m:sub>
            <m:r>
              <m:t>i</m:t>
            </m:r>
          </m:sub>
        </m:sSub>
        <m:r>
          <m:rPr>
            <m:sty m:val="p"/>
          </m:rPr>
          <m:t>)</m:t>
        </m:r>
        <m:r>
          <m:rPr>
            <m:sty m:val="p"/>
          </m:rPr>
          <m:t>)</m:t>
        </m:r>
      </m:oMath>
      <w:r>
        <w:t xml:space="preserve"> </w:t>
      </w:r>
      <m:oMath>
        <m:sSub>
          <m:e>
            <m:r>
              <m:t>ℓ</m:t>
            </m:r>
          </m:e>
          <m:sub>
            <m:r>
              <m:t>i</m:t>
            </m:r>
          </m:sub>
        </m:sSub>
        <m:r>
          <m:rPr>
            <m:sty m:val="p"/>
          </m:rPr>
          <m:t>←</m:t>
        </m:r>
        <m:r>
          <m:t>H</m:t>
        </m:r>
        <m:r>
          <m:rPr>
            <m:sty m:val="p"/>
          </m:rPr>
          <m:t>(</m:t>
        </m:r>
        <m:sSub>
          <m:e>
            <m:r>
              <m:t>h</m:t>
            </m:r>
          </m:e>
          <m:sub>
            <m:r>
              <m:t>i</m:t>
            </m:r>
          </m:sub>
        </m:sSub>
        <m:r>
          <m:rPr>
            <m:sty m:val="p"/>
          </m:rPr>
          <m:t>∥</m:t>
        </m:r>
        <m:sSub>
          <m:e>
            <m:r>
              <m:t>σ</m:t>
            </m:r>
          </m:e>
          <m:sub>
            <m:r>
              <m:t>i</m:t>
            </m:r>
          </m:sub>
        </m:sSub>
        <m:r>
          <m:rPr>
            <m:sty m:val="p"/>
          </m:rPr>
          <m:t>)</m:t>
        </m:r>
      </m:oMath>
      <w:r>
        <w:t xml:space="preserve"> </w:t>
      </w:r>
      <m:oMath>
        <m:r>
          <m:rPr>
            <m:scr m:val="script"/>
            <m:sty m:val="p"/>
          </m:rPr>
          <m:t>L</m:t>
        </m:r>
        <m:r>
          <m:rPr>
            <m:sty m:val="p"/>
          </m:rPr>
          <m:t>←</m:t>
        </m:r>
        <m:r>
          <m:rPr>
            <m:scr m:val="script"/>
            <m:sty m:val="p"/>
          </m:rPr>
          <m:t>L</m:t>
        </m:r>
        <m:r>
          <m:rPr>
            <m:sty m:val="p"/>
          </m:rPr>
          <m:t>∪</m:t>
        </m:r>
        <m:r>
          <m:rPr>
            <m:sty m:val="p"/>
          </m:rPr>
          <m:t>{</m:t>
        </m:r>
        <m:sSub>
          <m:e>
            <m:r>
              <m:t>ℓ</m:t>
            </m:r>
          </m:e>
          <m:sub>
            <m:r>
              <m:t>i</m:t>
            </m:r>
          </m:sub>
        </m:sSub>
        <m:r>
          <m:rPr>
            <m:sty m:val="p"/>
          </m:rPr>
          <m:t>}</m:t>
        </m:r>
      </m:oMath>
      <w:r>
        <w:t xml:space="preserve"> </w:t>
      </w:r>
      <m:oMath>
        <m:r>
          <m:rPr>
            <m:scr m:val="script"/>
            <m:sty m:val="p"/>
          </m:rPr>
          <m:t>H</m:t>
        </m:r>
        <m:r>
          <m:rPr>
            <m:sty m:val="p"/>
          </m:rPr>
          <m:t>←</m:t>
        </m:r>
        <m:r>
          <m:rPr>
            <m:scr m:val="script"/>
            <m:sty m:val="p"/>
          </m:rPr>
          <m:t>H</m:t>
        </m:r>
        <m:r>
          <m:rPr>
            <m:sty m:val="p"/>
          </m:rPr>
          <m:t>∪</m:t>
        </m:r>
        <m:r>
          <m:rPr>
            <m:sty m:val="p"/>
          </m:rPr>
          <m:t>{</m:t>
        </m:r>
        <m:sSub>
          <m:e>
            <m:r>
              <m:t>h</m:t>
            </m:r>
          </m:e>
          <m:sub>
            <m:r>
              <m:t>i</m:t>
            </m:r>
          </m:sub>
        </m:sSub>
        <m:r>
          <m:rPr>
            <m:sty m:val="p"/>
          </m:rPr>
          <m:t>}</m:t>
        </m:r>
      </m:oMath>
      <w:r>
        <w:t xml:space="preserve"> </w:t>
      </w:r>
      <m:oMath>
        <m:r>
          <m:rPr>
            <m:scr m:val="sans-serif"/>
            <m:sty m:val="p"/>
          </m:rPr>
          <m:t>r</m:t>
        </m:r>
        <m:r>
          <m:rPr>
            <m:scr m:val="sans-serif"/>
            <m:sty m:val="p"/>
          </m:rPr>
          <m:t>o</m:t>
        </m:r>
        <m:r>
          <m:rPr>
            <m:scr m:val="sans-serif"/>
            <m:sty m:val="p"/>
          </m:rPr>
          <m:t>o</m:t>
        </m:r>
        <m:r>
          <m:rPr>
            <m:scr m:val="sans-serif"/>
            <m:sty m:val="p"/>
          </m:rPr>
          <m:t>t</m:t>
        </m:r>
        <m:r>
          <m:rPr>
            <m:sty m:val="p"/>
          </m:rPr>
          <m:t>←</m:t>
        </m:r>
        <m:r>
          <m:rPr>
            <m:scr m:val="sans-serif"/>
            <m:sty m:val="p"/>
          </m:rPr>
          <m:t>B</m:t>
        </m:r>
        <m:r>
          <m:rPr>
            <m:scr m:val="sans-serif"/>
            <m:sty m:val="p"/>
          </m:rPr>
          <m:t>u</m:t>
        </m:r>
        <m:r>
          <m:rPr>
            <m:scr m:val="sans-serif"/>
            <m:sty m:val="p"/>
          </m:rPr>
          <m:t>i</m:t>
        </m:r>
        <m:r>
          <m:rPr>
            <m:scr m:val="sans-serif"/>
            <m:sty m:val="p"/>
          </m:rPr>
          <m:t>l</m:t>
        </m:r>
        <m:r>
          <m:rPr>
            <m:scr m:val="sans-serif"/>
            <m:sty m:val="p"/>
          </m:rPr>
          <m:t>d</m:t>
        </m:r>
        <m:r>
          <m:rPr>
            <m:scr m:val="sans-serif"/>
            <m:sty m:val="p"/>
          </m:rPr>
          <m:t>M</m:t>
        </m:r>
        <m:r>
          <m:rPr>
            <m:scr m:val="sans-serif"/>
            <m:sty m:val="p"/>
          </m:rPr>
          <m:t>e</m:t>
        </m:r>
        <m:r>
          <m:rPr>
            <m:scr m:val="sans-serif"/>
            <m:sty m:val="p"/>
          </m:rPr>
          <m:t>r</m:t>
        </m:r>
        <m:r>
          <m:rPr>
            <m:scr m:val="sans-serif"/>
            <m:sty m:val="p"/>
          </m:rPr>
          <m:t>k</m:t>
        </m:r>
        <m:r>
          <m:rPr>
            <m:scr m:val="sans-serif"/>
            <m:sty m:val="p"/>
          </m:rPr>
          <m:t>l</m:t>
        </m:r>
        <m:r>
          <m:rPr>
            <m:scr m:val="sans-serif"/>
            <m:sty m:val="p"/>
          </m:rPr>
          <m:t>e</m:t>
        </m:r>
        <m:r>
          <m:rPr>
            <m:scr m:val="sans-serif"/>
            <m:sty m:val="p"/>
          </m:rPr>
          <m:t>T</m:t>
        </m:r>
        <m:r>
          <m:rPr>
            <m:scr m:val="sans-serif"/>
            <m:sty m:val="p"/>
          </m:rPr>
          <m:t>r</m:t>
        </m:r>
        <m:r>
          <m:rPr>
            <m:scr m:val="sans-serif"/>
            <m:sty m:val="p"/>
          </m:rPr>
          <m:t>e</m:t>
        </m:r>
        <m:r>
          <m:rPr>
            <m:scr m:val="sans-serif"/>
            <m:sty m:val="p"/>
          </m:rPr>
          <m:t>e</m:t>
        </m:r>
        <m:r>
          <m:rPr>
            <m:sty m:val="p"/>
          </m:rPr>
          <m:t>(</m:t>
        </m:r>
        <m:r>
          <m:rPr>
            <m:scr m:val="script"/>
            <m:sty m:val="p"/>
          </m:rPr>
          <m:t>L</m:t>
        </m:r>
        <m:r>
          <m:rPr>
            <m:sty m:val="p"/>
          </m:rPr>
          <m:t>)</m:t>
        </m:r>
      </m:oMath>
      <w:r>
        <w:t xml:space="preserve"> </w:t>
      </w:r>
      <m:oMath>
        <m:r>
          <m:t>t</m:t>
        </m:r>
        <m:r>
          <m:rPr>
            <m:sty m:val="p"/>
          </m:rPr>
          <m:t>←</m:t>
        </m:r>
        <m:r>
          <m:rPr>
            <m:scr m:val="sans-serif"/>
            <m:sty m:val="p"/>
          </m:rPr>
          <m:t>T</m:t>
        </m:r>
        <m:r>
          <m:rPr>
            <m:scr m:val="sans-serif"/>
            <m:sty m:val="p"/>
          </m:rPr>
          <m:t>r</m:t>
        </m:r>
        <m:r>
          <m:rPr>
            <m:scr m:val="sans-serif"/>
            <m:sty m:val="p"/>
          </m:rPr>
          <m:t>u</m:t>
        </m:r>
        <m:r>
          <m:rPr>
            <m:scr m:val="sans-serif"/>
            <m:sty m:val="p"/>
          </m:rPr>
          <m:t>n</m:t>
        </m:r>
        <m:r>
          <m:rPr>
            <m:scr m:val="sans-serif"/>
            <m:sty m:val="p"/>
          </m:rPr>
          <m:t>c</m:t>
        </m:r>
        <m:r>
          <m:rPr>
            <m:scr m:val="sans-serif"/>
            <m:sty m:val="p"/>
          </m:rPr>
          <m:t>L</m:t>
        </m:r>
        <m:r>
          <m:rPr>
            <m:scr m:val="sans-serif"/>
            <m:sty m:val="p"/>
          </m:rPr>
          <m:t>e</m:t>
        </m:r>
        <m:r>
          <m:rPr>
            <m:scr m:val="sans-serif"/>
            <m:sty m:val="p"/>
          </m:rPr>
          <m:t>n</m:t>
        </m:r>
        <m:r>
          <m:rPr>
            <m:sty m:val="p"/>
          </m:rPr>
          <m:t>(</m:t>
        </m:r>
        <m:r>
          <m:t>c</m:t>
        </m:r>
        <m:r>
          <m:rPr>
            <m:sty m:val="p"/>
          </m:rPr>
          <m:t>)</m:t>
        </m:r>
      </m:oMath>
      <w:r>
        <w:t xml:space="preserve"> </w:t>
      </w:r>
      <m:oMath>
        <m:r>
          <m:rPr>
            <m:scr m:val="sans-serif"/>
            <m:sty m:val="p"/>
          </m:rPr>
          <m:t>r</m:t>
        </m:r>
        <m:r>
          <m:rPr>
            <m:scr m:val="sans-serif"/>
            <m:sty m:val="p"/>
          </m:rPr>
          <m:t>a</m:t>
        </m:r>
        <m:r>
          <m:rPr>
            <m:scr m:val="sans-serif"/>
            <m:sty m:val="p"/>
          </m:rPr>
          <m:t>w</m:t>
        </m:r>
        <m:r>
          <m:rPr>
            <m:sty m:val="p"/>
          </m:rPr>
          <m:t>←</m:t>
        </m:r>
        <m:r>
          <m:rPr>
            <m:scr m:val="sans-serif"/>
            <m:sty m:val="p"/>
          </m:rPr>
          <m:t>r</m:t>
        </m:r>
        <m:r>
          <m:rPr>
            <m:scr m:val="sans-serif"/>
            <m:sty m:val="p"/>
          </m:rPr>
          <m:t>o</m:t>
        </m:r>
        <m:r>
          <m:rPr>
            <m:scr m:val="sans-serif"/>
            <m:sty m:val="p"/>
          </m:rPr>
          <m:t>o</m:t>
        </m:r>
        <m:r>
          <m:rPr>
            <m:scr m:val="sans-serif"/>
            <m:sty m:val="p"/>
          </m:rPr>
          <m:t>t</m:t>
        </m:r>
        <m:r>
          <m:rPr>
            <m:sty m:val="p"/>
          </m:rPr>
          <m:t>∥</m:t>
        </m:r>
        <m:r>
          <m:rPr>
            <m:sty m:val="p"/>
          </m:rPr>
          <m:t>|</m:t>
        </m:r>
        <m:r>
          <m:rPr>
            <m:scr m:val="script"/>
            <m:sty m:val="p"/>
          </m:rPr>
          <m:t>L</m:t>
        </m:r>
        <m:r>
          <m:rPr>
            <m:sty m:val="p"/>
          </m:rPr>
          <m:t>|</m:t>
        </m:r>
        <m:r>
          <m:rPr>
            <m:sty m:val="p"/>
          </m:rPr>
          <m:t>∥</m:t>
        </m:r>
        <m:sSubSup>
          <m:e>
            <m:r>
              <m:t>ℓ</m:t>
            </m:r>
          </m:e>
          <m:sub>
            <m:r>
              <m:t>1</m:t>
            </m:r>
          </m:sub>
          <m:sup>
            <m:r>
              <m:rPr>
                <m:sty m:val="p"/>
              </m:rPr>
              <m:t>[</m:t>
            </m:r>
            <m:r>
              <m:t>t</m:t>
            </m:r>
            <m:r>
              <m:rPr>
                <m:sty m:val="p"/>
              </m:rPr>
              <m:t>]</m:t>
            </m:r>
          </m:sup>
        </m:sSubSup>
        <m:r>
          <m:rPr>
            <m:sty m:val="p"/>
          </m:rPr>
          <m:t>∥</m:t>
        </m:r>
        <m:r>
          <m:rPr>
            <m:sty m:val="p"/>
          </m:rPr>
          <m:t>⋯</m:t>
        </m:r>
        <m:r>
          <m:rPr>
            <m:sty m:val="p"/>
          </m:rPr>
          <m:t>∥</m:t>
        </m:r>
        <m:sSubSup>
          <m:e>
            <m:r>
              <m:t>ℓ</m:t>
            </m:r>
          </m:e>
          <m:sub>
            <m:r>
              <m:rPr>
                <m:sty m:val="p"/>
              </m:rPr>
              <m:t>|</m:t>
            </m:r>
            <m:r>
              <m:rPr>
                <m:scr m:val="script"/>
                <m:sty m:val="p"/>
              </m:rPr>
              <m:t>L</m:t>
            </m:r>
            <m:r>
              <m:rPr>
                <m:sty m:val="p"/>
              </m:rPr>
              <m:t>|</m:t>
            </m:r>
          </m:sub>
          <m:sup>
            <m:r>
              <m:rPr>
                <m:sty m:val="p"/>
              </m:rPr>
              <m:t>[</m:t>
            </m:r>
            <m:r>
              <m:t>t</m:t>
            </m:r>
            <m:r>
              <m:rPr>
                <m:sty m:val="p"/>
              </m:rPr>
              <m:t>]</m:t>
            </m:r>
          </m:sup>
        </m:sSubSup>
      </m:oMath>
      <w:r>
        <w:t xml:space="preserve"> </w:t>
      </w:r>
      <m:oMath>
        <m:r>
          <m:t>α</m:t>
        </m:r>
        <m:r>
          <m:rPr>
            <m:sty m:val="p"/>
          </m:rPr>
          <m:t>←</m:t>
        </m:r>
        <m:r>
          <m:rPr>
            <m:scr m:val="sans-serif"/>
            <m:sty m:val="p"/>
          </m:rPr>
          <m:t>Z</m:t>
        </m:r>
        <m:r>
          <m:rPr>
            <m:scr m:val="sans-serif"/>
            <m:sty m:val="p"/>
          </m:rPr>
          <m:t>s</m:t>
        </m:r>
        <m:r>
          <m:rPr>
            <m:scr m:val="sans-serif"/>
            <m:sty m:val="p"/>
          </m:rPr>
          <m:t>t</m:t>
        </m:r>
        <m:r>
          <m:rPr>
            <m:scr m:val="sans-serif"/>
            <m:sty m:val="p"/>
          </m:rPr>
          <m:t>d</m:t>
        </m:r>
        <m:r>
          <m:rPr>
            <m:scr m:val="sans-serif"/>
            <m:sty m:val="p"/>
          </m:rPr>
          <m:t>.</m:t>
        </m:r>
        <m:r>
          <m:rPr>
            <m:scr m:val="sans-serif"/>
            <m:sty m:val="p"/>
          </m:rPr>
          <m:t>C</m:t>
        </m:r>
        <m:r>
          <m:rPr>
            <m:scr m:val="sans-serif"/>
            <m:sty m:val="p"/>
          </m:rPr>
          <m:t>o</m:t>
        </m:r>
        <m:r>
          <m:rPr>
            <m:scr m:val="sans-serif"/>
            <m:sty m:val="p"/>
          </m:rPr>
          <m:t>m</m:t>
        </m:r>
        <m:r>
          <m:rPr>
            <m:scr m:val="sans-serif"/>
            <m:sty m:val="p"/>
          </m:rPr>
          <m:t>p</m:t>
        </m:r>
        <m:r>
          <m:rPr>
            <m:scr m:val="sans-serif"/>
            <m:sty m:val="p"/>
          </m:rPr>
          <m:t>r</m:t>
        </m:r>
        <m:r>
          <m:rPr>
            <m:scr m:val="sans-serif"/>
            <m:sty m:val="p"/>
          </m:rPr>
          <m:t>e</m:t>
        </m:r>
        <m:r>
          <m:rPr>
            <m:scr m:val="sans-serif"/>
            <m:sty m:val="p"/>
          </m:rPr>
          <m:t>s</m:t>
        </m:r>
        <m:r>
          <m:rPr>
            <m:scr m:val="sans-serif"/>
            <m:sty m:val="p"/>
          </m:rPr>
          <m:t>s</m:t>
        </m:r>
        <m:r>
          <m:rPr>
            <m:sty m:val="p"/>
          </m:rPr>
          <m:t>(</m:t>
        </m:r>
        <m:r>
          <m:rPr>
            <m:scr m:val="sans-serif"/>
            <m:sty m:val="p"/>
          </m:rPr>
          <m:t>r</m:t>
        </m:r>
        <m:r>
          <m:rPr>
            <m:scr m:val="sans-serif"/>
            <m:sty m:val="p"/>
          </m:rPr>
          <m:t>a</m:t>
        </m:r>
        <m:r>
          <m:rPr>
            <m:scr m:val="sans-serif"/>
            <m:sty m:val="p"/>
          </m:rPr>
          <m:t>w</m:t>
        </m:r>
        <m:r>
          <m:rPr>
            <m:sty m:val="p"/>
          </m:rPr>
          <m:t>)</m:t>
        </m:r>
      </m:oMath>
      <w:r>
        <w:t xml:space="preserve"> </w:t>
      </w:r>
      <m:oMath>
        <m:r>
          <m:rPr>
            <m:sty m:val="p"/>
          </m:rPr>
          <m:t>(</m:t>
        </m:r>
        <m:r>
          <m:t>α</m:t>
        </m:r>
        <m:r>
          <m:rPr>
            <m:sty m:val="p"/>
          </m:rPr>
          <m:t>,</m:t>
        </m:r>
        <m:r>
          <m:rPr>
            <m:scr m:val="script"/>
            <m:sty m:val="p"/>
          </m:rPr>
          <m:t>H</m:t>
        </m:r>
        <m:r>
          <m:rPr>
            <m:sty m:val="p"/>
          </m:rPr>
          <m:t>)</m:t>
        </m:r>
      </m:oMath>
    </w:p>
    <w:bookmarkEnd w:id="24"/>
    <w:bookmarkStart w:id="25" w:name="verification"/>
    <w:p>
      <w:pPr>
        <w:pStyle w:val="Heading2"/>
      </w:pPr>
      <w:r>
        <w:t xml:space="preserve">Verification</w:t>
      </w:r>
    </w:p>
    <w:p>
      <w:pPr>
        <w:pStyle w:val="FirstParagraph"/>
      </w:pPr>
      <w:r>
        <w:t xml:space="preserve">Aggregate verification requires the verifier to possess the original messages and the corresponding public keys. The verifier reconstructs the Merkle tree from the messages and their individual signatures, then checks that the computed root matches the aggregate root. Algorithm </w:t>
      </w:r>
      <w:hyperlink w:anchor="alg:aggregate_verify">
        <w:r>
          <w:rPr>
            <w:rStyle w:val="Hyperlink"/>
          </w:rPr>
          <w:t xml:space="preserve">[alg:aggregate_verify]</w:t>
        </w:r>
      </w:hyperlink>
      <w:r>
        <w:t xml:space="preserve"> </w:t>
      </w:r>
      <w:r>
        <w:t xml:space="preserve">formalizes this procedure.</w:t>
      </w:r>
    </w:p>
    <w:p>
      <w:pPr>
        <w:pStyle w:val="BodyText"/>
      </w:pPr>
      <w:r>
        <w:t xml:space="preserve">Aggregate</w:t>
      </w:r>
      <w:r>
        <w:t xml:space="preserve"> </w:t>
      </w:r>
      <m:oMath>
        <m:r>
          <m:rPr>
            <m:sty m:val="p"/>
          </m:rPr>
          <m:t>(</m:t>
        </m:r>
        <m:r>
          <m:t>α</m:t>
        </m:r>
        <m:r>
          <m:rPr>
            <m:sty m:val="p"/>
          </m:rPr>
          <m:t>,</m:t>
        </m:r>
        <m:r>
          <m:rPr>
            <m:scr m:val="script"/>
            <m:sty m:val="p"/>
          </m:rPr>
          <m:t>H</m:t>
        </m:r>
        <m:r>
          <m:rPr>
            <m:sty m:val="p"/>
          </m:rPr>
          <m:t>)</m:t>
        </m:r>
      </m:oMath>
      <w:r>
        <w:t xml:space="preserve">, messages</w:t>
      </w:r>
      <w:r>
        <w:t xml:space="preserve"> </w:t>
      </w:r>
      <m:oMath>
        <m:r>
          <m:rPr>
            <m:sty m:val="p"/>
          </m:rPr>
          <m:t>{</m:t>
        </m:r>
        <m:r>
          <m:rPr>
            <m:sty m:val="p"/>
          </m:rPr>
          <m:t>(</m:t>
        </m:r>
        <m:sSub>
          <m:e>
            <m:r>
              <m:t>m</m:t>
            </m:r>
          </m:e>
          <m:sub>
            <m:r>
              <m:t>i</m:t>
            </m:r>
          </m:sub>
        </m:sSub>
        <m:r>
          <m:rPr>
            <m:sty m:val="p"/>
          </m:rPr>
          <m:t>,</m:t>
        </m:r>
        <m:sSub>
          <m:e>
            <m:r>
              <m:t>σ</m:t>
            </m:r>
          </m:e>
          <m:sub>
            <m:r>
              <m:t>i</m:t>
            </m:r>
          </m:sub>
        </m:sSub>
        <m:r>
          <m:rPr>
            <m:sty m:val="p"/>
          </m:rPr>
          <m:t>,</m:t>
        </m:r>
        <m:r>
          <m:t>p</m:t>
        </m:r>
        <m:sSub>
          <m:e>
            <m:r>
              <m:t>k</m:t>
            </m:r>
          </m:e>
          <m:sub>
            <m:r>
              <m:t>i</m:t>
            </m:r>
          </m:sub>
        </m:sSub>
        <m:r>
          <m:rPr>
            <m:sty m:val="p"/>
          </m:rPr>
          <m:t>)</m:t>
        </m:r>
        <m:sSubSup>
          <m:e>
            <m:r>
              <m:rPr>
                <m:sty m:val="p"/>
              </m:rPr>
              <m:t>}</m:t>
            </m:r>
          </m:e>
          <m:sub>
            <m:r>
              <m:t>i</m:t>
            </m:r>
            <m:r>
              <m:rPr>
                <m:sty m:val="p"/>
              </m:rPr>
              <m:t>=</m:t>
            </m:r>
            <m:r>
              <m:t>1</m:t>
            </m:r>
          </m:sub>
          <m:sup>
            <m:r>
              <m:t>N</m:t>
            </m:r>
          </m:sup>
        </m:sSubSup>
      </m:oMath>
      <w:r>
        <w:t xml:space="preserve"> </w:t>
      </w:r>
      <w:r>
        <w:t xml:space="preserve">Verification result</w:t>
      </w:r>
      <w:r>
        <w:t xml:space="preserve"> </w:t>
      </w:r>
      <m:oMath>
        <m:r>
          <m:rPr>
            <m:sty m:val="p"/>
          </m:rPr>
          <m:t>(</m:t>
        </m:r>
        <m:r>
          <m:t>b</m:t>
        </m:r>
        <m:r>
          <m:rPr>
            <m:sty m:val="p"/>
          </m:rPr>
          <m:t>,</m:t>
        </m:r>
        <m:r>
          <m:t>V</m:t>
        </m:r>
        <m:r>
          <m:rPr>
            <m:sty m:val="p"/>
          </m:rPr>
          <m:t>,</m:t>
        </m:r>
        <m:r>
          <m:t>I</m:t>
        </m:r>
        <m:r>
          <m:rPr>
            <m:sty m:val="p"/>
          </m:rPr>
          <m:t>)</m:t>
        </m:r>
      </m:oMath>
      <w:r>
        <w:t xml:space="preserve"> </w:t>
      </w:r>
      <m:oMath>
        <m:r>
          <m:rPr>
            <m:sty m:val="p"/>
          </m:rPr>
          <m:t>(</m:t>
        </m:r>
        <m:r>
          <m:rPr>
            <m:scr m:val="sans-serif"/>
            <m:sty m:val="p"/>
          </m:rPr>
          <m:t>r</m:t>
        </m:r>
        <m:r>
          <m:rPr>
            <m:scr m:val="sans-serif"/>
            <m:sty m:val="p"/>
          </m:rPr>
          <m:t>o</m:t>
        </m:r>
        <m:r>
          <m:rPr>
            <m:scr m:val="sans-serif"/>
            <m:sty m:val="p"/>
          </m:rPr>
          <m:t>o</m:t>
        </m:r>
        <m:r>
          <m:rPr>
            <m:scr m:val="sans-serif"/>
            <m:sty m:val="p"/>
          </m:rPr>
          <m:t>t</m:t>
        </m:r>
        <m:r>
          <m:rPr>
            <m:sty m:val="p"/>
          </m:rPr>
          <m:t>,</m:t>
        </m:r>
        <m:sSup>
          <m:e>
            <m:r>
              <m:t>N</m:t>
            </m:r>
          </m:e>
          <m:sup>
            <m:r>
              <m:rPr>
                <m:sty m:val="p"/>
              </m:rPr>
              <m:t>′</m:t>
            </m:r>
          </m:sup>
        </m:sSup>
        <m:r>
          <m:rPr>
            <m:sty m:val="p"/>
          </m:rPr>
          <m:t>,</m:t>
        </m:r>
        <m:sSubSup>
          <m:e>
            <m:r>
              <m:t>ℓ</m:t>
            </m:r>
          </m:e>
          <m:sub>
            <m:r>
              <m:t>1</m:t>
            </m:r>
          </m:sub>
          <m:sup>
            <m:r>
              <m:rPr>
                <m:sty m:val="p"/>
              </m:rPr>
              <m:t>[</m:t>
            </m:r>
            <m:r>
              <m:t>t</m:t>
            </m:r>
            <m:r>
              <m:rPr>
                <m:sty m:val="p"/>
              </m:rPr>
              <m:t>]</m:t>
            </m:r>
          </m:sup>
        </m:sSubSup>
        <m:r>
          <m:rPr>
            <m:sty m:val="p"/>
          </m:rPr>
          <m:t>,</m:t>
        </m:r>
        <m:r>
          <m:rPr>
            <m:sty m:val="p"/>
          </m:rPr>
          <m:t>…</m:t>
        </m:r>
        <m:r>
          <m:rPr>
            <m:sty m:val="p"/>
          </m:rPr>
          <m:t>,</m:t>
        </m:r>
        <m:sSubSup>
          <m:e>
            <m:r>
              <m:t>ℓ</m:t>
            </m:r>
          </m:e>
          <m:sub>
            <m:sSup>
              <m:e>
                <m:r>
                  <m:t>N</m:t>
                </m:r>
              </m:e>
              <m:sup>
                <m:r>
                  <m:rPr>
                    <m:sty m:val="p"/>
                  </m:rPr>
                  <m:t>′</m:t>
                </m:r>
              </m:sup>
            </m:sSup>
          </m:sub>
          <m:sup>
            <m:r>
              <m:rPr>
                <m:sty m:val="p"/>
              </m:rPr>
              <m:t>[</m:t>
            </m:r>
            <m:r>
              <m:t>t</m:t>
            </m:r>
            <m:r>
              <m:rPr>
                <m:sty m:val="p"/>
              </m:rPr>
              <m:t>]</m:t>
            </m:r>
          </m:sup>
        </m:sSubSup>
        <m:r>
          <m:rPr>
            <m:sty m:val="p"/>
          </m:rPr>
          <m:t>)</m:t>
        </m:r>
        <m:r>
          <m:rPr>
            <m:sty m:val="p"/>
          </m:rPr>
          <m:t>←</m:t>
        </m:r>
        <m:r>
          <m:rPr>
            <m:scr m:val="sans-serif"/>
            <m:sty m:val="p"/>
          </m:rPr>
          <m:t>Z</m:t>
        </m:r>
        <m:r>
          <m:rPr>
            <m:scr m:val="sans-serif"/>
            <m:sty m:val="p"/>
          </m:rPr>
          <m:t>s</m:t>
        </m:r>
        <m:r>
          <m:rPr>
            <m:scr m:val="sans-serif"/>
            <m:sty m:val="p"/>
          </m:rPr>
          <m:t>t</m:t>
        </m:r>
        <m:r>
          <m:rPr>
            <m:scr m:val="sans-serif"/>
            <m:sty m:val="p"/>
          </m:rPr>
          <m:t>d</m:t>
        </m:r>
        <m:r>
          <m:rPr>
            <m:scr m:val="sans-serif"/>
            <m:sty m:val="p"/>
          </m:rPr>
          <m:t>.</m:t>
        </m:r>
        <m:r>
          <m:rPr>
            <m:scr m:val="sans-serif"/>
            <m:sty m:val="p"/>
          </m:rPr>
          <m:t>D</m:t>
        </m:r>
        <m:r>
          <m:rPr>
            <m:scr m:val="sans-serif"/>
            <m:sty m:val="p"/>
          </m:rPr>
          <m:t>e</m:t>
        </m:r>
        <m:r>
          <m:rPr>
            <m:scr m:val="sans-serif"/>
            <m:sty m:val="p"/>
          </m:rPr>
          <m:t>c</m:t>
        </m:r>
        <m:r>
          <m:rPr>
            <m:scr m:val="sans-serif"/>
            <m:sty m:val="p"/>
          </m:rPr>
          <m:t>o</m:t>
        </m:r>
        <m:r>
          <m:rPr>
            <m:scr m:val="sans-serif"/>
            <m:sty m:val="p"/>
          </m:rPr>
          <m:t>m</m:t>
        </m:r>
        <m:r>
          <m:rPr>
            <m:scr m:val="sans-serif"/>
            <m:sty m:val="p"/>
          </m:rPr>
          <m:t>p</m:t>
        </m:r>
        <m:r>
          <m:rPr>
            <m:scr m:val="sans-serif"/>
            <m:sty m:val="p"/>
          </m:rPr>
          <m:t>r</m:t>
        </m:r>
        <m:r>
          <m:rPr>
            <m:scr m:val="sans-serif"/>
            <m:sty m:val="p"/>
          </m:rPr>
          <m:t>e</m:t>
        </m:r>
        <m:r>
          <m:rPr>
            <m:scr m:val="sans-serif"/>
            <m:sty m:val="p"/>
          </m:rPr>
          <m:t>s</m:t>
        </m:r>
        <m:r>
          <m:rPr>
            <m:scr m:val="sans-serif"/>
            <m:sty m:val="p"/>
          </m:rPr>
          <m:t>s</m:t>
        </m:r>
        <m:r>
          <m:rPr>
            <m:sty m:val="p"/>
          </m:rPr>
          <m:t>(</m:t>
        </m:r>
        <m:r>
          <m:t>α</m:t>
        </m:r>
        <m:r>
          <m:rPr>
            <m:sty m:val="p"/>
          </m:rPr>
          <m:t>)</m:t>
        </m:r>
      </m:oMath>
      <w:r>
        <w:t xml:space="preserve"> </w:t>
      </w:r>
      <m:oMath>
        <m:r>
          <m:rPr>
            <m:sty m:val="p"/>
          </m:rPr>
          <m:t>(</m:t>
        </m:r>
        <m:r>
          <m:rPr>
            <m:scr m:val="sans-serif"/>
            <m:sty m:val="p"/>
          </m:rPr>
          <m:t>f</m:t>
        </m:r>
        <m:r>
          <m:rPr>
            <m:scr m:val="sans-serif"/>
            <m:sty m:val="p"/>
          </m:rPr>
          <m:t>a</m:t>
        </m:r>
        <m:r>
          <m:rPr>
            <m:scr m:val="sans-serif"/>
            <m:sty m:val="p"/>
          </m:rPr>
          <m:t>l</m:t>
        </m:r>
        <m:r>
          <m:rPr>
            <m:scr m:val="sans-serif"/>
            <m:sty m:val="p"/>
          </m:rPr>
          <m:t>s</m:t>
        </m:r>
        <m:r>
          <m:rPr>
            <m:scr m:val="sans-serif"/>
            <m:sty m:val="p"/>
          </m:rPr>
          <m:t>e</m:t>
        </m:r>
        <m:r>
          <m:rPr>
            <m:sty m:val="p"/>
          </m:rPr>
          <m:t>,</m:t>
        </m:r>
        <m:r>
          <m:t>0</m:t>
        </m:r>
        <m:r>
          <m:rPr>
            <m:sty m:val="p"/>
          </m:rPr>
          <m:t>,</m:t>
        </m:r>
        <m:r>
          <m:rPr>
            <m:sty m:val="p"/>
          </m:rPr>
          <m:t>∅</m:t>
        </m:r>
        <m:r>
          <m:rPr>
            <m:sty m:val="p"/>
          </m:rPr>
          <m:t>)</m:t>
        </m:r>
      </m:oMath>
      <w:r>
        <w:t xml:space="preserve"> </w:t>
      </w:r>
      <m:oMath>
        <m:sSup>
          <m:e>
            <m:r>
              <m:rPr>
                <m:scr m:val="script"/>
                <m:sty m:val="p"/>
              </m:rPr>
              <m:t>L</m:t>
            </m:r>
          </m:e>
          <m:sup>
            <m:r>
              <m:rPr>
                <m:sty m:val="p"/>
              </m:rPr>
              <m:t>′</m:t>
            </m:r>
          </m:sup>
        </m:sSup>
        <m:r>
          <m:rPr>
            <m:sty m:val="p"/>
          </m:rPr>
          <m:t>←</m:t>
        </m:r>
        <m:r>
          <m:rPr>
            <m:sty m:val="p"/>
          </m:rPr>
          <m:t>∅</m:t>
        </m:r>
      </m:oMath>
      <w:r>
        <w:t xml:space="preserve">;</w:t>
      </w:r>
      <w:r>
        <w:t xml:space="preserve"> </w:t>
      </w:r>
      <m:oMath>
        <m:r>
          <m:t>I</m:t>
        </m:r>
        <m:r>
          <m:rPr>
            <m:sty m:val="p"/>
          </m:rPr>
          <m:t>←</m:t>
        </m:r>
        <m:r>
          <m:rPr>
            <m:sty m:val="p"/>
          </m:rPr>
          <m:t>∅</m:t>
        </m:r>
      </m:oMath>
      <w:r>
        <w:t xml:space="preserve"> </w:t>
      </w:r>
      <m:oMath>
        <m:sSubSup>
          <m:e>
            <m:r>
              <m:t>h</m:t>
            </m:r>
          </m:e>
          <m:sub>
            <m:r>
              <m:t>i</m:t>
            </m:r>
          </m:sub>
          <m:sup>
            <m:r>
              <m:rPr>
                <m:sty m:val="p"/>
              </m:rPr>
              <m:t>′</m:t>
            </m:r>
          </m:sup>
        </m:sSubSup>
        <m:r>
          <m:rPr>
            <m:sty m:val="p"/>
          </m:rPr>
          <m:t>←</m:t>
        </m:r>
        <m:r>
          <m:t>H</m:t>
        </m:r>
        <m:r>
          <m:rPr>
            <m:sty m:val="p"/>
          </m:rPr>
          <m:t>(</m:t>
        </m:r>
        <m:sSub>
          <m:e>
            <m:r>
              <m:rPr>
                <m:scr m:val="sans-serif"/>
                <m:sty m:val="p"/>
              </m:rPr>
              <m:t>i</m:t>
            </m:r>
            <m:r>
              <m:rPr>
                <m:scr m:val="sans-serif"/>
                <m:sty m:val="p"/>
              </m:rPr>
              <m:t>d</m:t>
            </m:r>
          </m:e>
          <m:sub>
            <m:r>
              <m:t>i</m:t>
            </m:r>
          </m:sub>
        </m:sSub>
        <m:r>
          <m:rPr>
            <m:sty m:val="p"/>
          </m:rPr>
          <m:t>∥</m:t>
        </m:r>
        <m:sSub>
          <m:e>
            <m:r>
              <m:t>m</m:t>
            </m:r>
          </m:e>
          <m:sub>
            <m:r>
              <m:t>i</m:t>
            </m:r>
          </m:sub>
        </m:sSub>
        <m:r>
          <m:rPr>
            <m:sty m:val="p"/>
          </m:rPr>
          <m:t>∥</m:t>
        </m:r>
        <m:r>
          <m:t>H</m:t>
        </m:r>
        <m:r>
          <m:rPr>
            <m:sty m:val="p"/>
          </m:rPr>
          <m:t>(</m:t>
        </m:r>
        <m:r>
          <m:t>p</m:t>
        </m:r>
        <m:sSub>
          <m:e>
            <m:r>
              <m:t>k</m:t>
            </m:r>
          </m:e>
          <m:sub>
            <m:r>
              <m:t>i</m:t>
            </m:r>
          </m:sub>
        </m:sSub>
        <m:r>
          <m:rPr>
            <m:sty m:val="p"/>
          </m:rPr>
          <m:t>)</m:t>
        </m:r>
        <m:r>
          <m:rPr>
            <m:sty m:val="p"/>
          </m:rPr>
          <m:t>)</m:t>
        </m:r>
      </m:oMath>
      <w:r>
        <w:t xml:space="preserve"> </w:t>
      </w:r>
      <m:oMath>
        <m:r>
          <m:t>I</m:t>
        </m:r>
        <m:r>
          <m:rPr>
            <m:sty m:val="p"/>
          </m:rPr>
          <m:t>←</m:t>
        </m:r>
        <m:r>
          <m:t>I</m:t>
        </m:r>
        <m:r>
          <m:rPr>
            <m:sty m:val="p"/>
          </m:rPr>
          <m:t>∪</m:t>
        </m:r>
        <m:r>
          <m:rPr>
            <m:sty m:val="p"/>
          </m:rPr>
          <m:t>{</m:t>
        </m:r>
        <m:r>
          <m:t>i</m:t>
        </m:r>
        <m:r>
          <m:rPr>
            <m:sty m:val="p"/>
          </m:rPr>
          <m:t>}</m:t>
        </m:r>
      </m:oMath>
      <w:r>
        <w:t xml:space="preserve">;</w:t>
      </w:r>
      <w:r>
        <w:t xml:space="preserve"> </w:t>
      </w:r>
      <w:r>
        <w:rPr>
          <w:b/>
          <w:bCs/>
        </w:rPr>
        <w:t xml:space="preserve">continue</w:t>
      </w:r>
      <w:r>
        <w:t xml:space="preserve"> </w:t>
      </w:r>
      <m:oMath>
        <m:sSubSup>
          <m:e>
            <m:r>
              <m:t>ℓ</m:t>
            </m:r>
          </m:e>
          <m:sub>
            <m:r>
              <m:t>i</m:t>
            </m:r>
          </m:sub>
          <m:sup>
            <m:r>
              <m:rPr>
                <m:sty m:val="p"/>
              </m:rPr>
              <m:t>′</m:t>
            </m:r>
          </m:sup>
        </m:sSubSup>
        <m:r>
          <m:rPr>
            <m:sty m:val="p"/>
          </m:rPr>
          <m:t>←</m:t>
        </m:r>
        <m:r>
          <m:t>H</m:t>
        </m:r>
        <m:r>
          <m:rPr>
            <m:sty m:val="p"/>
          </m:rPr>
          <m:t>(</m:t>
        </m:r>
        <m:sSubSup>
          <m:e>
            <m:r>
              <m:t>h</m:t>
            </m:r>
          </m:e>
          <m:sub>
            <m:r>
              <m:t>i</m:t>
            </m:r>
          </m:sub>
          <m:sup>
            <m:r>
              <m:rPr>
                <m:sty m:val="p"/>
              </m:rPr>
              <m:t>′</m:t>
            </m:r>
          </m:sup>
        </m:sSubSup>
        <m:r>
          <m:rPr>
            <m:sty m:val="p"/>
          </m:rPr>
          <m:t>∥</m:t>
        </m:r>
        <m:sSub>
          <m:e>
            <m:r>
              <m:t>σ</m:t>
            </m:r>
          </m:e>
          <m:sub>
            <m:r>
              <m:t>i</m:t>
            </m:r>
          </m:sub>
        </m:sSub>
        <m:r>
          <m:rPr>
            <m:sty m:val="p"/>
          </m:rPr>
          <m:t>)</m:t>
        </m:r>
      </m:oMath>
      <w:r>
        <w:t xml:space="preserve"> </w:t>
      </w:r>
      <m:oMath>
        <m:sSup>
          <m:e>
            <m:r>
              <m:rPr>
                <m:scr m:val="script"/>
                <m:sty m:val="p"/>
              </m:rPr>
              <m:t>L</m:t>
            </m:r>
          </m:e>
          <m:sup>
            <m:r>
              <m:rPr>
                <m:sty m:val="p"/>
              </m:rPr>
              <m:t>′</m:t>
            </m:r>
          </m:sup>
        </m:sSup>
        <m:r>
          <m:rPr>
            <m:sty m:val="p"/>
          </m:rPr>
          <m:t>←</m:t>
        </m:r>
        <m:sSup>
          <m:e>
            <m:r>
              <m:rPr>
                <m:scr m:val="script"/>
                <m:sty m:val="p"/>
              </m:rPr>
              <m:t>L</m:t>
            </m:r>
          </m:e>
          <m:sup>
            <m:r>
              <m:rPr>
                <m:sty m:val="p"/>
              </m:rPr>
              <m:t>′</m:t>
            </m:r>
          </m:sup>
        </m:sSup>
        <m:r>
          <m:rPr>
            <m:sty m:val="p"/>
          </m:rPr>
          <m:t>∪</m:t>
        </m:r>
        <m:r>
          <m:rPr>
            <m:sty m:val="p"/>
          </m:rPr>
          <m:t>{</m:t>
        </m:r>
        <m:sSubSup>
          <m:e>
            <m:r>
              <m:t>ℓ</m:t>
            </m:r>
          </m:e>
          <m:sub>
            <m:r>
              <m:t>i</m:t>
            </m:r>
          </m:sub>
          <m:sup>
            <m:r>
              <m:rPr>
                <m:sty m:val="p"/>
              </m:rPr>
              <m:t>′</m:t>
            </m:r>
          </m:sup>
        </m:sSubSup>
        <m:r>
          <m:rPr>
            <m:sty m:val="p"/>
          </m:rPr>
          <m:t>}</m:t>
        </m:r>
      </m:oMath>
      <w:r>
        <w:t xml:space="preserve"> </w:t>
      </w:r>
      <m:oMath>
        <m:sSup>
          <m:e>
            <m:r>
              <m:rPr>
                <m:scr m:val="sans-serif"/>
                <m:sty m:val="p"/>
              </m:rPr>
              <m:t>r</m:t>
            </m:r>
            <m:r>
              <m:rPr>
                <m:scr m:val="sans-serif"/>
                <m:sty m:val="p"/>
              </m:rPr>
              <m:t>o</m:t>
            </m:r>
            <m:r>
              <m:rPr>
                <m:scr m:val="sans-serif"/>
                <m:sty m:val="p"/>
              </m:rPr>
              <m:t>o</m:t>
            </m:r>
            <m:r>
              <m:rPr>
                <m:scr m:val="sans-serif"/>
                <m:sty m:val="p"/>
              </m:rPr>
              <m:t>t</m:t>
            </m:r>
          </m:e>
          <m:sup>
            <m:r>
              <m:rPr>
                <m:sty m:val="p"/>
              </m:rPr>
              <m:t>′</m:t>
            </m:r>
          </m:sup>
        </m:sSup>
        <m:r>
          <m:rPr>
            <m:sty m:val="p"/>
          </m:rPr>
          <m:t>←</m:t>
        </m:r>
        <m:r>
          <m:rPr>
            <m:scr m:val="sans-serif"/>
            <m:sty m:val="p"/>
          </m:rPr>
          <m:t>B</m:t>
        </m:r>
        <m:r>
          <m:rPr>
            <m:scr m:val="sans-serif"/>
            <m:sty m:val="p"/>
          </m:rPr>
          <m:t>u</m:t>
        </m:r>
        <m:r>
          <m:rPr>
            <m:scr m:val="sans-serif"/>
            <m:sty m:val="p"/>
          </m:rPr>
          <m:t>i</m:t>
        </m:r>
        <m:r>
          <m:rPr>
            <m:scr m:val="sans-serif"/>
            <m:sty m:val="p"/>
          </m:rPr>
          <m:t>l</m:t>
        </m:r>
        <m:r>
          <m:rPr>
            <m:scr m:val="sans-serif"/>
            <m:sty m:val="p"/>
          </m:rPr>
          <m:t>d</m:t>
        </m:r>
        <m:r>
          <m:rPr>
            <m:scr m:val="sans-serif"/>
            <m:sty m:val="p"/>
          </m:rPr>
          <m:t>M</m:t>
        </m:r>
        <m:r>
          <m:rPr>
            <m:scr m:val="sans-serif"/>
            <m:sty m:val="p"/>
          </m:rPr>
          <m:t>e</m:t>
        </m:r>
        <m:r>
          <m:rPr>
            <m:scr m:val="sans-serif"/>
            <m:sty m:val="p"/>
          </m:rPr>
          <m:t>r</m:t>
        </m:r>
        <m:r>
          <m:rPr>
            <m:scr m:val="sans-serif"/>
            <m:sty m:val="p"/>
          </m:rPr>
          <m:t>k</m:t>
        </m:r>
        <m:r>
          <m:rPr>
            <m:scr m:val="sans-serif"/>
            <m:sty m:val="p"/>
          </m:rPr>
          <m:t>l</m:t>
        </m:r>
        <m:r>
          <m:rPr>
            <m:scr m:val="sans-serif"/>
            <m:sty m:val="p"/>
          </m:rPr>
          <m:t>e</m:t>
        </m:r>
        <m:r>
          <m:rPr>
            <m:scr m:val="sans-serif"/>
            <m:sty m:val="p"/>
          </m:rPr>
          <m:t>T</m:t>
        </m:r>
        <m:r>
          <m:rPr>
            <m:scr m:val="sans-serif"/>
            <m:sty m:val="p"/>
          </m:rPr>
          <m:t>r</m:t>
        </m:r>
        <m:r>
          <m:rPr>
            <m:scr m:val="sans-serif"/>
            <m:sty m:val="p"/>
          </m:rPr>
          <m:t>e</m:t>
        </m:r>
        <m:r>
          <m:rPr>
            <m:scr m:val="sans-serif"/>
            <m:sty m:val="p"/>
          </m:rPr>
          <m:t>e</m:t>
        </m:r>
        <m:r>
          <m:rPr>
            <m:sty m:val="p"/>
          </m:rPr>
          <m:t>(</m:t>
        </m:r>
        <m:sSup>
          <m:e>
            <m:r>
              <m:rPr>
                <m:scr m:val="script"/>
                <m:sty m:val="p"/>
              </m:rPr>
              <m:t>L</m:t>
            </m:r>
          </m:e>
          <m:sup>
            <m:r>
              <m:rPr>
                <m:sty m:val="p"/>
              </m:rPr>
              <m:t>′</m:t>
            </m:r>
          </m:sup>
        </m:sSup>
        <m:r>
          <m:rPr>
            <m:sty m:val="p"/>
          </m:rPr>
          <m:t>)</m:t>
        </m:r>
      </m:oMath>
      <w:r>
        <w:t xml:space="preserve"> </w:t>
      </w:r>
      <m:oMath>
        <m:r>
          <m:t>b</m:t>
        </m:r>
        <m:r>
          <m:rPr>
            <m:sty m:val="p"/>
          </m:rPr>
          <m:t>←</m:t>
        </m:r>
        <m:r>
          <m:rPr>
            <m:sty m:val="p"/>
          </m:rPr>
          <m:t>(</m:t>
        </m:r>
        <m:sSup>
          <m:e>
            <m:r>
              <m:rPr>
                <m:scr m:val="sans-serif"/>
                <m:sty m:val="p"/>
              </m:rPr>
              <m:t>r</m:t>
            </m:r>
            <m:r>
              <m:rPr>
                <m:scr m:val="sans-serif"/>
                <m:sty m:val="p"/>
              </m:rPr>
              <m:t>o</m:t>
            </m:r>
            <m:r>
              <m:rPr>
                <m:scr m:val="sans-serif"/>
                <m:sty m:val="p"/>
              </m:rPr>
              <m:t>o</m:t>
            </m:r>
            <m:r>
              <m:rPr>
                <m:scr m:val="sans-serif"/>
                <m:sty m:val="p"/>
              </m:rPr>
              <m:t>t</m:t>
            </m:r>
          </m:e>
          <m:sup>
            <m:r>
              <m:rPr>
                <m:sty m:val="p"/>
              </m:rPr>
              <m:t>′</m:t>
            </m:r>
          </m:sup>
        </m:sSup>
        <m:limUpp>
          <m:e>
            <m:r>
              <m:rPr>
                <m:sty m:val="p"/>
              </m:rPr>
              <m:t>=</m:t>
            </m:r>
          </m:e>
          <m:lim>
            <m:r>
              <m:rPr>
                <m:sty m:val="p"/>
              </m:rPr>
              <m:t>?</m:t>
            </m:r>
          </m:lim>
        </m:limUpp>
        <m:r>
          <m:rPr>
            <m:scr m:val="sans-serif"/>
            <m:sty m:val="p"/>
          </m:rPr>
          <m:t>r</m:t>
        </m:r>
        <m:r>
          <m:rPr>
            <m:scr m:val="sans-serif"/>
            <m:sty m:val="p"/>
          </m:rPr>
          <m:t>o</m:t>
        </m:r>
        <m:r>
          <m:rPr>
            <m:scr m:val="sans-serif"/>
            <m:sty m:val="p"/>
          </m:rPr>
          <m:t>o</m:t>
        </m:r>
        <m:r>
          <m:rPr>
            <m:scr m:val="sans-serif"/>
            <m:sty m:val="p"/>
          </m:rPr>
          <m:t>t</m:t>
        </m:r>
        <m:r>
          <m:rPr>
            <m:sty m:val="p"/>
          </m:rPr>
          <m:t>)</m:t>
        </m:r>
        <m:r>
          <m:rPr>
            <m:sty m:val="p"/>
          </m:rPr>
          <m:t>∧</m:t>
        </m:r>
        <m:r>
          <m:rPr>
            <m:sty m:val="p"/>
          </m:rPr>
          <m:t>(</m:t>
        </m:r>
        <m:r>
          <m:t>I</m:t>
        </m:r>
        <m:r>
          <m:rPr>
            <m:sty m:val="p"/>
          </m:rPr>
          <m:t>=</m:t>
        </m:r>
        <m:r>
          <m:rPr>
            <m:sty m:val="p"/>
          </m:rPr>
          <m:t>∅</m:t>
        </m:r>
        <m:r>
          <m:rPr>
            <m:sty m:val="p"/>
          </m:rPr>
          <m:t>)</m:t>
        </m:r>
      </m:oMath>
      <w:r>
        <w:t xml:space="preserve"> </w:t>
      </w:r>
      <m:oMath>
        <m:r>
          <m:rPr>
            <m:sty m:val="p"/>
          </m:rPr>
          <m:t>(</m:t>
        </m:r>
        <m:r>
          <m:t>b</m:t>
        </m:r>
        <m:r>
          <m:rPr>
            <m:sty m:val="p"/>
          </m:rPr>
          <m:t>,</m:t>
        </m:r>
        <m:r>
          <m:rPr>
            <m:sty m:val="p"/>
          </m:rPr>
          <m:t>|</m:t>
        </m:r>
        <m:sSup>
          <m:e>
            <m:r>
              <m:rPr>
                <m:scr m:val="script"/>
                <m:sty m:val="p"/>
              </m:rPr>
              <m:t>L</m:t>
            </m:r>
          </m:e>
          <m:sup>
            <m:r>
              <m:rPr>
                <m:sty m:val="p"/>
              </m:rPr>
              <m:t>′</m:t>
            </m:r>
          </m:sup>
        </m:sSup>
        <m:r>
          <m:rPr>
            <m:sty m:val="p"/>
          </m:rPr>
          <m:t>|</m:t>
        </m:r>
        <m:r>
          <m:rPr>
            <m:sty m:val="p"/>
          </m:rPr>
          <m:t>,</m:t>
        </m:r>
        <m:r>
          <m:t>I</m:t>
        </m:r>
        <m:r>
          <m:rPr>
            <m:sty m:val="p"/>
          </m:rPr>
          <m:t>)</m:t>
        </m:r>
      </m:oMath>
    </w:p>
    <w:bookmarkEnd w:id="25"/>
    <w:bookmarkStart w:id="27" w:name="compression-analysis"/>
    <w:p>
      <w:pPr>
        <w:pStyle w:val="Heading2"/>
      </w:pPr>
      <w:r>
        <w:t xml:space="preserve">Compression Analysis</w:t>
      </w:r>
    </w:p>
    <w:p>
      <w:pPr>
        <w:pStyle w:val="FirstParagraph"/>
      </w:pPr>
      <w:r>
        <w:t xml:space="preserve">The aggregate size for</w:t>
      </w:r>
      <w:r>
        <w:t xml:space="preserve"> </w:t>
      </w:r>
      <m:oMath>
        <m:r>
          <m:t>N</m:t>
        </m:r>
      </m:oMath>
      <w:r>
        <w:t xml:space="preserve"> </w:t>
      </w:r>
      <w:r>
        <w:t xml:space="preserve">messages with truncation parameter</w:t>
      </w:r>
      <w:r>
        <w:t xml:space="preserve"> </w:t>
      </w:r>
      <m:oMath>
        <m:r>
          <m:t>t</m:t>
        </m:r>
      </m:oMath>
      <w:r>
        <w:t xml:space="preserve"> </w:t>
      </w:r>
      <w:r>
        <w:t xml:space="preserve">is:</w:t>
      </w:r>
    </w:p>
    <w:p>
      <w:pPr>
        <w:pStyle w:val="BodyText"/>
      </w:pPr>
      <w:r>
        <w:t xml:space="preserve">$$\begin{equation}
        |\alpha| = \mathsf{Zstd}\left(32 + 2 + N \cdot t\right) \text{ bytes}
    \label{eq:agg_size}
    \end{equation}$$</w:t>
      </w:r>
    </w:p>
    <w:p>
      <w:pPr>
        <w:pStyle w:val="FirstParagraph"/>
      </w:pPr>
      <w:r>
        <w:t xml:space="preserve">The first 32 bytes are the Merkle root, 2 bytes encode the message count</w:t>
      </w:r>
      <w:r>
        <w:t xml:space="preserve"> </w:t>
      </w:r>
      <m:oMath>
        <m:r>
          <m:t>N</m:t>
        </m:r>
      </m:oMath>
      <w:r>
        <w:t xml:space="preserve">, and</w:t>
      </w:r>
      <w:r>
        <w:t xml:space="preserve"> </w:t>
      </w:r>
      <m:oMath>
        <m:r>
          <m:t>N</m:t>
        </m:r>
        <m:r>
          <m:rPr>
            <m:sty m:val="p"/>
          </m:rPr>
          <m:t>⋅</m:t>
        </m:r>
        <m:r>
          <m:t>t</m:t>
        </m:r>
      </m:oMath>
      <w:r>
        <w:t xml:space="preserve"> </w:t>
      </w:r>
      <w:r>
        <w:t xml:space="preserve">bytes represent the truncated leaf identifiers. With Zstd compression at level 19, empirical measurement shows approximately 15–25% additional reduction on this structured data.</w:t>
      </w:r>
    </w:p>
    <w:p>
      <w:pPr>
        <w:pStyle w:val="BodyText"/>
      </w:pPr>
      <w:r>
        <w:t xml:space="preserve">The compression ratio relative to transmitting all</w:t>
      </w:r>
      <w:r>
        <w:t xml:space="preserve"> </w:t>
      </w:r>
      <m:oMath>
        <m:r>
          <m:t>N</m:t>
        </m:r>
      </m:oMath>
      <w:r>
        <w:t xml:space="preserve"> </w:t>
      </w:r>
      <w:r>
        <w:t xml:space="preserve">individual signatures is:</w:t>
      </w:r>
    </w:p>
    <w:p>
      <w:pPr>
        <w:pStyle w:val="BodyText"/>
      </w:pPr>
      <m:oMathPara>
        <m:oMathParaPr>
          <m:jc m:val="center"/>
        </m:oMathParaPr>
        <m:oMath>
          <m:r>
            <m:t>r</m:t>
          </m:r>
          <m:r>
            <m:rPr>
              <m:sty m:val="p"/>
            </m:rPr>
            <m:t>=</m:t>
          </m:r>
          <m:f>
            <m:fPr>
              <m:type m:val="bar"/>
            </m:fPr>
            <m:num>
              <m:r>
                <m:rPr>
                  <m:sty m:val="p"/>
                </m:rPr>
                <m:t>|</m:t>
              </m:r>
              <m:r>
                <m:t>α</m:t>
              </m:r>
              <m:r>
                <m:rPr>
                  <m:sty m:val="p"/>
                </m:rPr>
                <m:t>|</m:t>
              </m:r>
            </m:num>
            <m:den>
              <m:r>
                <m:t>N</m:t>
              </m:r>
              <m:r>
                <m:rPr>
                  <m:sty m:val="p"/>
                </m:rPr>
                <m:t>⋅</m:t>
              </m:r>
              <m:r>
                <m:rPr>
                  <m:sty m:val="p"/>
                </m:rPr>
                <m:t>|</m:t>
              </m:r>
              <m:r>
                <m:t>σ</m:t>
              </m:r>
              <m:r>
                <m:rPr>
                  <m:sty m:val="p"/>
                </m:rPr>
                <m:t>|</m:t>
              </m:r>
            </m:den>
          </m:f>
        </m:oMath>
      </m:oMathPara>
    </w:p>
    <w:p>
      <w:pPr>
        <w:pStyle w:val="FirstParagraph"/>
      </w:pPr>
      <w:r>
        <w:t xml:space="preserve">Table </w:t>
      </w:r>
      <w:hyperlink w:anchor="tab:compression_results">
        <w:r>
          <w:rPr>
            <w:rStyle w:val="Hyperlink"/>
          </w:rPr>
          <w:t xml:space="preserve">4</w:t>
        </w:r>
      </w:hyperlink>
      <w:r>
        <w:t xml:space="preserve"> </w:t>
      </w:r>
      <w:r>
        <w:t xml:space="preserve">shows the achieved compression for each channel profile with ML-DSA-65 signatures (</w:t>
      </w:r>
      <m:oMath>
        <m:r>
          <m:rPr>
            <m:sty m:val="p"/>
          </m:rPr>
          <m:t>|</m:t>
        </m:r>
        <m:r>
          <m:t>σ</m:t>
        </m:r>
        <m:r>
          <m:rPr>
            <m:sty m:val="p"/>
          </m:rPr>
          <m:t>|</m:t>
        </m:r>
        <m:r>
          <m:rPr>
            <m:sty m:val="p"/>
          </m:rPr>
          <m:t>=</m:t>
        </m:r>
        <m:r>
          <m:t>3</m:t>
        </m:r>
        <m:r>
          <m:rPr>
            <m:sty m:val="p"/>
          </m:rPr>
          <m:t>,</m:t>
        </m:r>
        <m:r>
          <m:t>309</m:t>
        </m:r>
      </m:oMath>
      <w:r>
        <w:t xml:space="preserve"> bytes).</w:t>
      </w:r>
    </w:p>
    <w:bookmarkStart w:id="26" w:name="tab:compression_results"/>
    <w:p>
      <w:pPr>
        <w:pStyle w:val="TableCaption"/>
      </w:pPr>
      <w:r>
        <w:t xml:space="preserve">Aggregate Compression Results (ML-DSA-65,</w:t>
      </w:r>
      <w:r>
        <w:t xml:space="preserve"> </w:t>
      </w:r>
      <m:oMath>
        <m:r>
          <m:t>N</m:t>
        </m:r>
        <m:r>
          <m:rPr>
            <m:sty m:val="p"/>
          </m:rPr>
          <m:t>=</m:t>
        </m:r>
        <m:r>
          <m:t>32</m:t>
        </m:r>
      </m:oMath>
      <w:r>
        <w:t xml:space="preserve">)</w:t>
      </w:r>
    </w:p>
    <w:tbl>
      <w:tblPr>
        <w:tblStyle w:val="Table"/>
        <w:tblW w:type="auto" w:w="0"/>
        <w:tblLook w:firstRow="1" w:lastRow="0" w:firstColumn="0" w:lastColumn="0" w:noHBand="0" w:noVBand="0" w:val="0020"/>
        <w:tblCaption w:val="Aggregate Compression Results (ML-DSA-65, N=32)"/>
      </w:tblPr>
      <w:tblGrid>
        <w:gridCol w:w="1320"/>
        <w:gridCol w:w="1320"/>
        <w:gridCol w:w="1320"/>
        <w:gridCol w:w="1320"/>
        <w:gridCol w:w="1320"/>
        <w:gridCol w:w="1320"/>
      </w:tblGrid>
      <w:tr>
        <w:trPr>
          <w:tblHeader w:val="on"/>
        </w:trPr>
        <w:tc>
          <w:tcPr/>
          <w:p>
            <w:pPr>
              <w:pStyle w:val="Compact"/>
              <w:jc w:val="left"/>
            </w:pPr>
            <w:r>
              <w:rPr>
                <w:b/>
                <w:bCs/>
              </w:rPr>
              <w:t xml:space="preserve">Channel</w:t>
            </w:r>
          </w:p>
        </w:tc>
        <w:tc>
          <w:tcPr/>
          <w:p>
            <w:pPr>
              <w:pStyle w:val="Compact"/>
              <w:jc w:val="center"/>
            </w:pPr>
            <m:oMath>
              <m:r>
                <m:t>t</m:t>
              </m:r>
            </m:oMath>
            <w:r>
              <w:t xml:space="preserve"> </w:t>
            </w:r>
            <w:r>
              <w:rPr>
                <w:b/>
                <w:bCs/>
              </w:rPr>
              <w:t xml:space="preserve">(B)</w:t>
            </w:r>
          </w:p>
        </w:tc>
        <w:tc>
          <w:tcPr/>
          <w:p>
            <w:pPr>
              <w:pStyle w:val="Compact"/>
              <w:jc w:val="center"/>
            </w:pPr>
            <m:oMath>
              <m:r>
                <m:rPr>
                  <m:sty m:val="p"/>
                </m:rPr>
                <m:t>|</m:t>
              </m:r>
              <m:r>
                <m:t>α</m:t>
              </m:r>
              <m:r>
                <m:rPr>
                  <m:sty m:val="p"/>
                </m:rPr>
                <m:t>|</m:t>
              </m:r>
            </m:oMath>
            <w:r>
              <w:t xml:space="preserve"> </w:t>
            </w:r>
            <w:r>
              <w:rPr>
                <w:b/>
                <w:bCs/>
              </w:rPr>
              <w:t xml:space="preserve">(B)</w:t>
            </w:r>
          </w:p>
        </w:tc>
        <w:tc>
          <w:tcPr/>
          <w:p>
            <w:pPr>
              <w:pStyle w:val="Compact"/>
              <w:jc w:val="center"/>
            </w:pPr>
            <w:r>
              <w:rPr>
                <w:b/>
                <w:bCs/>
              </w:rPr>
              <w:t xml:space="preserve">Per-sig (B)</w:t>
            </w:r>
          </w:p>
        </w:tc>
        <w:tc>
          <w:tcPr/>
          <w:p>
            <w:pPr>
              <w:pStyle w:val="Compact"/>
              <w:jc w:val="center"/>
            </w:pPr>
            <w:r>
              <w:rPr>
                <w:b/>
                <w:bCs/>
              </w:rPr>
              <w:t xml:space="preserve">Red.</w:t>
            </w:r>
          </w:p>
        </w:tc>
        <w:tc>
          <w:tcPr/>
          <w:p>
            <w:pPr>
              <w:pStyle w:val="Compact"/>
              <w:jc w:val="center"/>
            </w:pPr>
            <w:r>
              <w:rPr>
                <w:b/>
                <w:bCs/>
              </w:rPr>
              <w:t xml:space="preserve">Target</w:t>
            </w:r>
          </w:p>
        </w:tc>
      </w:tr>
      <w:tr>
        <w:tc>
          <w:tcPr/>
          <w:p>
            <w:pPr>
              <w:pStyle w:val="Compact"/>
              <w:jc w:val="left"/>
            </w:pPr>
            <w:r>
              <w:t xml:space="preserve">VHF ACARS</w:t>
            </w:r>
          </w:p>
        </w:tc>
        <w:tc>
          <w:tcPr/>
          <w:p>
            <w:pPr>
              <w:pStyle w:val="Compact"/>
              <w:jc w:val="center"/>
            </w:pPr>
            <w:r>
              <w:t xml:space="preserve">8</w:t>
            </w:r>
          </w:p>
        </w:tc>
        <w:tc>
          <w:tcPr/>
          <w:p>
            <w:pPr>
              <w:pStyle w:val="Compact"/>
              <w:jc w:val="center"/>
            </w:pPr>
            <w:r>
              <w:t xml:space="preserve">243</w:t>
            </w:r>
          </w:p>
        </w:tc>
        <w:tc>
          <w:tcPr/>
          <w:p>
            <w:pPr>
              <w:pStyle w:val="Compact"/>
              <w:jc w:val="center"/>
            </w:pPr>
            <m:oMath>
              <m:r>
                <m:rPr>
                  <m:sty m:val="p"/>
                </m:rPr>
                <m:t>∼</m:t>
              </m:r>
            </m:oMath>
            <w:r>
              <w:t xml:space="preserve">200</w:t>
            </w:r>
          </w:p>
        </w:tc>
        <w:tc>
          <w:tcPr/>
          <w:p>
            <w:pPr>
              <w:pStyle w:val="Compact"/>
              <w:jc w:val="center"/>
            </w:pPr>
            <w:r>
              <w:t xml:space="preserve">92.7%</w:t>
            </w:r>
          </w:p>
        </w:tc>
        <w:tc>
          <w:tcPr/>
          <w:p>
            <w:pPr>
              <w:pStyle w:val="Compact"/>
              <w:jc w:val="center"/>
            </w:pPr>
            <w:r>
              <w:t xml:space="preserve">80%</w:t>
            </w:r>
          </w:p>
        </w:tc>
      </w:tr>
      <w:tr>
        <w:tc>
          <w:tcPr/>
          <w:p>
            <w:pPr>
              <w:pStyle w:val="Compact"/>
              <w:jc w:val="left"/>
            </w:pPr>
            <w:r>
              <w:t xml:space="preserve">HF Datalink</w:t>
            </w:r>
          </w:p>
        </w:tc>
        <w:tc>
          <w:tcPr/>
          <w:p>
            <w:pPr>
              <w:pStyle w:val="Compact"/>
              <w:jc w:val="center"/>
            </w:pPr>
            <w:r>
              <w:t xml:space="preserve">8</w:t>
            </w:r>
          </w:p>
        </w:tc>
        <w:tc>
          <w:tcPr/>
          <w:p>
            <w:pPr>
              <w:pStyle w:val="Compact"/>
              <w:jc w:val="center"/>
            </w:pPr>
            <w:r>
              <w:t xml:space="preserve">205</w:t>
            </w:r>
          </w:p>
        </w:tc>
        <w:tc>
          <w:tcPr/>
          <w:p>
            <w:pPr>
              <w:pStyle w:val="Compact"/>
              <w:jc w:val="center"/>
            </w:pPr>
            <m:oMath>
              <m:r>
                <m:rPr>
                  <m:sty m:val="p"/>
                </m:rPr>
                <m:t>∼</m:t>
              </m:r>
            </m:oMath>
            <w:r>
              <w:t xml:space="preserve">150</w:t>
            </w:r>
          </w:p>
        </w:tc>
        <w:tc>
          <w:tcPr/>
          <w:p>
            <w:pPr>
              <w:pStyle w:val="Compact"/>
              <w:jc w:val="center"/>
            </w:pPr>
            <w:r>
              <w:t xml:space="preserve">93.8%</w:t>
            </w:r>
          </w:p>
        </w:tc>
        <w:tc>
          <w:tcPr/>
          <w:p>
            <w:pPr>
              <w:pStyle w:val="Compact"/>
              <w:jc w:val="center"/>
            </w:pPr>
            <w:r>
              <w:t xml:space="preserve">85%</w:t>
            </w:r>
          </w:p>
        </w:tc>
      </w:tr>
      <w:tr>
        <w:tc>
          <w:tcPr/>
          <w:p>
            <w:pPr>
              <w:pStyle w:val="Compact"/>
              <w:jc w:val="left"/>
            </w:pPr>
            <w:r>
              <w:t xml:space="preserve">SATCOM</w:t>
            </w:r>
          </w:p>
        </w:tc>
        <w:tc>
          <w:tcPr/>
          <w:p>
            <w:pPr>
              <w:pStyle w:val="Compact"/>
              <w:jc w:val="center"/>
            </w:pPr>
            <w:r>
              <w:t xml:space="preserve">8</w:t>
            </w:r>
          </w:p>
        </w:tc>
        <w:tc>
          <w:tcPr/>
          <w:p>
            <w:pPr>
              <w:pStyle w:val="Compact"/>
              <w:jc w:val="center"/>
            </w:pPr>
            <w:r>
              <w:t xml:space="preserve">187</w:t>
            </w:r>
          </w:p>
        </w:tc>
        <w:tc>
          <w:tcPr/>
          <w:p>
            <w:pPr>
              <w:pStyle w:val="Compact"/>
              <w:jc w:val="center"/>
            </w:pPr>
            <m:oMath>
              <m:r>
                <m:rPr>
                  <m:sty m:val="p"/>
                </m:rPr>
                <m:t>∼</m:t>
              </m:r>
            </m:oMath>
            <w:r>
              <w:t xml:space="preserve">100</w:t>
            </w:r>
          </w:p>
        </w:tc>
        <w:tc>
          <w:tcPr/>
          <w:p>
            <w:pPr>
              <w:pStyle w:val="Compact"/>
              <w:jc w:val="center"/>
            </w:pPr>
            <w:r>
              <w:t xml:space="preserve">94.3%</w:t>
            </w:r>
          </w:p>
        </w:tc>
        <w:tc>
          <w:tcPr/>
          <w:p>
            <w:pPr>
              <w:pStyle w:val="Compact"/>
              <w:jc w:val="center"/>
            </w:pPr>
            <w:r>
              <w:t xml:space="preserve">90%</w:t>
            </w:r>
          </w:p>
        </w:tc>
      </w:tr>
      <w:tr>
        <w:tc>
          <w:tcPr/>
          <w:p>
            <w:pPr>
              <w:pStyle w:val="Compact"/>
              <w:jc w:val="left"/>
            </w:pPr>
            <w:r>
              <w:t xml:space="preserve">LDACS</w:t>
            </w:r>
          </w:p>
        </w:tc>
        <w:tc>
          <w:tcPr/>
          <w:p>
            <w:pPr>
              <w:pStyle w:val="Compact"/>
              <w:jc w:val="center"/>
            </w:pPr>
            <w:r>
              <w:t xml:space="preserve">16</w:t>
            </w:r>
          </w:p>
        </w:tc>
        <w:tc>
          <w:tcPr/>
          <w:p>
            <w:pPr>
              <w:pStyle w:val="Compact"/>
              <w:jc w:val="center"/>
            </w:pPr>
            <w:r>
              <w:t xml:space="preserve">476</w:t>
            </w:r>
          </w:p>
        </w:tc>
        <w:tc>
          <w:tcPr/>
          <w:p>
            <w:pPr>
              <w:pStyle w:val="Compact"/>
              <w:jc w:val="center"/>
            </w:pPr>
            <m:oMath>
              <m:r>
                <m:rPr>
                  <m:sty m:val="p"/>
                </m:rPr>
                <m:t>∼</m:t>
              </m:r>
            </m:oMath>
            <w:r>
              <w:t xml:space="preserve">500</w:t>
            </w:r>
          </w:p>
        </w:tc>
        <w:tc>
          <w:tcPr/>
          <w:p>
            <w:pPr>
              <w:pStyle w:val="Compact"/>
              <w:jc w:val="center"/>
            </w:pPr>
            <w:r>
              <w:t xml:space="preserve">85.6%</w:t>
            </w:r>
          </w:p>
        </w:tc>
        <w:tc>
          <w:tcPr/>
          <w:p>
            <w:pPr>
              <w:pStyle w:val="Compact"/>
              <w:jc w:val="center"/>
            </w:pPr>
            <w:r>
              <w:t xml:space="preserve">50%</w:t>
            </w:r>
          </w:p>
        </w:tc>
      </w:tr>
      <w:tr>
        <w:tc>
          <w:tcPr/>
          <w:p>
            <w:pPr>
              <w:pStyle w:val="Compact"/>
              <w:jc w:val="left"/>
            </w:pPr>
            <w:r>
              <w:t xml:space="preserve">ADS-B</w:t>
            </w:r>
          </w:p>
        </w:tc>
        <w:tc>
          <w:tcPr/>
          <w:p>
            <w:pPr>
              <w:pStyle w:val="Compact"/>
              <w:jc w:val="center"/>
            </w:pPr>
            <w:r>
              <w:t xml:space="preserve">32</w:t>
            </w:r>
          </w:p>
        </w:tc>
        <w:tc>
          <w:tcPr/>
          <w:p>
            <w:pPr>
              <w:pStyle w:val="Compact"/>
              <w:jc w:val="center"/>
            </w:pPr>
            <w:r>
              <w:t xml:space="preserve">890</w:t>
            </w:r>
          </w:p>
        </w:tc>
        <w:tc>
          <w:tcPr/>
          <w:p>
            <w:pPr>
              <w:pStyle w:val="Compact"/>
              <w:jc w:val="center"/>
            </w:pPr>
            <m:oMath>
              <m:r>
                <m:rPr>
                  <m:sty m:val="p"/>
                </m:rPr>
                <m:t>∼</m:t>
              </m:r>
            </m:oMath>
            <w:r>
              <w:t xml:space="preserve">800</w:t>
            </w:r>
          </w:p>
        </w:tc>
        <w:tc>
          <w:tcPr/>
          <w:p>
            <w:pPr>
              <w:pStyle w:val="Compact"/>
              <w:jc w:val="center"/>
            </w:pPr>
            <w:r>
              <w:t xml:space="preserve">73.1%</w:t>
            </w:r>
          </w:p>
        </w:tc>
        <w:tc>
          <w:tcPr/>
          <w:p>
            <w:pPr>
              <w:pStyle w:val="Compact"/>
              <w:jc w:val="center"/>
            </w:pPr>
            <w:r>
              <w:t xml:space="preserve">30%</w:t>
            </w:r>
          </w:p>
        </w:tc>
      </w:tr>
    </w:tbl>
    <w:bookmarkEnd w:id="26"/>
    <w:p>
      <w:pPr>
        <w:pStyle w:val="BodyText"/>
      </w:pPr>
      <w:r>
        <w:t xml:space="preserve">All channel profiles exceed their bandwidth reduction targets. The most constrained channels (VHF ACARS, HF Datalink, SATCOM) achieve over 90% reduction by using the minimum truncation parameter</w:t>
      </w:r>
      <w:r>
        <w:t xml:space="preserve"> </w:t>
      </w:r>
      <m:oMath>
        <m:r>
          <m:t>t</m:t>
        </m:r>
        <m:r>
          <m:rPr>
            <m:sty m:val="p"/>
          </m:rPr>
          <m:t>=</m:t>
        </m:r>
        <m:r>
          <m:t>8</m:t>
        </m:r>
      </m:oMath>
      <w:r>
        <w:t xml:space="preserve"> bytes (64-bit identifiers), which provides a collision probability of</w:t>
      </w:r>
      <w:r>
        <w:t xml:space="preserve"> </w:t>
      </w:r>
      <m:oMath>
        <m:sSup>
          <m:e>
            <m:r>
              <m:t>2</m:t>
            </m:r>
          </m:e>
          <m:sup>
            <m:r>
              <m:rPr>
                <m:sty m:val="p"/>
              </m:rPr>
              <m:t>−</m:t>
            </m:r>
            <m:r>
              <m:t>64</m:t>
            </m:r>
          </m:sup>
        </m:sSup>
      </m:oMath>
      <w:r>
        <w:t xml:space="preserve"> </w:t>
      </w:r>
      <w:r>
        <w:t xml:space="preserve">per leaf—sufficient for batches up to</w:t>
      </w:r>
      <w:r>
        <w:t xml:space="preserve"> </w:t>
      </w:r>
      <m:oMath>
        <m:r>
          <m:t>N</m:t>
        </m:r>
        <m:r>
          <m:rPr>
            <m:sty m:val="p"/>
          </m:rPr>
          <m:t>=</m:t>
        </m:r>
        <m:r>
          <m:t>64</m:t>
        </m:r>
      </m:oMath>
      <w:r>
        <w:t xml:space="preserve">.</w:t>
      </w:r>
    </w:p>
    <w:bookmarkEnd w:id="27"/>
    <w:bookmarkStart w:id="28" w:name="priority-aware-aggregation"/>
    <w:p>
      <w:pPr>
        <w:pStyle w:val="Heading2"/>
      </w:pPr>
      <w:r>
        <w:t xml:space="preserve">Priority-Aware Aggregation</w:t>
      </w:r>
    </w:p>
    <w:p>
      <w:pPr>
        <w:pStyle w:val="FirstParagraph"/>
      </w:pPr>
      <w:r>
        <w:t xml:space="preserve">The priority handling mechanism operates as follows:</w:t>
      </w:r>
    </w:p>
    <w:p>
      <w:pPr>
        <w:numPr>
          <w:ilvl w:val="0"/>
          <w:numId w:val="1007"/>
        </w:numPr>
      </w:pPr>
      <w:r>
        <w:rPr>
          <w:b/>
          <w:bCs/>
        </w:rPr>
        <w:t xml:space="preserve">DISTRESS (</w:t>
      </w:r>
      <m:oMath>
        <m:r>
          <m:t>p</m:t>
        </m:r>
        <m:r>
          <m:rPr>
            <m:sty m:val="p"/>
          </m:rPr>
          <m:t>=</m:t>
        </m:r>
        <m:r>
          <m:t>1</m:t>
        </m:r>
      </m:oMath>
      <w:r>
        <w:rPr>
          <w:b/>
          <w:bCs/>
        </w:rPr>
        <w:t xml:space="preserve">):</w:t>
      </w:r>
      <w:r>
        <w:t xml:space="preserve"> </w:t>
      </w:r>
      <w:r>
        <w:t xml:space="preserve">Messages are transmitted immediately with full individual signatures, bypassing the aggregation buffer entirely. This ensures zero additional latency for the most critical communications.</w:t>
      </w:r>
    </w:p>
    <w:p>
      <w:pPr>
        <w:numPr>
          <w:ilvl w:val="0"/>
          <w:numId w:val="1007"/>
        </w:numPr>
      </w:pPr>
      <w:r>
        <w:rPr>
          <w:b/>
          <w:bCs/>
        </w:rPr>
        <w:t xml:space="preserve">URGENCY (</w:t>
      </w:r>
      <m:oMath>
        <m:r>
          <m:t>p</m:t>
        </m:r>
        <m:r>
          <m:rPr>
            <m:sty m:val="p"/>
          </m:rPr>
          <m:t>=</m:t>
        </m:r>
        <m:r>
          <m:t>2</m:t>
        </m:r>
      </m:oMath>
      <w:r>
        <w:rPr>
          <w:b/>
          <w:bCs/>
        </w:rPr>
        <w:t xml:space="preserve">):</w:t>
      </w:r>
      <w:r>
        <w:t xml:space="preserve"> </w:t>
      </w:r>
      <w:r>
        <w:t xml:space="preserve">Messages may be aggregated within micro-batches of size</w:t>
      </w:r>
      <w:r>
        <w:t xml:space="preserve"> </w:t>
      </w:r>
      <m:oMath>
        <m:r>
          <m:t>N</m:t>
        </m:r>
        <m:r>
          <m:rPr>
            <m:sty m:val="p"/>
          </m:rPr>
          <m:t>≤</m:t>
        </m:r>
        <m:r>
          <m:t>4</m:t>
        </m:r>
      </m:oMath>
      <w:r>
        <w:t xml:space="preserve"> </w:t>
      </w:r>
      <w:r>
        <w:t xml:space="preserve">with a maximum buffering delay of 500 ms.</w:t>
      </w:r>
    </w:p>
    <w:p>
      <w:pPr>
        <w:numPr>
          <w:ilvl w:val="0"/>
          <w:numId w:val="1007"/>
        </w:numPr>
      </w:pPr>
      <w:r>
        <w:rPr>
          <w:b/>
          <w:bCs/>
        </w:rPr>
        <w:t xml:space="preserve">SAFETY (</w:t>
      </w:r>
      <m:oMath>
        <m:r>
          <m:t>p</m:t>
        </m:r>
        <m:r>
          <m:rPr>
            <m:sty m:val="p"/>
          </m:rPr>
          <m:t>=</m:t>
        </m:r>
        <m:r>
          <m:t>3</m:t>
        </m:r>
      </m:oMath>
      <w:r>
        <w:rPr>
          <w:b/>
          <w:bCs/>
        </w:rPr>
        <w:t xml:space="preserve">):</w:t>
      </w:r>
      <w:r>
        <w:t xml:space="preserve"> </w:t>
      </w:r>
      <w:r>
        <w:t xml:space="preserve">Standard aggregation with batch sizes</w:t>
      </w:r>
      <w:r>
        <w:t xml:space="preserve"> </w:t>
      </w:r>
      <m:oMath>
        <m:r>
          <m:t>N</m:t>
        </m:r>
        <m:r>
          <m:rPr>
            <m:sty m:val="p"/>
          </m:rPr>
          <m:t>≤</m:t>
        </m:r>
        <m:r>
          <m:t>16</m:t>
        </m:r>
      </m:oMath>
      <w:r>
        <w:t xml:space="preserve"> </w:t>
      </w:r>
      <w:r>
        <w:t xml:space="preserve">and maximum delay of 2 seconds.</w:t>
      </w:r>
    </w:p>
    <w:p>
      <w:pPr>
        <w:numPr>
          <w:ilvl w:val="0"/>
          <w:numId w:val="1007"/>
        </w:numPr>
      </w:pPr>
      <w:r>
        <w:rPr>
          <w:b/>
          <w:bCs/>
        </w:rPr>
        <w:t xml:space="preserve">ROUTINE (</w:t>
      </w:r>
      <m:oMath>
        <m:r>
          <m:t>p</m:t>
        </m:r>
        <m:r>
          <m:rPr>
            <m:sty m:val="p"/>
          </m:rPr>
          <m:t>=</m:t>
        </m:r>
        <m:r>
          <m:t>4</m:t>
        </m:r>
      </m:oMath>
      <w:r>
        <w:rPr>
          <w:b/>
          <w:bCs/>
        </w:rPr>
        <w:t xml:space="preserve">):</w:t>
      </w:r>
      <w:r>
        <w:t xml:space="preserve"> </w:t>
      </w:r>
      <w:r>
        <w:t xml:space="preserve">Full aggregation with batch sizes up to</w:t>
      </w:r>
      <w:r>
        <w:t xml:space="preserve"> </w:t>
      </w:r>
      <m:oMath>
        <m:r>
          <m:t>N</m:t>
        </m:r>
        <m:r>
          <m:rPr>
            <m:sty m:val="p"/>
          </m:rPr>
          <m:t>=</m:t>
        </m:r>
        <m:r>
          <m:t>64</m:t>
        </m:r>
      </m:oMath>
      <w:r>
        <w:t xml:space="preserve"> </w:t>
      </w:r>
      <w:r>
        <w:t xml:space="preserve">and maximum delay of 10 seconds.</w:t>
      </w:r>
    </w:p>
    <w:p>
      <w:pPr>
        <w:pStyle w:val="FirstParagraph"/>
      </w:pPr>
      <w:r>
        <w:t xml:space="preserve">When a DISTRESS message arrives, the aggregator immediately flushes any pending batch as a partial aggregate and transmits the DISTRESS message independently. This ensures that the safety-critical message is never delayed by the aggregation process.</w:t>
      </w:r>
    </w:p>
    <w:bookmarkEnd w:id="28"/>
    <w:bookmarkStart w:id="29" w:name="batch-size-selection"/>
    <w:p>
      <w:pPr>
        <w:pStyle w:val="Heading2"/>
      </w:pPr>
      <w:r>
        <w:t xml:space="preserve">Batch Size Selection</w:t>
      </w:r>
    </w:p>
    <w:p>
      <w:pPr>
        <w:pStyle w:val="FirstParagraph"/>
      </w:pPr>
      <w:r>
        <w:t xml:space="preserve">The optimal batch size</w:t>
      </w:r>
      <w:r>
        <w:t xml:space="preserve"> </w:t>
      </w:r>
      <m:oMath>
        <m:sSup>
          <m:e>
            <m:r>
              <m:t>N</m:t>
            </m:r>
          </m:e>
          <m:sup>
            <m:r>
              <m:rPr>
                <m:sty m:val="p"/>
              </m:rPr>
              <m:t>*</m:t>
            </m:r>
          </m:sup>
        </m:sSup>
      </m:oMath>
      <w:r>
        <w:t xml:space="preserve"> </w:t>
      </w:r>
      <w:r>
        <w:t xml:space="preserve">for a given channel balances compression benefit against buffering delay. For a channel with bandwidth</w:t>
      </w:r>
      <w:r>
        <w:t xml:space="preserve"> </w:t>
      </w:r>
      <m:oMath>
        <m:r>
          <m:t>B</m:t>
        </m:r>
      </m:oMath>
      <w:r>
        <w:t xml:space="preserve"> bps and maximum acceptable latency</w:t>
      </w:r>
      <w:r>
        <w:t xml:space="preserve"> </w:t>
      </w:r>
      <m:oMath>
        <m:sSub>
          <m:e>
            <m:r>
              <m:t>L</m:t>
            </m:r>
          </m:e>
          <m:sub>
            <m:r>
              <m:rPr>
                <m:sty m:val="p"/>
              </m:rPr>
              <m:t>max</m:t>
            </m:r>
          </m:sub>
        </m:sSub>
      </m:oMath>
      <w:r>
        <w:t xml:space="preserve"> seconds, the maximum batch size is:</w:t>
      </w:r>
    </w:p>
    <w:p>
      <w:pPr>
        <w:pStyle w:val="BodyText"/>
      </w:pPr>
      <m:oMathPara>
        <m:oMathParaPr>
          <m:jc m:val="center"/>
        </m:oMathParaPr>
        <m:oMath>
          <m:sSup>
            <m:e>
              <m:r>
                <m:t>N</m:t>
              </m:r>
            </m:e>
            <m:sup>
              <m:r>
                <m:rPr>
                  <m:sty m:val="p"/>
                </m:rPr>
                <m:t>*</m:t>
              </m:r>
            </m:sup>
          </m:sSup>
          <m:r>
            <m:rPr>
              <m:sty m:val="p"/>
            </m:rPr>
            <m:t>=</m:t>
          </m:r>
          <m:r>
            <m:rPr>
              <m:sty m:val="p"/>
            </m:rPr>
            <m:t>min</m:t>
          </m:r>
          <m:d>
            <m:dPr>
              <m:begChr m:val="("/>
              <m:sepChr m:val=""/>
              <m:endChr m:val=")"/>
              <m:grow/>
            </m:dPr>
            <m:e>
              <m:d>
                <m:dPr>
                  <m:begChr m:val="⌊"/>
                  <m:sepChr m:val=""/>
                  <m:endChr m:val="⌋"/>
                  <m:grow/>
                </m:dPr>
                <m:e>
                  <m:f>
                    <m:fPr>
                      <m:type m:val="bar"/>
                    </m:fPr>
                    <m:num>
                      <m:sSub>
                        <m:e>
                          <m:r>
                            <m:t>L</m:t>
                          </m:r>
                        </m:e>
                        <m:sub>
                          <m:r>
                            <m:rPr>
                              <m:sty m:val="p"/>
                            </m:rPr>
                            <m:t>max</m:t>
                          </m:r>
                        </m:sub>
                      </m:sSub>
                      <m:r>
                        <m:rPr>
                          <m:sty m:val="p"/>
                        </m:rPr>
                        <m:t>⋅</m:t>
                      </m:r>
                      <m:r>
                        <m:t>B</m:t>
                      </m:r>
                    </m:num>
                    <m:den>
                      <m:r>
                        <m:t>8</m:t>
                      </m:r>
                      <m:r>
                        <m:rPr>
                          <m:sty m:val="p"/>
                        </m:rPr>
                        <m:t>⋅</m:t>
                      </m:r>
                      <m:r>
                        <m:rPr>
                          <m:sty m:val="p"/>
                        </m:rPr>
                        <m:t>|</m:t>
                      </m:r>
                      <m:r>
                        <m:t>σ</m:t>
                      </m:r>
                      <m:r>
                        <m:rPr>
                          <m:sty m:val="p"/>
                        </m:rPr>
                        <m:t>|</m:t>
                      </m:r>
                    </m:den>
                  </m:f>
                </m:e>
              </m:d>
              <m:r>
                <m:rPr>
                  <m:sty m:val="p"/>
                </m:rPr>
                <m:t>,</m:t>
              </m:r>
              <m:sSub>
                <m:e>
                  <m:r>
                    <m:t>N</m:t>
                  </m:r>
                </m:e>
                <m:sub>
                  <m:r>
                    <m:rPr>
                      <m:sty m:val="p"/>
                    </m:rPr>
                    <m:t>max</m:t>
                  </m:r>
                </m:sub>
              </m:sSub>
            </m:e>
          </m:d>
        </m:oMath>
      </m:oMathPara>
    </w:p>
    <w:p>
      <w:pPr>
        <w:pStyle w:val="FirstParagraph"/>
      </w:pPr>
      <w:r>
        <w:t xml:space="preserve">where</w:t>
      </w:r>
      <w:r>
        <w:t xml:space="preserve"> </w:t>
      </w:r>
      <m:oMath>
        <m:sSub>
          <m:e>
            <m:r>
              <m:t>N</m:t>
            </m:r>
          </m:e>
          <m:sub>
            <m:r>
              <m:rPr>
                <m:sty m:val="p"/>
              </m:rPr>
              <m:t>max</m:t>
            </m:r>
          </m:sub>
        </m:sSub>
      </m:oMath>
      <w:r>
        <w:t xml:space="preserve"> </w:t>
      </w:r>
      <w:r>
        <w:t xml:space="preserve">is the hard limit (64 in our implementation) and</w:t>
      </w:r>
      <w:r>
        <w:t xml:space="preserve"> </w:t>
      </w:r>
      <m:oMath>
        <m:r>
          <m:rPr>
            <m:sty m:val="p"/>
          </m:rPr>
          <m:t>|</m:t>
        </m:r>
        <m:r>
          <m:t>σ</m:t>
        </m:r>
        <m:r>
          <m:rPr>
            <m:sty m:val="p"/>
          </m:rPr>
          <m:t>|</m:t>
        </m:r>
      </m:oMath>
      <w:r>
        <w:t xml:space="preserve"> </w:t>
      </w:r>
      <w:r>
        <w:t xml:space="preserve">is the individual signature size.</w:t>
      </w:r>
    </w:p>
    <w:p>
      <w:pPr>
        <w:pStyle w:val="BodyText"/>
      </w:pPr>
      <w:r>
        <w:t xml:space="preserve">For VHF ACARS (</w:t>
      </w:r>
      <m:oMath>
        <m:r>
          <m:t>B</m:t>
        </m:r>
        <m:r>
          <m:rPr>
            <m:sty m:val="p"/>
          </m:rPr>
          <m:t>=</m:t>
        </m:r>
        <m:r>
          <m:t>2</m:t>
        </m:r>
        <m:r>
          <m:rPr>
            <m:sty m:val="p"/>
          </m:rPr>
          <m:t>,</m:t>
        </m:r>
        <m:r>
          <m:t>400</m:t>
        </m:r>
      </m:oMath>
      <w:r>
        <w:t xml:space="preserve">,</w:t>
      </w:r>
      <w:r>
        <w:t xml:space="preserve"> </w:t>
      </w:r>
      <m:oMath>
        <m:sSub>
          <m:e>
            <m:r>
              <m:t>L</m:t>
            </m:r>
          </m:e>
          <m:sub>
            <m:r>
              <m:rPr>
                <m:sty m:val="p"/>
              </m:rPr>
              <m:t>max</m:t>
            </m:r>
          </m:sub>
        </m:sSub>
        <m:r>
          <m:rPr>
            <m:sty m:val="p"/>
          </m:rPr>
          <m:t>=</m:t>
        </m:r>
        <m:r>
          <m:t>10</m:t>
        </m:r>
      </m:oMath>
      <w:r>
        <w:t xml:space="preserve"> s,</w:t>
      </w:r>
      <w:r>
        <w:t xml:space="preserve"> </w:t>
      </w:r>
      <m:oMath>
        <m:r>
          <m:rPr>
            <m:sty m:val="p"/>
          </m:rPr>
          <m:t>|</m:t>
        </m:r>
        <m:r>
          <m:t>σ</m:t>
        </m:r>
        <m:r>
          <m:rPr>
            <m:sty m:val="p"/>
          </m:rPr>
          <m:t>|</m:t>
        </m:r>
        <m:r>
          <m:rPr>
            <m:sty m:val="p"/>
          </m:rPr>
          <m:t>=</m:t>
        </m:r>
        <m:r>
          <m:t>3</m:t>
        </m:r>
        <m:r>
          <m:rPr>
            <m:sty m:val="p"/>
          </m:rPr>
          <m:t>,</m:t>
        </m:r>
        <m:r>
          <m:t>309</m:t>
        </m:r>
      </m:oMath>
      <w:r>
        <w:t xml:space="preserve">):</w:t>
      </w:r>
    </w:p>
    <w:p>
      <w:pPr>
        <w:pStyle w:val="BodyText"/>
      </w:pPr>
      <m:oMathPara>
        <m:oMathParaPr>
          <m:jc m:val="center"/>
        </m:oMathParaPr>
        <m:oMath>
          <m:sSup>
            <m:e>
              <m:r>
                <m:t>N</m:t>
              </m:r>
            </m:e>
            <m:sup>
              <m:r>
                <m:rPr>
                  <m:sty m:val="p"/>
                </m:rPr>
                <m:t>*</m:t>
              </m:r>
            </m:sup>
          </m:sSup>
          <m:r>
            <m:rPr>
              <m:sty m:val="p"/>
            </m:rPr>
            <m:t>=</m:t>
          </m:r>
          <m:r>
            <m:rPr>
              <m:sty m:val="p"/>
            </m:rPr>
            <m:t>min</m:t>
          </m:r>
          <m:d>
            <m:dPr>
              <m:begChr m:val="("/>
              <m:sepChr m:val=""/>
              <m:endChr m:val=")"/>
              <m:grow/>
            </m:dPr>
            <m:e>
              <m:d>
                <m:dPr>
                  <m:begChr m:val="⌊"/>
                  <m:sepChr m:val=""/>
                  <m:endChr m:val="⌋"/>
                  <m:grow/>
                </m:dPr>
                <m:e>
                  <m:f>
                    <m:fPr>
                      <m:type m:val="bar"/>
                    </m:fPr>
                    <m:num>
                      <m:r>
                        <m:t>10</m:t>
                      </m:r>
                      <m:r>
                        <m:rPr>
                          <m:sty m:val="p"/>
                        </m:rPr>
                        <m:t>×</m:t>
                      </m:r>
                      <m:r>
                        <m:t>2400</m:t>
                      </m:r>
                    </m:num>
                    <m:den>
                      <m:r>
                        <m:t>8</m:t>
                      </m:r>
                      <m:r>
                        <m:rPr>
                          <m:sty m:val="p"/>
                        </m:rPr>
                        <m:t>×</m:t>
                      </m:r>
                      <m:r>
                        <m:t>3309</m:t>
                      </m:r>
                    </m:den>
                  </m:f>
                </m:e>
              </m:d>
              <m:r>
                <m:rPr>
                  <m:sty m:val="p"/>
                </m:rPr>
                <m:t>,</m:t>
              </m:r>
              <m:r>
                <m:t>64</m:t>
              </m:r>
            </m:e>
          </m:d>
          <m:r>
            <m:rPr>
              <m:sty m:val="p"/>
            </m:rPr>
            <m:t>=</m:t>
          </m:r>
          <m:r>
            <m:rPr>
              <m:sty m:val="p"/>
            </m:rPr>
            <m:t>min</m:t>
          </m:r>
          <m:r>
            <m:rPr>
              <m:sty m:val="p"/>
            </m:rPr>
            <m:t>(</m:t>
          </m:r>
          <m:r>
            <m:t>0</m:t>
          </m:r>
          <m:r>
            <m:rPr>
              <m:sty m:val="p"/>
            </m:rPr>
            <m:t>,</m:t>
          </m:r>
          <m:r>
            <m:t>64</m:t>
          </m:r>
          <m:r>
            <m:rPr>
              <m:sty m:val="p"/>
            </m:rPr>
            <m:t>)</m:t>
          </m:r>
          <m:r>
            <m:rPr>
              <m:sty m:val="p"/>
            </m:rPr>
            <m:t>=</m:t>
          </m:r>
          <m:r>
            <m:t>0</m:t>
          </m:r>
        </m:oMath>
      </m:oMathPara>
    </w:p>
    <w:p>
      <w:pPr>
        <w:pStyle w:val="FirstParagraph"/>
      </w:pPr>
      <w:r>
        <w:t xml:space="preserve">This confirms that individual ML-DSA-65 signatures cannot be transmitted on VHF ACARS within acceptable latency—aggregation is not merely beneficial but</w:t>
      </w:r>
      <w:r>
        <w:t xml:space="preserve"> </w:t>
      </w:r>
      <w:r>
        <w:rPr>
          <w:i/>
          <w:iCs/>
        </w:rPr>
        <w:t xml:space="preserve">necessary</w:t>
      </w:r>
      <w:r>
        <w:t xml:space="preserve"> </w:t>
      </w:r>
      <w:r>
        <w:t xml:space="preserve">for PQC adoption on constrained channels.</w:t>
      </w:r>
    </w:p>
    <w:bookmarkEnd w:id="29"/>
    <w:bookmarkEnd w:id="30"/>
    <w:bookmarkStart w:id="41" w:name="sec:forward"/>
    <w:p>
      <w:pPr>
        <w:pStyle w:val="Heading1"/>
      </w:pPr>
      <w:r>
        <w:t xml:space="preserve">Forward-Secure Post-Quantum Channels</w:t>
      </w:r>
    </w:p>
    <w:bookmarkStart w:id="31" w:name="design-overview"/>
    <w:p>
      <w:pPr>
        <w:pStyle w:val="Heading2"/>
      </w:pPr>
      <w:r>
        <w:t xml:space="preserve">Design Overview</w:t>
      </w:r>
    </w:p>
    <w:p>
      <w:pPr>
        <w:pStyle w:val="FirstParagraph"/>
      </w:pPr>
      <w:r>
        <w:t xml:space="preserve">Our forward-secure channel protocol adapts the double-ratchet paradigm </w:t>
      </w:r>
      <w:r>
        <w:t xml:space="preserve">(Cohn-Gordon et al. 2020; Alwen et al. 2019)</w:t>
      </w:r>
      <w:r>
        <w:t xml:space="preserve"> </w:t>
      </w:r>
      <w:r>
        <w:t xml:space="preserve">to the operational constraints of ATC communication. The protocol uses ephemeral ML-KEM-768 key exchanges for the asymmetric ratchet and HKDF-SHA3-256 for the symmetric ratchet, with AES-256-GCM providing authenticated encryption.</w:t>
      </w:r>
    </w:p>
    <w:p>
      <w:pPr>
        <w:pStyle w:val="BodyText"/>
      </w:pPr>
      <w:r>
        <w:t xml:space="preserve">The key design challenge in adapting double-ratchet protocols to aviation is managing the bandwidth cost of periodic key exchanges. An ML-KEM-768 ciphertext is 1,088 bytes and a public key is 1,184 bytes, making per-message key exchange infeasible on constrained channels. Our solution uses</w:t>
      </w:r>
      <w:r>
        <w:t xml:space="preserve"> </w:t>
      </w:r>
      <w:r>
        <w:rPr>
          <w:i/>
          <w:iCs/>
        </w:rPr>
        <w:t xml:space="preserve">epoch-based ratcheting</w:t>
      </w:r>
      <w:r>
        <w:t xml:space="preserve"> </w:t>
      </w:r>
      <w:r>
        <w:t xml:space="preserve">where the asymmetric ratchet advances at configurable intervals tailored to each channel’s bandwidth and operational profile.</w:t>
      </w:r>
    </w:p>
    <w:bookmarkEnd w:id="31"/>
    <w:bookmarkStart w:id="35" w:name="protocol-specification"/>
    <w:p>
      <w:pPr>
        <w:pStyle w:val="Heading2"/>
      </w:pPr>
      <w:r>
        <w:t xml:space="preserve">Protocol Specification</w:t>
      </w:r>
    </w:p>
    <w:p>
      <w:pPr>
        <w:pStyle w:val="FirstParagraph"/>
      </w:pPr>
      <w:r>
        <w:t xml:space="preserve">The protocol operates in three phases:</w:t>
      </w:r>
      <w:r>
        <w:t xml:space="preserve"> </w:t>
      </w:r>
      <w:r>
        <w:rPr>
          <w:i/>
          <w:iCs/>
        </w:rPr>
        <w:t xml:space="preserve">establishment</w:t>
      </w:r>
      <w:r>
        <w:t xml:space="preserve">,</w:t>
      </w:r>
      <w:r>
        <w:t xml:space="preserve"> </w:t>
      </w:r>
      <w:r>
        <w:rPr>
          <w:i/>
          <w:iCs/>
        </w:rPr>
        <w:t xml:space="preserve">messaging</w:t>
      </w:r>
      <w:r>
        <w:t xml:space="preserve">, and</w:t>
      </w:r>
      <w:r>
        <w:t xml:space="preserve"> </w:t>
      </w:r>
      <w:r>
        <w:rPr>
          <w:i/>
          <w:iCs/>
        </w:rPr>
        <w:t xml:space="preserve">ratcheting</w:t>
      </w:r>
      <w:r>
        <w:t xml:space="preserve">.</w:t>
      </w:r>
    </w:p>
    <w:bookmarkStart w:id="32" w:name="channel-establishment"/>
    <w:p>
      <w:pPr>
        <w:pStyle w:val="Heading3"/>
      </w:pPr>
      <w:r>
        <w:t xml:space="preserve">Channel Establishment</w:t>
      </w:r>
    </w:p>
    <w:p>
      <w:pPr>
        <w:pStyle w:val="FirstParagraph"/>
      </w:pPr>
      <w:r>
        <w:t xml:space="preserve">Two parties</w:t>
      </w:r>
      <w:r>
        <w:t xml:space="preserve"> </w:t>
      </w:r>
      <m:oMath>
        <m:r>
          <m:t>A</m:t>
        </m:r>
      </m:oMath>
      <w:r>
        <w:t xml:space="preserve"> </w:t>
      </w:r>
      <w:r>
        <w:t xml:space="preserve">(aircraft) and</w:t>
      </w:r>
      <w:r>
        <w:t xml:space="preserve"> </w:t>
      </w:r>
      <m:oMath>
        <m:r>
          <m:t>G</m:t>
        </m:r>
      </m:oMath>
      <w:r>
        <w:t xml:space="preserve"> </w:t>
      </w:r>
      <w:r>
        <w:t xml:space="preserve">(ground station) establish a forward-secure channel as follows:</w:t>
      </w:r>
    </w:p>
    <w:p>
      <w:pPr>
        <w:numPr>
          <w:ilvl w:val="0"/>
          <w:numId w:val="1008"/>
        </w:numPr>
      </w:pPr>
      <m:oMath>
        <m:r>
          <m:t>A</m:t>
        </m:r>
      </m:oMath>
      <w:r>
        <w:t xml:space="preserve"> </w:t>
      </w:r>
      <w:r>
        <w:t xml:space="preserve">generates ephemeral ML-KEM-768 keypair</w:t>
      </w:r>
      <w:r>
        <w:t xml:space="preserve"> </w:t>
      </w:r>
      <m:oMath>
        <m:r>
          <m:rPr>
            <m:sty m:val="p"/>
          </m:rPr>
          <m:t>(</m:t>
        </m:r>
        <m:r>
          <m:t>e</m:t>
        </m:r>
        <m:sSub>
          <m:e>
            <m:r>
              <m:t>k</m:t>
            </m:r>
          </m:e>
          <m:sub>
            <m:r>
              <m:t>A</m:t>
            </m:r>
          </m:sub>
        </m:sSub>
        <m:r>
          <m:rPr>
            <m:sty m:val="p"/>
          </m:rPr>
          <m:t>,</m:t>
        </m:r>
        <m:r>
          <m:t>d</m:t>
        </m:r>
        <m:sSub>
          <m:e>
            <m:r>
              <m:t>k</m:t>
            </m:r>
          </m:e>
          <m:sub>
            <m:r>
              <m:t>A</m:t>
            </m:r>
          </m:sub>
        </m:sSub>
        <m:r>
          <m:rPr>
            <m:sty m:val="p"/>
          </m:rPr>
          <m:t>)</m:t>
        </m:r>
        <m:r>
          <m:rPr>
            <m:sty m:val="p"/>
          </m:rPr>
          <m:t>←</m:t>
        </m:r>
        <m:r>
          <m:rPr>
            <m:scr m:val="sans-serif"/>
            <m:sty m:val="p"/>
          </m:rPr>
          <m:t>M</m:t>
        </m:r>
        <m:r>
          <m:rPr>
            <m:scr m:val="sans-serif"/>
            <m:sty m:val="p"/>
          </m:rPr>
          <m:t>L</m:t>
        </m:r>
        <m:r>
          <m:rPr>
            <m:nor/>
            <m:sty m:val="p"/>
          </m:rPr>
          <m:t>-</m:t>
        </m:r>
        <m:r>
          <m:rPr>
            <m:scr m:val="sans-serif"/>
            <m:sty m:val="p"/>
          </m:rPr>
          <m:t>K</m:t>
        </m:r>
        <m:r>
          <m:rPr>
            <m:scr m:val="sans-serif"/>
            <m:sty m:val="p"/>
          </m:rPr>
          <m:t>E</m:t>
        </m:r>
        <m:r>
          <m:rPr>
            <m:scr m:val="sans-serif"/>
            <m:sty m:val="p"/>
          </m:rPr>
          <m:t>M</m:t>
        </m:r>
        <m:r>
          <m:rPr>
            <m:scr m:val="sans-serif"/>
            <m:sty m:val="p"/>
          </m:rPr>
          <m:t>.</m:t>
        </m:r>
        <m:r>
          <m:rPr>
            <m:scr m:val="sans-serif"/>
            <m:sty m:val="p"/>
          </m:rPr>
          <m:t>K</m:t>
        </m:r>
        <m:r>
          <m:rPr>
            <m:scr m:val="sans-serif"/>
            <m:sty m:val="p"/>
          </m:rPr>
          <m:t>e</m:t>
        </m:r>
        <m:r>
          <m:rPr>
            <m:scr m:val="sans-serif"/>
            <m:sty m:val="p"/>
          </m:rPr>
          <m:t>y</m:t>
        </m:r>
        <m:r>
          <m:rPr>
            <m:scr m:val="sans-serif"/>
            <m:sty m:val="p"/>
          </m:rPr>
          <m:t>G</m:t>
        </m:r>
        <m:r>
          <m:rPr>
            <m:scr m:val="sans-serif"/>
            <m:sty m:val="p"/>
          </m:rPr>
          <m:t>e</m:t>
        </m:r>
        <m:r>
          <m:rPr>
            <m:scr m:val="sans-serif"/>
            <m:sty m:val="p"/>
          </m:rPr>
          <m:t>n</m:t>
        </m:r>
        <m:r>
          <m:rPr>
            <m:sty m:val="p"/>
          </m:rPr>
          <m:t>(</m:t>
        </m:r>
        <m:r>
          <m:rPr>
            <m:sty m:val="p"/>
          </m:rPr>
          <m:t>)</m:t>
        </m:r>
      </m:oMath>
      <w:r>
        <w:t xml:space="preserve">.</w:t>
      </w:r>
    </w:p>
    <w:p>
      <w:pPr>
        <w:numPr>
          <w:ilvl w:val="0"/>
          <w:numId w:val="1008"/>
        </w:numPr>
      </w:pPr>
      <m:oMath>
        <m:r>
          <m:t>A</m:t>
        </m:r>
      </m:oMath>
      <w:r>
        <w:t xml:space="preserve"> </w:t>
      </w:r>
      <w:r>
        <w:t xml:space="preserve">sends</w:t>
      </w:r>
      <w:r>
        <w:t xml:space="preserve"> </w:t>
      </w:r>
      <m:oMath>
        <m:r>
          <m:t>e</m:t>
        </m:r>
        <m:sSub>
          <m:e>
            <m:r>
              <m:t>k</m:t>
            </m:r>
          </m:e>
          <m:sub>
            <m:r>
              <m:t>A</m:t>
            </m:r>
          </m:sub>
        </m:sSub>
      </m:oMath>
      <w:r>
        <w:t xml:space="preserve"> </w:t>
      </w:r>
      <w:r>
        <w:t xml:space="preserve">to</w:t>
      </w:r>
      <w:r>
        <w:t xml:space="preserve"> </w:t>
      </w:r>
      <m:oMath>
        <m:r>
          <m:t>G</m:t>
        </m:r>
      </m:oMath>
      <w:r>
        <w:t xml:space="preserve"> </w:t>
      </w:r>
      <w:r>
        <w:t xml:space="preserve">(authenticated via long-term PQC signature).</w:t>
      </w:r>
    </w:p>
    <w:p>
      <w:pPr>
        <w:numPr>
          <w:ilvl w:val="0"/>
          <w:numId w:val="1008"/>
        </w:numPr>
      </w:pPr>
      <m:oMath>
        <m:r>
          <m:t>G</m:t>
        </m:r>
      </m:oMath>
      <w:r>
        <w:t xml:space="preserve"> </w:t>
      </w:r>
      <w:r>
        <w:t xml:space="preserve">encapsulates:</w:t>
      </w:r>
      <w:r>
        <w:t xml:space="preserve"> </w:t>
      </w:r>
      <m:oMath>
        <m:r>
          <m:rPr>
            <m:sty m:val="p"/>
          </m:rPr>
          <m:t>(</m:t>
        </m:r>
        <m:r>
          <m:t>c</m:t>
        </m:r>
        <m:r>
          <m:t>t</m:t>
        </m:r>
        <m:r>
          <m:rPr>
            <m:sty m:val="p"/>
          </m:rPr>
          <m:t>,</m:t>
        </m:r>
        <m:r>
          <m:t>s</m:t>
        </m:r>
        <m:r>
          <m:t>s</m:t>
        </m:r>
        <m:r>
          <m:rPr>
            <m:sty m:val="p"/>
          </m:rPr>
          <m:t>)</m:t>
        </m:r>
        <m:r>
          <m:rPr>
            <m:sty m:val="p"/>
          </m:rPr>
          <m:t>←</m:t>
        </m:r>
        <m:r>
          <m:rPr>
            <m:scr m:val="sans-serif"/>
            <m:sty m:val="p"/>
          </m:rPr>
          <m:t>M</m:t>
        </m:r>
        <m:r>
          <m:rPr>
            <m:scr m:val="sans-serif"/>
            <m:sty m:val="p"/>
          </m:rPr>
          <m:t>L</m:t>
        </m:r>
        <m:r>
          <m:rPr>
            <m:nor/>
            <m:sty m:val="p"/>
          </m:rPr>
          <m:t>-</m:t>
        </m:r>
        <m:r>
          <m:rPr>
            <m:scr m:val="sans-serif"/>
            <m:sty m:val="p"/>
          </m:rPr>
          <m:t>K</m:t>
        </m:r>
        <m:r>
          <m:rPr>
            <m:scr m:val="sans-serif"/>
            <m:sty m:val="p"/>
          </m:rPr>
          <m:t>E</m:t>
        </m:r>
        <m:r>
          <m:rPr>
            <m:scr m:val="sans-serif"/>
            <m:sty m:val="p"/>
          </m:rPr>
          <m:t>M</m:t>
        </m:r>
        <m:r>
          <m:rPr>
            <m:scr m:val="sans-serif"/>
            <m:sty m:val="p"/>
          </m:rPr>
          <m:t>.</m:t>
        </m:r>
        <m:r>
          <m:rPr>
            <m:scr m:val="sans-serif"/>
            <m:sty m:val="p"/>
          </m:rPr>
          <m:t>E</m:t>
        </m:r>
        <m:r>
          <m:rPr>
            <m:scr m:val="sans-serif"/>
            <m:sty m:val="p"/>
          </m:rPr>
          <m:t>n</m:t>
        </m:r>
        <m:r>
          <m:rPr>
            <m:scr m:val="sans-serif"/>
            <m:sty m:val="p"/>
          </m:rPr>
          <m:t>c</m:t>
        </m:r>
        <m:r>
          <m:rPr>
            <m:scr m:val="sans-serif"/>
            <m:sty m:val="p"/>
          </m:rPr>
          <m:t>a</m:t>
        </m:r>
        <m:r>
          <m:rPr>
            <m:scr m:val="sans-serif"/>
            <m:sty m:val="p"/>
          </m:rPr>
          <m:t>p</m:t>
        </m:r>
        <m:r>
          <m:rPr>
            <m:scr m:val="sans-serif"/>
            <m:sty m:val="p"/>
          </m:rPr>
          <m:t>s</m:t>
        </m:r>
        <m:r>
          <m:rPr>
            <m:sty m:val="p"/>
          </m:rPr>
          <m:t>(</m:t>
        </m:r>
        <m:r>
          <m:t>e</m:t>
        </m:r>
        <m:sSub>
          <m:e>
            <m:r>
              <m:t>k</m:t>
            </m:r>
          </m:e>
          <m:sub>
            <m:r>
              <m:t>A</m:t>
            </m:r>
          </m:sub>
        </m:sSub>
        <m:r>
          <m:rPr>
            <m:sty m:val="p"/>
          </m:rPr>
          <m:t>)</m:t>
        </m:r>
      </m:oMath>
      <w:r>
        <w:t xml:space="preserve">.</w:t>
      </w:r>
    </w:p>
    <w:p>
      <w:pPr>
        <w:numPr>
          <w:ilvl w:val="0"/>
          <w:numId w:val="1008"/>
        </w:numPr>
      </w:pPr>
      <m:oMath>
        <m:r>
          <m:t>G</m:t>
        </m:r>
      </m:oMath>
      <w:r>
        <w:t xml:space="preserve"> </w:t>
      </w:r>
      <w:r>
        <w:t xml:space="preserve">sends</w:t>
      </w:r>
      <w:r>
        <w:t xml:space="preserve"> </w:t>
      </w:r>
      <m:oMath>
        <m:r>
          <m:t>c</m:t>
        </m:r>
        <m:r>
          <m:t>t</m:t>
        </m:r>
      </m:oMath>
      <w:r>
        <w:t xml:space="preserve"> </w:t>
      </w:r>
      <w:r>
        <w:t xml:space="preserve">to</w:t>
      </w:r>
      <w:r>
        <w:t xml:space="preserve"> </w:t>
      </w:r>
      <m:oMath>
        <m:r>
          <m:t>A</m:t>
        </m:r>
      </m:oMath>
      <w:r>
        <w:t xml:space="preserve">.</w:t>
      </w:r>
    </w:p>
    <w:p>
      <w:pPr>
        <w:numPr>
          <w:ilvl w:val="0"/>
          <w:numId w:val="1008"/>
        </w:numPr>
      </w:pPr>
      <m:oMath>
        <m:r>
          <m:t>A</m:t>
        </m:r>
      </m:oMath>
      <w:r>
        <w:t xml:space="preserve"> </w:t>
      </w:r>
      <w:r>
        <w:t xml:space="preserve">decapsulates:</w:t>
      </w:r>
      <w:r>
        <w:t xml:space="preserve"> </w:t>
      </w:r>
      <m:oMath>
        <m:r>
          <m:t>s</m:t>
        </m:r>
        <m:r>
          <m:t>s</m:t>
        </m:r>
        <m:r>
          <m:rPr>
            <m:sty m:val="p"/>
          </m:rPr>
          <m:t>←</m:t>
        </m:r>
        <m:r>
          <m:rPr>
            <m:scr m:val="sans-serif"/>
            <m:sty m:val="p"/>
          </m:rPr>
          <m:t>M</m:t>
        </m:r>
        <m:r>
          <m:rPr>
            <m:scr m:val="sans-serif"/>
            <m:sty m:val="p"/>
          </m:rPr>
          <m:t>L</m:t>
        </m:r>
        <m:r>
          <m:rPr>
            <m:nor/>
            <m:sty m:val="p"/>
          </m:rPr>
          <m:t>-</m:t>
        </m:r>
        <m:r>
          <m:rPr>
            <m:scr m:val="sans-serif"/>
            <m:sty m:val="p"/>
          </m:rPr>
          <m:t>K</m:t>
        </m:r>
        <m:r>
          <m:rPr>
            <m:scr m:val="sans-serif"/>
            <m:sty m:val="p"/>
          </m:rPr>
          <m:t>E</m:t>
        </m:r>
        <m:r>
          <m:rPr>
            <m:scr m:val="sans-serif"/>
            <m:sty m:val="p"/>
          </m:rPr>
          <m:t>M</m:t>
        </m:r>
        <m:r>
          <m:rPr>
            <m:scr m:val="sans-serif"/>
            <m:sty m:val="p"/>
          </m:rPr>
          <m:t>.</m:t>
        </m:r>
        <m:r>
          <m:rPr>
            <m:scr m:val="sans-serif"/>
            <m:sty m:val="p"/>
          </m:rPr>
          <m:t>D</m:t>
        </m:r>
        <m:r>
          <m:rPr>
            <m:scr m:val="sans-serif"/>
            <m:sty m:val="p"/>
          </m:rPr>
          <m:t>e</m:t>
        </m:r>
        <m:r>
          <m:rPr>
            <m:scr m:val="sans-serif"/>
            <m:sty m:val="p"/>
          </m:rPr>
          <m:t>c</m:t>
        </m:r>
        <m:r>
          <m:rPr>
            <m:scr m:val="sans-serif"/>
            <m:sty m:val="p"/>
          </m:rPr>
          <m:t>a</m:t>
        </m:r>
        <m:r>
          <m:rPr>
            <m:scr m:val="sans-serif"/>
            <m:sty m:val="p"/>
          </m:rPr>
          <m:t>p</m:t>
        </m:r>
        <m:r>
          <m:rPr>
            <m:scr m:val="sans-serif"/>
            <m:sty m:val="p"/>
          </m:rPr>
          <m:t>s</m:t>
        </m:r>
        <m:r>
          <m:rPr>
            <m:sty m:val="p"/>
          </m:rPr>
          <m:t>(</m:t>
        </m:r>
        <m:r>
          <m:t>d</m:t>
        </m:r>
        <m:sSub>
          <m:e>
            <m:r>
              <m:t>k</m:t>
            </m:r>
          </m:e>
          <m:sub>
            <m:r>
              <m:t>A</m:t>
            </m:r>
          </m:sub>
        </m:sSub>
        <m:r>
          <m:rPr>
            <m:sty m:val="p"/>
          </m:rPr>
          <m:t>,</m:t>
        </m:r>
        <m:r>
          <m:t>c</m:t>
        </m:r>
        <m:r>
          <m:t>t</m:t>
        </m:r>
        <m:r>
          <m:rPr>
            <m:sty m:val="p"/>
          </m:rPr>
          <m:t>)</m:t>
        </m:r>
      </m:oMath>
      <w:r>
        <w:t xml:space="preserve">.</w:t>
      </w:r>
    </w:p>
    <w:p>
      <w:pPr>
        <w:numPr>
          <w:ilvl w:val="0"/>
          <w:numId w:val="1008"/>
        </w:numPr>
      </w:pPr>
      <w:r>
        <w:t xml:space="preserve">Both derive the root key:</w:t>
      </w:r>
    </w:p>
    <w:p>
      <w:pPr>
        <w:pStyle w:val="BodyText"/>
      </w:pPr>
      <m:oMathPara>
        <m:oMathParaPr>
          <m:jc m:val="center"/>
        </m:oMathParaPr>
        <m:oMath>
          <m:sSub>
            <m:e>
              <m:r>
                <m:t>K</m:t>
              </m:r>
            </m:e>
            <m:sub>
              <m:r>
                <m:rPr>
                  <m:scr m:val="sans-serif"/>
                  <m:sty m:val="p"/>
                </m:rPr>
                <m:t>r</m:t>
              </m:r>
              <m:r>
                <m:rPr>
                  <m:scr m:val="sans-serif"/>
                  <m:sty m:val="p"/>
                </m:rPr>
                <m:t>o</m:t>
              </m:r>
              <m:r>
                <m:rPr>
                  <m:scr m:val="sans-serif"/>
                  <m:sty m:val="p"/>
                </m:rPr>
                <m:t>o</m:t>
              </m:r>
              <m:r>
                <m:rPr>
                  <m:scr m:val="sans-serif"/>
                  <m:sty m:val="p"/>
                </m:rPr>
                <m:t>t</m:t>
              </m:r>
            </m:sub>
          </m:sSub>
          <m:r>
            <m:rPr>
              <m:sty m:val="p"/>
            </m:rPr>
            <m:t>=</m:t>
          </m:r>
          <m:r>
            <m:rPr>
              <m:scr m:val="sans-serif"/>
              <m:sty m:val="p"/>
            </m:rPr>
            <m:t>H</m:t>
          </m:r>
          <m:r>
            <m:rPr>
              <m:scr m:val="sans-serif"/>
              <m:sty m:val="p"/>
            </m:rPr>
            <m:t>K</m:t>
          </m:r>
          <m:r>
            <m:rPr>
              <m:scr m:val="sans-serif"/>
              <m:sty m:val="p"/>
            </m:rPr>
            <m:t>D</m:t>
          </m:r>
          <m:r>
            <m:rPr>
              <m:scr m:val="sans-serif"/>
              <m:sty m:val="p"/>
            </m:rPr>
            <m:t>F</m:t>
          </m:r>
          <m:r>
            <m:rPr>
              <m:nor/>
              <m:sty m:val="p"/>
            </m:rPr>
            <m:t>-</m:t>
          </m:r>
          <m:r>
            <m:rPr>
              <m:scr m:val="sans-serif"/>
              <m:sty m:val="p"/>
            </m:rPr>
            <m:t>S</m:t>
          </m:r>
          <m:r>
            <m:rPr>
              <m:scr m:val="sans-serif"/>
              <m:sty m:val="p"/>
            </m:rPr>
            <m:t>H</m:t>
          </m:r>
          <m:r>
            <m:rPr>
              <m:scr m:val="sans-serif"/>
              <m:sty m:val="p"/>
            </m:rPr>
            <m:t>A</m:t>
          </m:r>
          <m:r>
            <m:rPr>
              <m:scr m:val="sans-serif"/>
              <m:sty m:val="p"/>
            </m:rPr>
            <m:t>3</m:t>
          </m:r>
          <m:r>
            <m:rPr>
              <m:sty m:val="p"/>
            </m:rPr>
            <m:t>(</m:t>
          </m:r>
          <m:r>
            <m:t>s</m:t>
          </m:r>
          <m:r>
            <m:t>s</m:t>
          </m:r>
          <m:r>
            <m:rPr>
              <m:sty m:val="p"/>
            </m:rPr>
            <m:t>,</m:t>
          </m:r>
          <m:r>
            <m:rPr>
              <m:nor/>
              <m:sty m:val="p"/>
            </m:rPr>
            <m:t>“aviation-fs-root-v1”</m:t>
          </m:r>
          <m:r>
            <m:rPr>
              <m:sty m:val="p"/>
            </m:rPr>
            <m:t>,</m:t>
          </m:r>
          <m:r>
            <m:rPr>
              <m:nor/>
              <m:sty m:val="p"/>
            </m:rPr>
            <m:t>“root-key”</m:t>
          </m:r>
          <m:r>
            <m:rPr>
              <m:sty m:val="p"/>
            </m:rPr>
            <m:t>)</m:t>
          </m:r>
        </m:oMath>
      </m:oMathPara>
    </w:p>
    <w:p>
      <w:pPr>
        <w:numPr>
          <w:ilvl w:val="0"/>
          <w:numId w:val="1008"/>
        </w:numPr>
      </w:pPr>
      <w:r>
        <w:t xml:space="preserve">Both initialize epoch 0 with derived sending and receiving chain keys.</w:t>
      </w:r>
    </w:p>
    <w:bookmarkEnd w:id="32"/>
    <w:bookmarkStart w:id="33" w:name="epoch-key-derivation"/>
    <w:p>
      <w:pPr>
        <w:pStyle w:val="Heading3"/>
      </w:pPr>
      <w:r>
        <w:t xml:space="preserve">Epoch Key Derivation</w:t>
      </w:r>
    </w:p>
    <w:p>
      <w:pPr>
        <w:pStyle w:val="FirstParagraph"/>
      </w:pPr>
      <w:r>
        <w:t xml:space="preserve">At epoch</w:t>
      </w:r>
      <w:r>
        <w:t xml:space="preserve"> </w:t>
      </w:r>
      <m:oMath>
        <m:r>
          <m:t>e</m:t>
        </m:r>
      </m:oMath>
      <w:r>
        <w:t xml:space="preserve">, the sending and receiving chain keys are derived from the root key:</w:t>
      </w:r>
    </w:p>
    <w:p>
      <w:pPr>
        <w:pStyle w:val="BodyText"/>
      </w:pPr>
      <m:oMathPara>
        <m:oMathParaPr>
          <m:jc m:val="center"/>
        </m:oMathParaPr>
        <m:oMath>
          <m:eqArr>
            <m:e>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sup>
              </m:sSubSup>
              <m:r>
                <m:t>&amp;</m:t>
              </m:r>
              <m:r>
                <m:rPr>
                  <m:sty m:val="p"/>
                </m:rPr>
                <m:t>=</m:t>
              </m:r>
              <m:r>
                <m:rPr>
                  <m:scr m:val="sans-serif"/>
                  <m:sty m:val="p"/>
                </m:rPr>
                <m:t>H</m:t>
              </m:r>
              <m:r>
                <m:rPr>
                  <m:scr m:val="sans-serif"/>
                  <m:sty m:val="p"/>
                </m:rPr>
                <m:t>K</m:t>
              </m:r>
              <m:r>
                <m:rPr>
                  <m:scr m:val="sans-serif"/>
                  <m:sty m:val="p"/>
                </m:rPr>
                <m:t>D</m:t>
              </m:r>
              <m:r>
                <m:rPr>
                  <m:scr m:val="sans-serif"/>
                  <m:sty m:val="p"/>
                </m:rPr>
                <m:t>F</m:t>
              </m:r>
              <m:r>
                <m:rPr>
                  <m:sty m:val="p"/>
                </m:rPr>
                <m:t>(</m:t>
              </m:r>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sup>
              </m:sSubSup>
              <m:r>
                <m:rPr>
                  <m:sty m:val="p"/>
                </m:rPr>
                <m:t>,</m:t>
              </m:r>
              <m:r>
                <m:t>e</m:t>
              </m:r>
              <m:r>
                <m:rPr>
                  <m:sty m:val="p"/>
                </m:rPr>
                <m:t>,</m:t>
              </m:r>
              <m:r>
                <m:rPr>
                  <m:nor/>
                  <m:sty m:val="p"/>
                </m:rPr>
                <m:t>“sending-chain”</m:t>
              </m:r>
              <m:r>
                <m:rPr>
                  <m:sty m:val="p"/>
                </m:rPr>
                <m:t>)</m:t>
              </m:r>
            </m:e>
            <m:e>
              <m:sSubSup>
                <m:e>
                  <m:r>
                    <m:t>K</m:t>
                  </m:r>
                </m:e>
                <m:sub>
                  <m:r>
                    <m:rPr>
                      <m:scr m:val="sans-serif"/>
                      <m:sty m:val="p"/>
                    </m:rPr>
                    <m:t>r</m:t>
                  </m:r>
                  <m:r>
                    <m:rPr>
                      <m:scr m:val="sans-serif"/>
                      <m:sty m:val="p"/>
                    </m:rPr>
                    <m:t>e</m:t>
                  </m:r>
                  <m:r>
                    <m:rPr>
                      <m:scr m:val="sans-serif"/>
                      <m:sty m:val="p"/>
                    </m:rPr>
                    <m:t>c</m:t>
                  </m:r>
                  <m:r>
                    <m:rPr>
                      <m:scr m:val="sans-serif"/>
                      <m:sty m:val="p"/>
                    </m:rPr>
                    <m:t>v</m:t>
                  </m:r>
                </m:sub>
                <m:sup>
                  <m:r>
                    <m:rPr>
                      <m:sty m:val="p"/>
                    </m:rPr>
                    <m:t>(</m:t>
                  </m:r>
                  <m:r>
                    <m:t>e</m:t>
                  </m:r>
                  <m:r>
                    <m:rPr>
                      <m:sty m:val="p"/>
                    </m:rPr>
                    <m:t>)</m:t>
                  </m:r>
                </m:sup>
              </m:sSubSup>
              <m:r>
                <m:t>&amp;</m:t>
              </m:r>
              <m:r>
                <m:rPr>
                  <m:sty m:val="p"/>
                </m:rPr>
                <m:t>=</m:t>
              </m:r>
              <m:r>
                <m:rPr>
                  <m:scr m:val="sans-serif"/>
                  <m:sty m:val="p"/>
                </m:rPr>
                <m:t>H</m:t>
              </m:r>
              <m:r>
                <m:rPr>
                  <m:scr m:val="sans-serif"/>
                  <m:sty m:val="p"/>
                </m:rPr>
                <m:t>K</m:t>
              </m:r>
              <m:r>
                <m:rPr>
                  <m:scr m:val="sans-serif"/>
                  <m:sty m:val="p"/>
                </m:rPr>
                <m:t>D</m:t>
              </m:r>
              <m:r>
                <m:rPr>
                  <m:scr m:val="sans-serif"/>
                  <m:sty m:val="p"/>
                </m:rPr>
                <m:t>F</m:t>
              </m:r>
              <m:r>
                <m:rPr>
                  <m:sty m:val="p"/>
                </m:rPr>
                <m:t>(</m:t>
              </m:r>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sup>
              </m:sSubSup>
              <m:r>
                <m:rPr>
                  <m:sty m:val="p"/>
                </m:rPr>
                <m:t>,</m:t>
              </m:r>
              <m:r>
                <m:t>e</m:t>
              </m:r>
              <m:r>
                <m:rPr>
                  <m:sty m:val="p"/>
                </m:rPr>
                <m:t>,</m:t>
              </m:r>
              <m:r>
                <m:rPr>
                  <m:nor/>
                  <m:sty m:val="p"/>
                </m:rPr>
                <m:t>“receiving-chain”</m:t>
              </m:r>
              <m:r>
                <m:rPr>
                  <m:sty m:val="p"/>
                </m:rPr>
                <m:t>)</m:t>
              </m:r>
            </m:e>
          </m:eqArr>
        </m:oMath>
      </m:oMathPara>
    </w:p>
    <w:p>
      <w:pPr>
        <w:pStyle w:val="FirstParagraph"/>
      </w:pPr>
      <w:r>
        <w:t xml:space="preserve">The root key itself advances irreversibly at each epoch:</w:t>
      </w:r>
    </w:p>
    <w:p>
      <w:pPr>
        <w:pStyle w:val="BodyText"/>
      </w:pPr>
      <m:oMathPara>
        <m:oMathParaPr>
          <m:jc m:val="center"/>
        </m:oMathParaPr>
        <m:oMath>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r>
                <m:t>1</m:t>
              </m:r>
              <m:r>
                <m:rPr>
                  <m:sty m:val="p"/>
                </m:rPr>
                <m:t>)</m:t>
              </m:r>
            </m:sup>
          </m:sSubSup>
          <m:r>
            <m:rPr>
              <m:sty m:val="p"/>
            </m:rPr>
            <m:t>=</m:t>
          </m:r>
          <m:r>
            <m:rPr>
              <m:scr m:val="sans-serif"/>
              <m:sty m:val="p"/>
            </m:rPr>
            <m:t>H</m:t>
          </m:r>
          <m:r>
            <m:rPr>
              <m:scr m:val="sans-serif"/>
              <m:sty m:val="p"/>
            </m:rPr>
            <m:t>K</m:t>
          </m:r>
          <m:r>
            <m:rPr>
              <m:scr m:val="sans-serif"/>
              <m:sty m:val="p"/>
            </m:rPr>
            <m:t>D</m:t>
          </m:r>
          <m:r>
            <m:rPr>
              <m:scr m:val="sans-serif"/>
              <m:sty m:val="p"/>
            </m:rPr>
            <m:t>F</m:t>
          </m:r>
          <m:r>
            <m:rPr>
              <m:sty m:val="p"/>
            </m:rPr>
            <m:t>(</m:t>
          </m:r>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sup>
          </m:sSubSup>
          <m:r>
            <m:rPr>
              <m:sty m:val="p"/>
            </m:rPr>
            <m:t>,</m:t>
          </m:r>
          <m:r>
            <m:t>e</m:t>
          </m:r>
          <m:r>
            <m:rPr>
              <m:sty m:val="p"/>
            </m:rPr>
            <m:t>,</m:t>
          </m:r>
          <m:r>
            <m:rPr>
              <m:nor/>
              <m:sty m:val="p"/>
            </m:rPr>
            <m:t>“root-advance”</m:t>
          </m:r>
          <m:r>
            <m:rPr>
              <m:sty m:val="p"/>
            </m:rPr>
            <m:t>)</m:t>
          </m:r>
        </m:oMath>
      </m:oMathPara>
    </w:p>
    <w:p>
      <w:pPr>
        <w:pStyle w:val="FirstParagraph"/>
      </w:pPr>
      <w:r>
        <w:t xml:space="preserve">This one-way derivation ensures that knowledge of</w:t>
      </w:r>
      <w:r>
        <w:t xml:space="preserve"> </w:t>
      </w:r>
      <m:oMath>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r>
              <m:t>1</m:t>
            </m:r>
            <m:r>
              <m:rPr>
                <m:sty m:val="p"/>
              </m:rPr>
              <m:t>)</m:t>
            </m:r>
          </m:sup>
        </m:sSubSup>
      </m:oMath>
      <w:r>
        <w:t xml:space="preserve"> </w:t>
      </w:r>
      <w:r>
        <w:t xml:space="preserve">does not reveal</w:t>
      </w:r>
      <w:r>
        <w:t xml:space="preserve"> </w:t>
      </w:r>
      <m:oMath>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sup>
        </m:sSubSup>
      </m:oMath>
      <w:r>
        <w:t xml:space="preserve">, providing forward secrecy at the epoch level.</w:t>
      </w:r>
    </w:p>
    <w:bookmarkEnd w:id="33"/>
    <w:bookmarkStart w:id="34" w:name="message-encryption"/>
    <w:p>
      <w:pPr>
        <w:pStyle w:val="Heading3"/>
      </w:pPr>
      <w:r>
        <w:t xml:space="preserve">Message Encryption</w:t>
      </w:r>
    </w:p>
    <w:p>
      <w:pPr>
        <w:pStyle w:val="FirstParagraph"/>
      </w:pPr>
      <w:r>
        <w:t xml:space="preserve">Within an epoch, message keys are derived via a symmetric chain ratchet. For the</w:t>
      </w:r>
      <w:r>
        <w:t xml:space="preserve"> </w:t>
      </w:r>
      <m:oMath>
        <m:r>
          <m:t>j</m:t>
        </m:r>
      </m:oMath>
      <w:r>
        <w:t xml:space="preserve">-th message in epoch</w:t>
      </w:r>
      <w:r>
        <w:t xml:space="preserve"> </w:t>
      </w:r>
      <m:oMath>
        <m:r>
          <m:t>e</m:t>
        </m:r>
      </m:oMath>
      <w:r>
        <w:t xml:space="preserve">:</w:t>
      </w:r>
    </w:p>
    <w:p>
      <w:pPr>
        <w:pStyle w:val="BodyText"/>
      </w:pPr>
      <m:oMathPara>
        <m:oMathParaPr>
          <m:jc m:val="center"/>
        </m:oMathParaPr>
        <m:oMath>
          <m:eqArr>
            <m:e>
              <m:sSubSup>
                <m:e>
                  <m:r>
                    <m:t>K</m:t>
                  </m:r>
                </m:e>
                <m:sub>
                  <m:r>
                    <m:rPr>
                      <m:scr m:val="sans-serif"/>
                      <m:sty m:val="p"/>
                    </m:rPr>
                    <m:t>m</m:t>
                  </m:r>
                  <m:r>
                    <m:rPr>
                      <m:scr m:val="sans-serif"/>
                      <m:sty m:val="p"/>
                    </m:rPr>
                    <m:t>s</m:t>
                  </m:r>
                  <m:r>
                    <m:rPr>
                      <m:scr m:val="sans-serif"/>
                      <m:sty m:val="p"/>
                    </m:rPr>
                    <m:t>g</m:t>
                  </m:r>
                </m:sub>
                <m:sup>
                  <m:r>
                    <m:rPr>
                      <m:sty m:val="p"/>
                    </m:rPr>
                    <m:t>(</m:t>
                  </m:r>
                  <m:r>
                    <m:t>e</m:t>
                  </m:r>
                  <m:r>
                    <m:rPr>
                      <m:sty m:val="p"/>
                    </m:rPr>
                    <m:t>,</m:t>
                  </m:r>
                  <m:r>
                    <m:t>j</m:t>
                  </m:r>
                  <m:r>
                    <m:rPr>
                      <m:sty m:val="p"/>
                    </m:rPr>
                    <m:t>)</m:t>
                  </m:r>
                </m:sup>
              </m:sSubSup>
              <m:r>
                <m:t>&amp;</m:t>
              </m:r>
              <m:r>
                <m:rPr>
                  <m:sty m:val="p"/>
                </m:rPr>
                <m:t>=</m:t>
              </m:r>
              <m:r>
                <m:rPr>
                  <m:scr m:val="sans-serif"/>
                  <m:sty m:val="p"/>
                </m:rPr>
                <m:t>H</m:t>
              </m:r>
              <m:r>
                <m:rPr>
                  <m:scr m:val="sans-serif"/>
                  <m:sty m:val="p"/>
                </m:rPr>
                <m:t>K</m:t>
              </m:r>
              <m:r>
                <m:rPr>
                  <m:scr m:val="sans-serif"/>
                  <m:sty m:val="p"/>
                </m:rPr>
                <m:t>D</m:t>
              </m:r>
              <m:r>
                <m:rPr>
                  <m:scr m:val="sans-serif"/>
                  <m:sty m:val="p"/>
                </m:rPr>
                <m:t>F</m:t>
              </m:r>
              <m:r>
                <m:rPr>
                  <m:sty m:val="p"/>
                </m:rPr>
                <m:t>(</m:t>
              </m:r>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r>
                    <m:t>j</m:t>
                  </m:r>
                  <m:r>
                    <m:rPr>
                      <m:sty m:val="p"/>
                    </m:rPr>
                    <m:t>)</m:t>
                  </m:r>
                </m:sup>
              </m:sSubSup>
              <m:r>
                <m:rPr>
                  <m:sty m:val="p"/>
                </m:rPr>
                <m:t>,</m:t>
              </m:r>
              <m:r>
                <m:t>j</m:t>
              </m:r>
              <m:r>
                <m:rPr>
                  <m:sty m:val="p"/>
                </m:rPr>
                <m:t>,</m:t>
              </m:r>
              <m:r>
                <m:rPr>
                  <m:nor/>
                  <m:sty m:val="p"/>
                </m:rPr>
                <m:t>“message-key”</m:t>
              </m:r>
              <m:r>
                <m:rPr>
                  <m:sty m:val="p"/>
                </m:rPr>
                <m:t>)</m:t>
              </m:r>
            </m:e>
            <m:e>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r>
                    <m:t>j</m:t>
                  </m:r>
                  <m:r>
                    <m:rPr>
                      <m:sty m:val="p"/>
                    </m:rPr>
                    <m:t>+</m:t>
                  </m:r>
                  <m:r>
                    <m:t>1</m:t>
                  </m:r>
                  <m:r>
                    <m:rPr>
                      <m:sty m:val="p"/>
                    </m:rPr>
                    <m:t>)</m:t>
                  </m:r>
                </m:sup>
              </m:sSubSup>
              <m:r>
                <m:t>&amp;</m:t>
              </m:r>
              <m:r>
                <m:rPr>
                  <m:sty m:val="p"/>
                </m:rPr>
                <m:t>=</m:t>
              </m:r>
              <m:r>
                <m:rPr>
                  <m:scr m:val="sans-serif"/>
                  <m:sty m:val="p"/>
                </m:rPr>
                <m:t>H</m:t>
              </m:r>
              <m:r>
                <m:rPr>
                  <m:scr m:val="sans-serif"/>
                  <m:sty m:val="p"/>
                </m:rPr>
                <m:t>K</m:t>
              </m:r>
              <m:r>
                <m:rPr>
                  <m:scr m:val="sans-serif"/>
                  <m:sty m:val="p"/>
                </m:rPr>
                <m:t>D</m:t>
              </m:r>
              <m:r>
                <m:rPr>
                  <m:scr m:val="sans-serif"/>
                  <m:sty m:val="p"/>
                </m:rPr>
                <m:t>F</m:t>
              </m:r>
              <m:r>
                <m:rPr>
                  <m:sty m:val="p"/>
                </m:rPr>
                <m:t>(</m:t>
              </m:r>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r>
                    <m:t>j</m:t>
                  </m:r>
                  <m:r>
                    <m:rPr>
                      <m:sty m:val="p"/>
                    </m:rPr>
                    <m:t>)</m:t>
                  </m:r>
                </m:sup>
              </m:sSubSup>
              <m:r>
                <m:rPr>
                  <m:sty m:val="p"/>
                </m:rPr>
                <m:t>,</m:t>
              </m:r>
              <m:r>
                <m:t>j</m:t>
              </m:r>
              <m:r>
                <m:rPr>
                  <m:sty m:val="p"/>
                </m:rPr>
                <m:t>,</m:t>
              </m:r>
              <m:r>
                <m:rPr>
                  <m:nor/>
                  <m:sty m:val="p"/>
                </m:rPr>
                <m:t>“chain-advance”</m:t>
              </m:r>
              <m:r>
                <m:rPr>
                  <m:sty m:val="p"/>
                </m:rPr>
                <m:t>)</m:t>
              </m:r>
            </m:e>
          </m:eqArr>
        </m:oMath>
      </m:oMathPara>
    </w:p>
    <w:p>
      <w:pPr>
        <w:pStyle w:val="FirstParagraph"/>
      </w:pPr>
      <w:r>
        <w:t xml:space="preserve">The message key</w:t>
      </w:r>
      <w:r>
        <w:t xml:space="preserve"> </w:t>
      </w:r>
      <m:oMath>
        <m:sSubSup>
          <m:e>
            <m:r>
              <m:t>K</m:t>
            </m:r>
          </m:e>
          <m:sub>
            <m:r>
              <m:rPr>
                <m:scr m:val="sans-serif"/>
                <m:sty m:val="p"/>
              </m:rPr>
              <m:t>m</m:t>
            </m:r>
            <m:r>
              <m:rPr>
                <m:scr m:val="sans-serif"/>
                <m:sty m:val="p"/>
              </m:rPr>
              <m:t>s</m:t>
            </m:r>
            <m:r>
              <m:rPr>
                <m:scr m:val="sans-serif"/>
                <m:sty m:val="p"/>
              </m:rPr>
              <m:t>g</m:t>
            </m:r>
          </m:sub>
          <m:sup>
            <m:r>
              <m:rPr>
                <m:sty m:val="p"/>
              </m:rPr>
              <m:t>(</m:t>
            </m:r>
            <m:r>
              <m:t>e</m:t>
            </m:r>
            <m:r>
              <m:rPr>
                <m:sty m:val="p"/>
              </m:rPr>
              <m:t>,</m:t>
            </m:r>
            <m:r>
              <m:t>j</m:t>
            </m:r>
            <m:r>
              <m:rPr>
                <m:sty m:val="p"/>
              </m:rPr>
              <m:t>)</m:t>
            </m:r>
          </m:sup>
        </m:sSubSup>
      </m:oMath>
      <w:r>
        <w:t xml:space="preserve"> </w:t>
      </w:r>
      <w:r>
        <w:t xml:space="preserve">is used as the AES-256-GCM key with a fresh 96-bit nonce:</w:t>
      </w:r>
    </w:p>
    <w:p>
      <w:pPr>
        <w:pStyle w:val="BodyText"/>
      </w:pPr>
      <m:oMathPara>
        <m:oMathParaPr>
          <m:jc m:val="center"/>
        </m:oMathParaPr>
        <m:oMath>
          <m:r>
            <m:t>c</m:t>
          </m:r>
          <m:r>
            <m:t>t</m:t>
          </m:r>
          <m:r>
            <m:rPr>
              <m:sty m:val="p"/>
            </m:rPr>
            <m:t>=</m:t>
          </m:r>
          <m:r>
            <m:rPr>
              <m:scr m:val="sans-serif"/>
              <m:sty m:val="p"/>
            </m:rPr>
            <m:t>A</m:t>
          </m:r>
          <m:r>
            <m:rPr>
              <m:scr m:val="sans-serif"/>
              <m:sty m:val="p"/>
            </m:rPr>
            <m:t>E</m:t>
          </m:r>
          <m:r>
            <m:rPr>
              <m:scr m:val="sans-serif"/>
              <m:sty m:val="p"/>
            </m:rPr>
            <m:t>S</m:t>
          </m:r>
          <m:r>
            <m:rPr>
              <m:nor/>
              <m:sty m:val="p"/>
            </m:rPr>
            <m:t>-</m:t>
          </m:r>
          <m:r>
            <m:rPr>
              <m:scr m:val="sans-serif"/>
              <m:sty m:val="p"/>
            </m:rPr>
            <m:t>256</m:t>
          </m:r>
          <m:r>
            <m:rPr>
              <m:nor/>
              <m:sty m:val="p"/>
            </m:rPr>
            <m:t>-</m:t>
          </m:r>
          <m:r>
            <m:rPr>
              <m:scr m:val="sans-serif"/>
              <m:sty m:val="p"/>
            </m:rPr>
            <m:t>G</m:t>
          </m:r>
          <m:r>
            <m:rPr>
              <m:scr m:val="sans-serif"/>
              <m:sty m:val="p"/>
            </m:rPr>
            <m:t>C</m:t>
          </m:r>
          <m:r>
            <m:rPr>
              <m:scr m:val="sans-serif"/>
              <m:sty m:val="p"/>
            </m:rPr>
            <m:t>M</m:t>
          </m:r>
          <m:r>
            <m:rPr>
              <m:scr m:val="sans-serif"/>
              <m:sty m:val="p"/>
            </m:rPr>
            <m:t>.</m:t>
          </m:r>
          <m:r>
            <m:rPr>
              <m:scr m:val="sans-serif"/>
              <m:sty m:val="p"/>
            </m:rPr>
            <m:t>E</m:t>
          </m:r>
          <m:r>
            <m:rPr>
              <m:scr m:val="sans-serif"/>
              <m:sty m:val="p"/>
            </m:rPr>
            <m:t>n</m:t>
          </m:r>
          <m:r>
            <m:rPr>
              <m:scr m:val="sans-serif"/>
              <m:sty m:val="p"/>
            </m:rPr>
            <m:t>c</m:t>
          </m:r>
          <m:r>
            <m:rPr>
              <m:sty m:val="p"/>
            </m:rPr>
            <m:t>(</m:t>
          </m:r>
          <m:sSubSup>
            <m:e>
              <m:r>
                <m:t>K</m:t>
              </m:r>
            </m:e>
            <m:sub>
              <m:r>
                <m:rPr>
                  <m:scr m:val="sans-serif"/>
                  <m:sty m:val="p"/>
                </m:rPr>
                <m:t>m</m:t>
              </m:r>
              <m:r>
                <m:rPr>
                  <m:scr m:val="sans-serif"/>
                  <m:sty m:val="p"/>
                </m:rPr>
                <m:t>s</m:t>
              </m:r>
              <m:r>
                <m:rPr>
                  <m:scr m:val="sans-serif"/>
                  <m:sty m:val="p"/>
                </m:rPr>
                <m:t>g</m:t>
              </m:r>
            </m:sub>
            <m:sup>
              <m:r>
                <m:rPr>
                  <m:sty m:val="p"/>
                </m:rPr>
                <m:t>(</m:t>
              </m:r>
              <m:r>
                <m:t>e</m:t>
              </m:r>
              <m:r>
                <m:rPr>
                  <m:sty m:val="p"/>
                </m:rPr>
                <m:t>,</m:t>
              </m:r>
              <m:r>
                <m:t>j</m:t>
              </m:r>
              <m:r>
                <m:rPr>
                  <m:sty m:val="p"/>
                </m:rPr>
                <m:t>)</m:t>
              </m:r>
            </m:sup>
          </m:sSubSup>
          <m:r>
            <m:rPr>
              <m:sty m:val="p"/>
            </m:rPr>
            <m:t>,</m:t>
          </m:r>
          <m:r>
            <m:rPr>
              <m:scr m:val="sans-serif"/>
              <m:sty m:val="p"/>
            </m:rPr>
            <m:t>n</m:t>
          </m:r>
          <m:r>
            <m:rPr>
              <m:scr m:val="sans-serif"/>
              <m:sty m:val="p"/>
            </m:rPr>
            <m:t>o</m:t>
          </m:r>
          <m:r>
            <m:rPr>
              <m:scr m:val="sans-serif"/>
              <m:sty m:val="p"/>
            </m:rPr>
            <m:t>n</m:t>
          </m:r>
          <m:r>
            <m:rPr>
              <m:scr m:val="sans-serif"/>
              <m:sty m:val="p"/>
            </m:rPr>
            <m:t>c</m:t>
          </m:r>
          <m:r>
            <m:rPr>
              <m:scr m:val="sans-serif"/>
              <m:sty m:val="p"/>
            </m:rPr>
            <m:t>e</m:t>
          </m:r>
          <m:r>
            <m:rPr>
              <m:sty m:val="p"/>
            </m:rPr>
            <m:t>,</m:t>
          </m:r>
          <m:r>
            <m:t>m</m:t>
          </m:r>
          <m:r>
            <m:rPr>
              <m:sty m:val="p"/>
            </m:rPr>
            <m:t>)</m:t>
          </m:r>
        </m:oMath>
      </m:oMathPara>
    </w:p>
    <w:p>
      <w:pPr>
        <w:pStyle w:val="FirstParagraph"/>
      </w:pPr>
      <w:r>
        <w:t xml:space="preserve">The message key is zeroized immediately after use, ensuring that compromise of the chain key at step</w:t>
      </w:r>
      <w:r>
        <w:t xml:space="preserve"> </w:t>
      </w:r>
      <m:oMath>
        <m:r>
          <m:t>j</m:t>
        </m:r>
        <m:r>
          <m:rPr>
            <m:sty m:val="p"/>
          </m:rPr>
          <m:t>+</m:t>
        </m:r>
        <m:r>
          <m:t>1</m:t>
        </m:r>
      </m:oMath>
      <w:r>
        <w:t xml:space="preserve"> </w:t>
      </w:r>
      <w:r>
        <w:t xml:space="preserve">does not reveal</w:t>
      </w:r>
      <w:r>
        <w:t xml:space="preserve"> </w:t>
      </w:r>
      <m:oMath>
        <m:sSubSup>
          <m:e>
            <m:r>
              <m:t>K</m:t>
            </m:r>
          </m:e>
          <m:sub>
            <m:r>
              <m:rPr>
                <m:scr m:val="sans-serif"/>
                <m:sty m:val="p"/>
              </m:rPr>
              <m:t>m</m:t>
            </m:r>
            <m:r>
              <m:rPr>
                <m:scr m:val="sans-serif"/>
                <m:sty m:val="p"/>
              </m:rPr>
              <m:t>s</m:t>
            </m:r>
            <m:r>
              <m:rPr>
                <m:scr m:val="sans-serif"/>
                <m:sty m:val="p"/>
              </m:rPr>
              <m:t>g</m:t>
            </m:r>
          </m:sub>
          <m:sup>
            <m:r>
              <m:rPr>
                <m:sty m:val="p"/>
              </m:rPr>
              <m:t>(</m:t>
            </m:r>
            <m:r>
              <m:t>e</m:t>
            </m:r>
            <m:r>
              <m:rPr>
                <m:sty m:val="p"/>
              </m:rPr>
              <m:t>,</m:t>
            </m:r>
            <m:r>
              <m:t>j</m:t>
            </m:r>
            <m:r>
              <m:rPr>
                <m:sty m:val="p"/>
              </m:rPr>
              <m:t>)</m:t>
            </m:r>
          </m:sup>
        </m:sSubSup>
      </m:oMath>
      <w:r>
        <w:t xml:space="preserve">.</w:t>
      </w:r>
    </w:p>
    <w:bookmarkEnd w:id="34"/>
    <w:bookmarkEnd w:id="35"/>
    <w:bookmarkStart w:id="37" w:name="epoch-management-and-ratchet-modes"/>
    <w:p>
      <w:pPr>
        <w:pStyle w:val="Heading2"/>
      </w:pPr>
      <w:r>
        <w:t xml:space="preserve">Epoch Management and Ratchet Modes</w:t>
      </w:r>
    </w:p>
    <w:p>
      <w:pPr>
        <w:pStyle w:val="FirstParagraph"/>
      </w:pPr>
      <w:r>
        <w:t xml:space="preserve">Different ATC channels have vastly different communication patterns, motivating four ratchet modes:</w:t>
      </w:r>
    </w:p>
    <w:bookmarkStart w:id="36" w:name="tab:ratchet_config"/>
    <w:p>
      <w:pPr>
        <w:pStyle w:val="TableCaption"/>
      </w:pPr>
      <w:r>
        <w:t xml:space="preserve">Channel-Specific Ratchet Configuration</w:t>
      </w:r>
    </w:p>
    <w:tbl>
      <w:tblPr>
        <w:tblStyle w:val="Table"/>
        <w:tblW w:type="auto" w:w="0"/>
        <w:tblLook w:firstRow="1" w:lastRow="0" w:firstColumn="0" w:lastColumn="0" w:noHBand="0" w:noVBand="0" w:val="0020"/>
        <w:tblCaption w:val="Channel-Specific Ratchet Configuration"/>
      </w:tblPr>
      <w:tblGrid>
        <w:gridCol w:w="1584"/>
        <w:gridCol w:w="1584"/>
        <w:gridCol w:w="1584"/>
        <w:gridCol w:w="1584"/>
        <w:gridCol w:w="1584"/>
      </w:tblGrid>
      <w:tr>
        <w:trPr>
          <w:tblHeader w:val="on"/>
        </w:trPr>
        <w:tc>
          <w:tcPr/>
          <w:p>
            <w:pPr>
              <w:pStyle w:val="Compact"/>
              <w:jc w:val="left"/>
            </w:pPr>
            <w:r>
              <w:rPr>
                <w:b/>
                <w:bCs/>
              </w:rPr>
              <w:t xml:space="preserve">Channel</w:t>
            </w:r>
          </w:p>
        </w:tc>
        <w:tc>
          <w:tcPr/>
          <w:p>
            <w:pPr>
              <w:pStyle w:val="Compact"/>
              <w:jc w:val="center"/>
            </w:pPr>
            <w:r>
              <w:rPr>
                <w:b/>
                <w:bCs/>
              </w:rPr>
              <w:t xml:space="preserve">Epoch (s)</w:t>
            </w:r>
          </w:p>
        </w:tc>
        <w:tc>
          <w:tcPr/>
          <w:p>
            <w:pPr>
              <w:pStyle w:val="Compact"/>
              <w:jc w:val="center"/>
            </w:pPr>
            <w:r>
              <w:rPr>
                <w:b/>
                <w:bCs/>
              </w:rPr>
              <w:t xml:space="preserve">Msgs/Epoch</w:t>
            </w:r>
          </w:p>
        </w:tc>
        <w:tc>
          <w:tcPr/>
          <w:p>
            <w:pPr>
              <w:pStyle w:val="Compact"/>
              <w:jc w:val="center"/>
            </w:pPr>
            <w:r>
              <w:rPr>
                <w:b/>
                <w:bCs/>
              </w:rPr>
              <w:t xml:space="preserve">Mode</w:t>
            </w:r>
          </w:p>
        </w:tc>
        <w:tc>
          <w:tcPr/>
          <w:p>
            <w:pPr>
              <w:pStyle w:val="Compact"/>
            </w:pPr>
          </w:p>
        </w:tc>
      </w:tr>
      <w:tr>
        <w:tc>
          <w:tcPr/>
          <w:p>
            <w:pPr>
              <w:pStyle w:val="Compact"/>
              <w:jc w:val="left"/>
            </w:pPr>
            <w:r>
              <w:t xml:space="preserve">ACARS</w:t>
            </w:r>
          </w:p>
        </w:tc>
        <w:tc>
          <w:tcPr/>
          <w:p>
            <w:pPr>
              <w:pStyle w:val="Compact"/>
              <w:jc w:val="center"/>
            </w:pPr>
            <w:r>
              <w:t xml:space="preserve">600</w:t>
            </w:r>
          </w:p>
        </w:tc>
        <w:tc>
          <w:tcPr/>
          <w:p>
            <w:pPr>
              <w:pStyle w:val="Compact"/>
              <w:jc w:val="center"/>
            </w:pPr>
            <w:r>
              <w:t xml:space="preserve">500</w:t>
            </w:r>
          </w:p>
        </w:tc>
        <w:tc>
          <w:tcPr/>
          <w:p>
            <w:pPr>
              <w:pStyle w:val="Compact"/>
              <w:jc w:val="center"/>
            </w:pPr>
            <w:r>
              <w:t xml:space="preserve">PER_EPOCH</w:t>
            </w:r>
          </w:p>
        </w:tc>
        <w:tc>
          <w:tcPr/>
          <w:p>
            <w:pPr>
              <w:pStyle w:val="Compact"/>
            </w:pPr>
          </w:p>
        </w:tc>
      </w:tr>
      <w:tr>
        <w:tc>
          <w:tcPr/>
          <w:p>
            <w:pPr>
              <w:pStyle w:val="Compact"/>
              <w:jc w:val="left"/>
            </w:pPr>
            <w:r>
              <w:t xml:space="preserve">CPDLC</w:t>
            </w:r>
          </w:p>
        </w:tc>
        <w:tc>
          <w:tcPr/>
          <w:p>
            <w:pPr>
              <w:pStyle w:val="Compact"/>
              <w:jc w:val="center"/>
            </w:pPr>
            <w:r>
              <w:t xml:space="preserve">300</w:t>
            </w:r>
          </w:p>
        </w:tc>
        <w:tc>
          <w:tcPr/>
          <w:p>
            <w:pPr>
              <w:pStyle w:val="Compact"/>
              <w:jc w:val="center"/>
            </w:pPr>
            <w:r>
              <w:t xml:space="preserve">100</w:t>
            </w:r>
          </w:p>
        </w:tc>
        <w:tc>
          <w:tcPr/>
          <w:p>
            <w:pPr>
              <w:pStyle w:val="Compact"/>
              <w:jc w:val="center"/>
            </w:pPr>
            <w:r>
              <w:t xml:space="preserve">PER_EXCHANGE</w:t>
            </w:r>
          </w:p>
        </w:tc>
        <w:tc>
          <w:tcPr/>
          <w:p>
            <w:pPr>
              <w:pStyle w:val="Compact"/>
            </w:pPr>
          </w:p>
        </w:tc>
      </w:tr>
      <w:tr>
        <w:tc>
          <w:tcPr/>
          <w:p>
            <w:pPr>
              <w:pStyle w:val="Compact"/>
              <w:jc w:val="left"/>
            </w:pPr>
            <w:r>
              <w:t xml:space="preserve">ADS-C</w:t>
            </w:r>
          </w:p>
        </w:tc>
        <w:tc>
          <w:tcPr/>
          <w:p>
            <w:pPr>
              <w:pStyle w:val="Compact"/>
              <w:jc w:val="center"/>
            </w:pPr>
            <w:r>
              <w:t xml:space="preserve">1800</w:t>
            </w:r>
          </w:p>
        </w:tc>
        <w:tc>
          <w:tcPr/>
          <w:p>
            <w:pPr>
              <w:pStyle w:val="Compact"/>
              <w:jc w:val="center"/>
            </w:pPr>
            <w:r>
              <w:t xml:space="preserve">2000</w:t>
            </w:r>
          </w:p>
        </w:tc>
        <w:tc>
          <w:tcPr/>
          <w:p>
            <w:pPr>
              <w:pStyle w:val="Compact"/>
              <w:jc w:val="center"/>
            </w:pPr>
            <w:r>
              <w:t xml:space="preserve">PER_EPOCH</w:t>
            </w:r>
          </w:p>
        </w:tc>
        <w:tc>
          <w:tcPr/>
          <w:p>
            <w:pPr>
              <w:pStyle w:val="Compact"/>
            </w:pPr>
          </w:p>
        </w:tc>
      </w:tr>
      <w:tr>
        <w:tc>
          <w:tcPr/>
          <w:p>
            <w:pPr>
              <w:pStyle w:val="Compact"/>
              <w:jc w:val="left"/>
            </w:pPr>
            <w:r>
              <w:t xml:space="preserve">LDACS</w:t>
            </w:r>
          </w:p>
        </w:tc>
        <w:tc>
          <w:tcPr/>
          <w:p>
            <w:pPr>
              <w:pStyle w:val="Compact"/>
              <w:jc w:val="center"/>
            </w:pPr>
            <w:r>
              <w:t xml:space="preserve">120</w:t>
            </w:r>
          </w:p>
        </w:tc>
        <w:tc>
          <w:tcPr/>
          <w:p>
            <w:pPr>
              <w:pStyle w:val="Compact"/>
              <w:jc w:val="center"/>
            </w:pPr>
            <w:r>
              <w:t xml:space="preserve">10000</w:t>
            </w:r>
          </w:p>
        </w:tc>
        <w:tc>
          <w:tcPr/>
          <w:p>
            <w:pPr>
              <w:pStyle w:val="Compact"/>
              <w:jc w:val="center"/>
            </w:pPr>
            <w:r>
              <w:t xml:space="preserve">PER_MESSAGE</w:t>
            </w:r>
          </w:p>
        </w:tc>
        <w:tc>
          <w:tcPr/>
          <w:p>
            <w:pPr>
              <w:pStyle w:val="Compact"/>
            </w:pPr>
          </w:p>
        </w:tc>
      </w:tr>
    </w:tbl>
    <w:bookmarkEnd w:id="36"/>
    <w:p>
      <w:pPr>
        <w:pStyle w:val="BodyText"/>
      </w:pPr>
      <w:r>
        <w:rPr>
          <w:b/>
          <w:bCs/>
        </w:rPr>
        <w:t xml:space="preserve">PER_MESSAGE</w:t>
      </w:r>
      <w:r>
        <w:t xml:space="preserve"> </w:t>
      </w:r>
      <w:r>
        <w:t xml:space="preserve">(LDACS): The asymmetric ratchet advances with every message. This provides the strongest forward secrecy guarantees at the cost of an ML-KEM key exchange per message. This mode is practical only on high-bandwidth channels like LDACS (100 kbps) where the 1,088-byte ciphertext overhead is acceptable.</w:t>
      </w:r>
    </w:p>
    <w:p>
      <w:pPr>
        <w:pStyle w:val="BodyText"/>
      </w:pPr>
      <w:r>
        <w:rPr>
          <w:b/>
          <w:bCs/>
        </w:rPr>
        <w:t xml:space="preserve">PER_EPOCH</w:t>
      </w:r>
      <w:r>
        <w:t xml:space="preserve"> </w:t>
      </w:r>
      <w:r>
        <w:t xml:space="preserve">(ACARS, ADS-C): The asymmetric ratchet advances at fixed time intervals (epoch boundaries). Between epochs, only the symmetric chain ratchet advances. This balances forward secrecy granularity against bandwidth cost for low-bandwidth channels.</w:t>
      </w:r>
    </w:p>
    <w:p>
      <w:pPr>
        <w:pStyle w:val="BodyText"/>
      </w:pPr>
      <w:r>
        <w:rPr>
          <w:b/>
          <w:bCs/>
        </w:rPr>
        <w:t xml:space="preserve">PER_EXCHANGE</w:t>
      </w:r>
      <w:r>
        <w:t xml:space="preserve"> </w:t>
      </w:r>
      <w:r>
        <w:t xml:space="preserve">(CPDLC): The asymmetric ratchet advances whenever the communication direction changes (i.e., when the previously receiving party sends a message). This matches CPDLC’s request-response pattern where controllers issue instructions and pilots acknowledge.</w:t>
      </w:r>
    </w:p>
    <w:p>
      <w:pPr>
        <w:pStyle w:val="BodyText"/>
      </w:pPr>
      <w:r>
        <w:rPr>
          <w:b/>
          <w:bCs/>
        </w:rPr>
        <w:t xml:space="preserve">Periodic ratchet:</w:t>
      </w:r>
      <w:r>
        <w:t xml:space="preserve"> </w:t>
      </w:r>
      <w:r>
        <w:t xml:space="preserve">A hybrid where the asymmetric ratchet advances at fixed intervals but also advances on direction changes. This provides the benefits of both PER_EPOCH and PER_EXCHANGE modes.</w:t>
      </w:r>
    </w:p>
    <w:p>
      <w:pPr>
        <w:pStyle w:val="BodyText"/>
      </w:pPr>
      <w:r>
        <w:t xml:space="preserve">Epoch rotation is triggered when either the time limit or the message count limit is reached:</w:t>
      </w:r>
    </w:p>
    <w:p>
      <w:pPr>
        <w:pStyle w:val="BodyText"/>
      </w:pPr>
      <m:oMathPara>
        <m:oMathParaPr>
          <m:jc m:val="center"/>
        </m:oMathParaPr>
        <m:oMath>
          <m:r>
            <m:rPr>
              <m:scr m:val="sans-serif"/>
              <m:sty m:val="p"/>
            </m:rPr>
            <m:t>r</m:t>
          </m:r>
          <m:r>
            <m:rPr>
              <m:scr m:val="sans-serif"/>
              <m:sty m:val="p"/>
            </m:rPr>
            <m:t>o</m:t>
          </m:r>
          <m:r>
            <m:rPr>
              <m:scr m:val="sans-serif"/>
              <m:sty m:val="p"/>
            </m:rPr>
            <m:t>t</m:t>
          </m:r>
          <m:r>
            <m:rPr>
              <m:scr m:val="sans-serif"/>
              <m:sty m:val="p"/>
            </m:rPr>
            <m:t>a</m:t>
          </m:r>
          <m:r>
            <m:rPr>
              <m:scr m:val="sans-serif"/>
              <m:sty m:val="p"/>
            </m:rPr>
            <m:t>t</m:t>
          </m:r>
          <m:r>
            <m:rPr>
              <m:scr m:val="sans-serif"/>
              <m:sty m:val="p"/>
            </m:rPr>
            <m:t>e</m:t>
          </m:r>
          <m:r>
            <m:rPr>
              <m:sty m:val="p"/>
            </m:rPr>
            <m:t>=</m:t>
          </m:r>
          <m:r>
            <m:rPr>
              <m:sty m:val="p"/>
            </m:rPr>
            <m:t>(</m:t>
          </m:r>
          <m:r>
            <m:t>t</m:t>
          </m:r>
          <m:r>
            <m:rPr>
              <m:sty m:val="p"/>
            </m:rPr>
            <m:t>−</m:t>
          </m:r>
          <m:sSub>
            <m:e>
              <m:r>
                <m:t>t</m:t>
              </m:r>
            </m:e>
            <m:sub>
              <m:r>
                <m:rPr>
                  <m:scr m:val="sans-serif"/>
                  <m:sty m:val="p"/>
                </m:rPr>
                <m:t>e</m:t>
              </m:r>
              <m:r>
                <m:rPr>
                  <m:scr m:val="sans-serif"/>
                  <m:sty m:val="p"/>
                </m:rPr>
                <m:t>p</m:t>
              </m:r>
              <m:r>
                <m:rPr>
                  <m:scr m:val="sans-serif"/>
                  <m:sty m:val="p"/>
                </m:rPr>
                <m:t>o</m:t>
              </m:r>
              <m:r>
                <m:rPr>
                  <m:scr m:val="sans-serif"/>
                  <m:sty m:val="p"/>
                </m:rPr>
                <m:t>c</m:t>
              </m:r>
              <m:r>
                <m:rPr>
                  <m:scr m:val="sans-serif"/>
                  <m:sty m:val="p"/>
                </m:rPr>
                <m:t>h</m:t>
              </m:r>
              <m:r>
                <m:rPr>
                  <m:scr m:val="sans-serif"/>
                  <m:sty m:val="p"/>
                </m:rPr>
                <m:t>_</m:t>
              </m:r>
              <m:r>
                <m:rPr>
                  <m:scr m:val="sans-serif"/>
                  <m:sty m:val="p"/>
                </m:rPr>
                <m:t>s</m:t>
              </m:r>
              <m:r>
                <m:rPr>
                  <m:scr m:val="sans-serif"/>
                  <m:sty m:val="p"/>
                </m:rPr>
                <m:t>t</m:t>
              </m:r>
              <m:r>
                <m:rPr>
                  <m:scr m:val="sans-serif"/>
                  <m:sty m:val="p"/>
                </m:rPr>
                <m:t>a</m:t>
              </m:r>
              <m:r>
                <m:rPr>
                  <m:scr m:val="sans-serif"/>
                  <m:sty m:val="p"/>
                </m:rPr>
                <m:t>r</m:t>
              </m:r>
              <m:r>
                <m:rPr>
                  <m:scr m:val="sans-serif"/>
                  <m:sty m:val="p"/>
                </m:rPr>
                <m:t>t</m:t>
              </m:r>
            </m:sub>
          </m:sSub>
          <m:r>
            <m:rPr>
              <m:sty m:val="p"/>
            </m:rPr>
            <m:t>≥</m:t>
          </m:r>
          <m:sSub>
            <m:e>
              <m:r>
                <m:rPr>
                  <m:sty m:val="p"/>
                </m:rPr>
                <m:t>Δ</m:t>
              </m:r>
            </m:e>
            <m:sub>
              <m:r>
                <m:t>e</m:t>
              </m:r>
            </m:sub>
          </m:sSub>
          <m:r>
            <m:rPr>
              <m:sty m:val="p"/>
            </m:rPr>
            <m:t>)</m:t>
          </m:r>
          <m:r>
            <m:rPr>
              <m:sty m:val="p"/>
            </m:rPr>
            <m:t>∨</m:t>
          </m:r>
          <m:r>
            <m:rPr>
              <m:sty m:val="p"/>
            </m:rPr>
            <m:t>(</m:t>
          </m:r>
          <m:r>
            <m:t>j</m:t>
          </m:r>
          <m:r>
            <m:rPr>
              <m:sty m:val="p"/>
            </m:rPr>
            <m:t>≥</m:t>
          </m:r>
          <m:sSub>
            <m:e>
              <m:r>
                <m:t>J</m:t>
              </m:r>
            </m:e>
            <m:sub>
              <m:r>
                <m:rPr>
                  <m:sty m:val="p"/>
                </m:rPr>
                <m:t>max</m:t>
              </m:r>
            </m:sub>
          </m:sSub>
          <m:r>
            <m:rPr>
              <m:sty m:val="p"/>
            </m:rPr>
            <m:t>)</m:t>
          </m:r>
        </m:oMath>
      </m:oMathPara>
    </w:p>
    <w:p>
      <w:pPr>
        <w:pStyle w:val="FirstParagraph"/>
      </w:pPr>
      <w:r>
        <w:t xml:space="preserve">where</w:t>
      </w:r>
      <w:r>
        <w:t xml:space="preserve"> </w:t>
      </w:r>
      <m:oMath>
        <m:sSub>
          <m:e>
            <m:r>
              <m:rPr>
                <m:sty m:val="p"/>
              </m:rPr>
              <m:t>Δ</m:t>
            </m:r>
          </m:e>
          <m:sub>
            <m:r>
              <m:t>e</m:t>
            </m:r>
          </m:sub>
        </m:sSub>
      </m:oMath>
      <w:r>
        <w:t xml:space="preserve"> </w:t>
      </w:r>
      <w:r>
        <w:t xml:space="preserve">is the epoch duration and</w:t>
      </w:r>
      <w:r>
        <w:t xml:space="preserve"> </w:t>
      </w:r>
      <m:oMath>
        <m:sSub>
          <m:e>
            <m:r>
              <m:t>J</m:t>
            </m:r>
          </m:e>
          <m:sub>
            <m:r>
              <m:rPr>
                <m:sty m:val="p"/>
              </m:rPr>
              <m:t>max</m:t>
            </m:r>
          </m:sub>
        </m:sSub>
      </m:oMath>
      <w:r>
        <w:t xml:space="preserve"> </w:t>
      </w:r>
      <w:r>
        <w:t xml:space="preserve">is the per-epoch message limit.</w:t>
      </w:r>
    </w:p>
    <w:bookmarkEnd w:id="37"/>
    <w:bookmarkStart w:id="38" w:name="key-erasure-protocol"/>
    <w:p>
      <w:pPr>
        <w:pStyle w:val="Heading2"/>
      </w:pPr>
      <w:r>
        <w:t xml:space="preserve">Key Erasure Protocol</w:t>
      </w:r>
    </w:p>
    <w:p>
      <w:pPr>
        <w:pStyle w:val="FirstParagraph"/>
      </w:pPr>
      <w:r>
        <w:t xml:space="preserve">Key erasure is the mechanism that converts computational forward secrecy into information-theoretic forward secrecy. Our protocol implements the following erasure policy:</w:t>
      </w:r>
    </w:p>
    <w:p>
      <w:pPr>
        <w:numPr>
          <w:ilvl w:val="0"/>
          <w:numId w:val="1009"/>
        </w:numPr>
      </w:pPr>
      <w:r>
        <w:rPr>
          <w:b/>
          <w:bCs/>
        </w:rPr>
        <w:t xml:space="preserve">Message keys:</w:t>
      </w:r>
      <w:r>
        <w:t xml:space="preserve"> </w:t>
      </w:r>
      <w:r>
        <w:t xml:space="preserve">Zeroized immediately after encryption or decryption by overwriting the key buffer with zeros.</w:t>
      </w:r>
    </w:p>
    <w:p>
      <w:pPr>
        <w:numPr>
          <w:ilvl w:val="0"/>
          <w:numId w:val="1009"/>
        </w:numPr>
      </w:pPr>
      <w:r>
        <w:rPr>
          <w:b/>
          <w:bCs/>
        </w:rPr>
        <w:t xml:space="preserve">Chain keys:</w:t>
      </w:r>
      <w:r>
        <w:t xml:space="preserve"> </w:t>
      </w:r>
      <w:r>
        <w:t xml:space="preserve">The previous chain key</w:t>
      </w:r>
      <w:r>
        <w:t xml:space="preserve"> </w:t>
      </w:r>
      <m:oMath>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r>
              <m:t>j</m:t>
            </m:r>
            <m:r>
              <m:rPr>
                <m:sty m:val="p"/>
              </m:rPr>
              <m:t>)</m:t>
            </m:r>
          </m:sup>
        </m:sSubSup>
      </m:oMath>
      <w:r>
        <w:t xml:space="preserve"> </w:t>
      </w:r>
      <w:r>
        <w:t xml:space="preserve">is overwritten when</w:t>
      </w:r>
      <w:r>
        <w:t xml:space="preserve"> </w:t>
      </w:r>
      <m:oMath>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r>
              <m:t>j</m:t>
            </m:r>
            <m:r>
              <m:rPr>
                <m:sty m:val="p"/>
              </m:rPr>
              <m:t>+</m:t>
            </m:r>
            <m:r>
              <m:t>1</m:t>
            </m:r>
            <m:r>
              <m:rPr>
                <m:sty m:val="p"/>
              </m:rPr>
              <m:t>)</m:t>
            </m:r>
          </m:sup>
        </m:sSubSup>
      </m:oMath>
      <w:r>
        <w:t xml:space="preserve"> </w:t>
      </w:r>
      <w:r>
        <w:t xml:space="preserve">is derived, as shown in Eq. (</w:t>
      </w:r>
      <w:hyperlink w:anchor="eq:chain_advance">
        <w:r>
          <w:rPr>
            <w:rStyle w:val="Hyperlink"/>
          </w:rPr>
          <w:t xml:space="preserve">[eq:chain_advance]</w:t>
        </w:r>
      </w:hyperlink>
      <w:r>
        <w:t xml:space="preserve">).</w:t>
      </w:r>
    </w:p>
    <w:p>
      <w:pPr>
        <w:numPr>
          <w:ilvl w:val="0"/>
          <w:numId w:val="1009"/>
        </w:numPr>
      </w:pPr>
      <w:r>
        <w:rPr>
          <w:b/>
          <w:bCs/>
        </w:rPr>
        <w:t xml:space="preserve">Epoch keys:</w:t>
      </w:r>
      <w:r>
        <w:t xml:space="preserve"> </w:t>
      </w:r>
      <w:r>
        <w:t xml:space="preserve">When epoch</w:t>
      </w:r>
      <w:r>
        <w:t xml:space="preserve"> </w:t>
      </w:r>
      <m:oMath>
        <m:r>
          <m:t>e</m:t>
        </m:r>
        <m:r>
          <m:rPr>
            <m:sty m:val="p"/>
          </m:rPr>
          <m:t>+</m:t>
        </m:r>
        <m:r>
          <m:t>1</m:t>
        </m:r>
      </m:oMath>
      <w:r>
        <w:t xml:space="preserve"> </w:t>
      </w:r>
      <w:r>
        <w:t xml:space="preserve">begins, the keys for epoch</w:t>
      </w:r>
      <w:r>
        <w:t xml:space="preserve"> </w:t>
      </w:r>
      <m:oMath>
        <m:r>
          <m:t>e</m:t>
        </m:r>
        <m:r>
          <m:rPr>
            <m:sty m:val="p"/>
          </m:rPr>
          <m:t>−</m:t>
        </m:r>
        <m:r>
          <m:t>1</m:t>
        </m:r>
      </m:oMath>
      <w:r>
        <w:t xml:space="preserve"> </w:t>
      </w:r>
      <w:r>
        <w:t xml:space="preserve">are zeroized. Epoch</w:t>
      </w:r>
      <w:r>
        <w:t xml:space="preserve"> </w:t>
      </w:r>
      <m:oMath>
        <m:r>
          <m:t>e</m:t>
        </m:r>
      </m:oMath>
      <w:r>
        <w:t xml:space="preserve"> </w:t>
      </w:r>
      <w:r>
        <w:t xml:space="preserve">is retained for one additional interval to handle message reordering and retransmission, which is common on unreliable ATC channels.</w:t>
      </w:r>
    </w:p>
    <w:p>
      <w:pPr>
        <w:numPr>
          <w:ilvl w:val="0"/>
          <w:numId w:val="1009"/>
        </w:numPr>
      </w:pPr>
      <w:r>
        <w:rPr>
          <w:b/>
          <w:bCs/>
        </w:rPr>
        <w:t xml:space="preserve">Root key:</w:t>
      </w:r>
      <w:r>
        <w:t xml:space="preserve"> </w:t>
      </w:r>
      <w:r>
        <w:t xml:space="preserve">The root key is advanced per Eq. (</w:t>
      </w:r>
      <w:hyperlink w:anchor="eq:root_advance">
        <w:r>
          <w:rPr>
            <w:rStyle w:val="Hyperlink"/>
          </w:rPr>
          <w:t xml:space="preserve">[eq:root_advance]</w:t>
        </w:r>
      </w:hyperlink>
      <w:r>
        <w:t xml:space="preserve">) at each epoch boundary. The previous root key value is overwritten by the one-way KDF derivation.</w:t>
      </w:r>
    </w:p>
    <w:p>
      <w:pPr>
        <w:pStyle w:val="FirstParagraph"/>
      </w:pPr>
      <w:r>
        <w:t xml:space="preserve">The one-interval retention window for old epoch keys is a pragmatic concession to the realities of ATC communication, where messages may arrive out of order due to propagation delays, relay hops, and radio link variability. On SATCOM channels with 540 ms one-way latency, a message sent near the end of epoch</w:t>
      </w:r>
      <w:r>
        <w:t xml:space="preserve"> </w:t>
      </w:r>
      <m:oMath>
        <m:r>
          <m:t>e</m:t>
        </m:r>
      </m:oMath>
      <w:r>
        <w:t xml:space="preserve"> </w:t>
      </w:r>
      <w:r>
        <w:t xml:space="preserve">may arrive after epoch</w:t>
      </w:r>
      <w:r>
        <w:t xml:space="preserve"> </w:t>
      </w:r>
      <m:oMath>
        <m:r>
          <m:t>e</m:t>
        </m:r>
        <m:r>
          <m:rPr>
            <m:sty m:val="p"/>
          </m:rPr>
          <m:t>+</m:t>
        </m:r>
        <m:r>
          <m:t>1</m:t>
        </m:r>
      </m:oMath>
      <w:r>
        <w:t xml:space="preserve"> </w:t>
      </w:r>
      <w:r>
        <w:t xml:space="preserve">has begun.</w:t>
      </w:r>
    </w:p>
    <w:bookmarkEnd w:id="38"/>
    <w:bookmarkStart w:id="40" w:name="wire-format"/>
    <w:p>
      <w:pPr>
        <w:pStyle w:val="Heading2"/>
      </w:pPr>
      <w:r>
        <w:t xml:space="preserve">Wire Format</w:t>
      </w:r>
    </w:p>
    <w:p>
      <w:pPr>
        <w:pStyle w:val="FirstParagraph"/>
      </w:pPr>
      <w:r>
        <w:t xml:space="preserve">Each encrypted channel message carries the following header:</w:t>
      </w:r>
    </w:p>
    <w:p>
      <w:pPr>
        <w:pStyle w:val="BodyText"/>
      </w:pPr>
      <m:oMathPara>
        <m:oMathParaPr>
          <m:jc m:val="center"/>
        </m:oMathParaPr>
        <m:oMath>
          <m:r>
            <m:rPr>
              <m:scr m:val="sans-serif"/>
              <m:sty m:val="p"/>
            </m:rPr>
            <m:t>h</m:t>
          </m:r>
          <m:r>
            <m:rPr>
              <m:scr m:val="sans-serif"/>
              <m:sty m:val="p"/>
            </m:rPr>
            <m:t>d</m:t>
          </m:r>
          <m:r>
            <m:rPr>
              <m:scr m:val="sans-serif"/>
              <m:sty m:val="p"/>
            </m:rPr>
            <m:t>r</m:t>
          </m:r>
          <m:r>
            <m:rPr>
              <m:sty m:val="p"/>
            </m:rPr>
            <m:t>=</m:t>
          </m:r>
          <m:r>
            <m:rPr>
              <m:scr m:val="sans-serif"/>
              <m:sty m:val="p"/>
            </m:rPr>
            <m:t>m</m:t>
          </m:r>
          <m:r>
            <m:rPr>
              <m:scr m:val="sans-serif"/>
              <m:sty m:val="p"/>
            </m:rPr>
            <m:t>s</m:t>
          </m:r>
          <m:r>
            <m:rPr>
              <m:scr m:val="sans-serif"/>
              <m:sty m:val="p"/>
            </m:rPr>
            <m:t>g</m:t>
          </m:r>
          <m:r>
            <m:rPr>
              <m:scr m:val="sans-serif"/>
              <m:sty m:val="p"/>
            </m:rPr>
            <m:t>_</m:t>
          </m:r>
          <m:r>
            <m:rPr>
              <m:scr m:val="sans-serif"/>
              <m:sty m:val="p"/>
            </m:rPr>
            <m:t>i</m:t>
          </m:r>
          <m:r>
            <m:rPr>
              <m:scr m:val="sans-serif"/>
              <m:sty m:val="p"/>
            </m:rPr>
            <m:t>d</m:t>
          </m:r>
          <m:r>
            <m:rPr>
              <m:sty m:val="p"/>
            </m:rPr>
            <m:t>∥</m:t>
          </m:r>
          <m:r>
            <m:t>e</m:t>
          </m:r>
          <m:r>
            <m:rPr>
              <m:sty m:val="p"/>
            </m:rPr>
            <m:t>∥</m:t>
          </m:r>
          <m:r>
            <m:t>j</m:t>
          </m:r>
          <m:r>
            <m:rPr>
              <m:sty m:val="p"/>
            </m:rPr>
            <m:t>∥</m:t>
          </m:r>
          <m:r>
            <m:rPr>
              <m:sty m:val="p"/>
            </m:rPr>
            <m:t>|</m:t>
          </m:r>
          <m:r>
            <m:rPr>
              <m:scr m:val="sans-serif"/>
              <m:sty m:val="p"/>
            </m:rPr>
            <m:t>n</m:t>
          </m:r>
          <m:r>
            <m:rPr>
              <m:scr m:val="sans-serif"/>
              <m:sty m:val="p"/>
            </m:rPr>
            <m:t>o</m:t>
          </m:r>
          <m:r>
            <m:rPr>
              <m:scr m:val="sans-serif"/>
              <m:sty m:val="p"/>
            </m:rPr>
            <m:t>n</m:t>
          </m:r>
          <m:r>
            <m:rPr>
              <m:scr m:val="sans-serif"/>
              <m:sty m:val="p"/>
            </m:rPr>
            <m:t>c</m:t>
          </m:r>
          <m:r>
            <m:rPr>
              <m:scr m:val="sans-serif"/>
              <m:sty m:val="p"/>
            </m:rPr>
            <m:t>e</m:t>
          </m:r>
          <m:r>
            <m:rPr>
              <m:sty m:val="p"/>
            </m:rPr>
            <m:t>|</m:t>
          </m:r>
          <m:r>
            <m:rPr>
              <m:sty m:val="p"/>
            </m:rPr>
            <m:t>∥</m:t>
          </m:r>
          <m:r>
            <m:rPr>
              <m:scr m:val="sans-serif"/>
              <m:sty m:val="p"/>
            </m:rPr>
            <m:t>n</m:t>
          </m:r>
          <m:r>
            <m:rPr>
              <m:scr m:val="sans-serif"/>
              <m:sty m:val="p"/>
            </m:rPr>
            <m:t>o</m:t>
          </m:r>
          <m:r>
            <m:rPr>
              <m:scr m:val="sans-serif"/>
              <m:sty m:val="p"/>
            </m:rPr>
            <m:t>n</m:t>
          </m:r>
          <m:r>
            <m:rPr>
              <m:scr m:val="sans-serif"/>
              <m:sty m:val="p"/>
            </m:rPr>
            <m:t>c</m:t>
          </m:r>
          <m:r>
            <m:rPr>
              <m:scr m:val="sans-serif"/>
              <m:sty m:val="p"/>
            </m:rPr>
            <m:t>e</m:t>
          </m:r>
          <m:r>
            <m:rPr>
              <m:sty m:val="p"/>
            </m:rPr>
            <m:t>∥</m:t>
          </m:r>
          <m:r>
            <m:rPr>
              <m:sty m:val="p"/>
            </m:rPr>
            <m:t>|</m:t>
          </m:r>
          <m:r>
            <m:t>e</m:t>
          </m:r>
          <m:r>
            <m:t>k</m:t>
          </m:r>
          <m:r>
            <m:rPr>
              <m:sty m:val="p"/>
            </m:rPr>
            <m:t>|</m:t>
          </m:r>
          <m:r>
            <m:rPr>
              <m:sty m:val="p"/>
            </m:rPr>
            <m:t>∥</m:t>
          </m:r>
          <m:r>
            <m:t>e</m:t>
          </m:r>
          <m:r>
            <m:t>k</m:t>
          </m:r>
          <m:r>
            <m:rPr>
              <m:sty m:val="p"/>
            </m:rPr>
            <m:t>∥</m:t>
          </m:r>
          <m:r>
            <m:t>c</m:t>
          </m:r>
          <m:r>
            <m:t>t</m:t>
          </m:r>
        </m:oMath>
      </m:oMathPara>
    </w:p>
    <w:p>
      <w:pPr>
        <w:pStyle w:val="FirstParagraph"/>
      </w:pPr>
      <w:r>
        <w:t xml:space="preserve">where</w:t>
      </w:r>
      <w:r>
        <w:t xml:space="preserve"> </w:t>
      </w:r>
      <m:oMath>
        <m:r>
          <m:t>e</m:t>
        </m:r>
      </m:oMath>
      <w:r>
        <w:t xml:space="preserve"> </w:t>
      </w:r>
      <w:r>
        <w:t xml:space="preserve">is the epoch number (4 bytes),</w:t>
      </w:r>
      <w:r>
        <w:t xml:space="preserve"> </w:t>
      </w:r>
      <m:oMath>
        <m:r>
          <m:t>j</m:t>
        </m:r>
      </m:oMath>
      <w:r>
        <w:t xml:space="preserve"> </w:t>
      </w:r>
      <w:r>
        <w:t xml:space="preserve">is the message counter (4 bytes),</w:t>
      </w:r>
      <w:r>
        <w:t xml:space="preserve"> </w:t>
      </w:r>
      <m:oMath>
        <m:r>
          <m:rPr>
            <m:scr m:val="sans-serif"/>
            <m:sty m:val="p"/>
          </m:rPr>
          <m:t>n</m:t>
        </m:r>
        <m:r>
          <m:rPr>
            <m:scr m:val="sans-serif"/>
            <m:sty m:val="p"/>
          </m:rPr>
          <m:t>o</m:t>
        </m:r>
        <m:r>
          <m:rPr>
            <m:scr m:val="sans-serif"/>
            <m:sty m:val="p"/>
          </m:rPr>
          <m:t>n</m:t>
        </m:r>
        <m:r>
          <m:rPr>
            <m:scr m:val="sans-serif"/>
            <m:sty m:val="p"/>
          </m:rPr>
          <m:t>c</m:t>
        </m:r>
        <m:r>
          <m:rPr>
            <m:scr m:val="sans-serif"/>
            <m:sty m:val="p"/>
          </m:rPr>
          <m:t>e</m:t>
        </m:r>
      </m:oMath>
      <w:r>
        <w:t xml:space="preserve"> </w:t>
      </w:r>
      <w:r>
        <w:t xml:space="preserve">is the AES-GCM nonce (12 bytes),</w:t>
      </w:r>
      <w:r>
        <w:t xml:space="preserve"> </w:t>
      </w:r>
      <m:oMath>
        <m:r>
          <m:t>e</m:t>
        </m:r>
        <m:r>
          <m:t>k</m:t>
        </m:r>
      </m:oMath>
      <w:r>
        <w:t xml:space="preserve"> </w:t>
      </w:r>
      <w:r>
        <w:t xml:space="preserve">is the sender’s ephemeral public key (included only at epoch boundaries), and</w:t>
      </w:r>
      <w:r>
        <w:t xml:space="preserve"> </w:t>
      </w:r>
      <m:oMath>
        <m:r>
          <m:t>c</m:t>
        </m:r>
        <m:r>
          <m:t>t</m:t>
        </m:r>
      </m:oMath>
      <w:r>
        <w:t xml:space="preserve"> </w:t>
      </w:r>
      <w:r>
        <w:t xml:space="preserve">is the AES-256-GCM ciphertext.</w:t>
      </w:r>
    </w:p>
    <w:p>
      <w:pPr>
        <w:pStyle w:val="BodyText"/>
      </w:pPr>
      <w:r>
        <w:t xml:space="preserve">The per-message overhead without a key exchange is:</w:t>
      </w:r>
    </w:p>
    <w:p>
      <w:pPr>
        <w:pStyle w:val="BodyText"/>
      </w:pPr>
      <m:oMathPara>
        <m:oMathParaPr>
          <m:jc m:val="center"/>
        </m:oMathParaPr>
        <m:oMath>
          <m:r>
            <m:rPr>
              <m:sty m:val="p"/>
            </m:rPr>
            <m:t>|</m:t>
          </m:r>
          <m:r>
            <m:rPr>
              <m:scr m:val="sans-serif"/>
              <m:sty m:val="p"/>
            </m:rPr>
            <m:t>h</m:t>
          </m:r>
          <m:r>
            <m:rPr>
              <m:scr m:val="sans-serif"/>
              <m:sty m:val="p"/>
            </m:rPr>
            <m:t>d</m:t>
          </m:r>
          <m:r>
            <m:rPr>
              <m:scr m:val="sans-serif"/>
              <m:sty m:val="p"/>
            </m:rPr>
            <m:t>r</m:t>
          </m:r>
          <m:r>
            <m:rPr>
              <m:sty m:val="p"/>
            </m:rPr>
            <m:t>|</m:t>
          </m:r>
          <m:r>
            <m:rPr>
              <m:sty m:val="p"/>
            </m:rPr>
            <m:t>=</m:t>
          </m:r>
          <m:r>
            <m:t>8</m:t>
          </m:r>
          <m:r>
            <m:rPr>
              <m:sty m:val="p"/>
            </m:rPr>
            <m:t>+</m:t>
          </m:r>
          <m:r>
            <m:t>4</m:t>
          </m:r>
          <m:r>
            <m:rPr>
              <m:sty m:val="p"/>
            </m:rPr>
            <m:t>+</m:t>
          </m:r>
          <m:r>
            <m:t>4</m:t>
          </m:r>
          <m:r>
            <m:rPr>
              <m:sty m:val="p"/>
            </m:rPr>
            <m:t>+</m:t>
          </m:r>
          <m:r>
            <m:t>2</m:t>
          </m:r>
          <m:r>
            <m:rPr>
              <m:sty m:val="p"/>
            </m:rPr>
            <m:t>+</m:t>
          </m:r>
          <m:r>
            <m:t>12</m:t>
          </m:r>
          <m:r>
            <m:rPr>
              <m:sty m:val="p"/>
            </m:rPr>
            <m:t>+</m:t>
          </m:r>
          <m:r>
            <m:t>2</m:t>
          </m:r>
          <m:r>
            <m:rPr>
              <m:sty m:val="p"/>
            </m:rPr>
            <m:t>+</m:t>
          </m:r>
          <m:r>
            <m:t>0</m:t>
          </m:r>
          <m:r>
            <m:rPr>
              <m:sty m:val="p"/>
            </m:rPr>
            <m:t>+</m:t>
          </m:r>
          <m:r>
            <m:t>16</m:t>
          </m:r>
          <m:r>
            <m:rPr>
              <m:sty m:val="p"/>
            </m:rPr>
            <m:t>=</m:t>
          </m:r>
          <m:r>
            <m:t>48</m:t>
          </m:r>
          <m:r>
            <m:rPr>
              <m:nor/>
              <m:sty m:val="p"/>
            </m:rPr>
            <m:t> bytes</m:t>
          </m:r>
        </m:oMath>
      </m:oMathPara>
    </w:p>
    <w:p>
      <w:pPr>
        <w:pStyle w:val="FirstParagraph"/>
      </w:pPr>
      <w:r>
        <w:t xml:space="preserve">where the final 16 bytes is the GCM authentication tag. At epoch boundaries, the overhead increases by</w:t>
      </w:r>
      <w:r>
        <w:t xml:space="preserve"> </w:t>
      </w:r>
      <m:oMath>
        <m:r>
          <m:rPr>
            <m:sty m:val="p"/>
          </m:rPr>
          <m:t>|</m:t>
        </m:r>
        <m:r>
          <m:t>e</m:t>
        </m:r>
        <m:r>
          <m:t>k</m:t>
        </m:r>
        <m:r>
          <m:rPr>
            <m:sty m:val="p"/>
          </m:rPr>
          <m:t>|</m:t>
        </m:r>
        <m:r>
          <m:rPr>
            <m:sty m:val="p"/>
          </m:rPr>
          <m:t>=</m:t>
        </m:r>
        <m:r>
          <m:t>1</m:t>
        </m:r>
        <m:r>
          <m:rPr>
            <m:sty m:val="p"/>
          </m:rPr>
          <m:t>,</m:t>
        </m:r>
        <m:r>
          <m:t>184</m:t>
        </m:r>
      </m:oMath>
      <w:r>
        <w:t xml:space="preserve"> bytes for the ML-KEM-768 public key. Table </w:t>
      </w:r>
      <w:hyperlink w:anchor="tab:ratchet_overhead">
        <w:r>
          <w:rPr>
            <w:rStyle w:val="Hyperlink"/>
          </w:rPr>
          <w:t xml:space="preserve">6</w:t>
        </w:r>
      </w:hyperlink>
      <w:r>
        <w:t xml:space="preserve"> </w:t>
      </w:r>
      <w:r>
        <w:t xml:space="preserve">quantifies this overhead across channel profiles.</w:t>
      </w:r>
    </w:p>
    <w:bookmarkStart w:id="39" w:name="tab:ratchet_overhead"/>
    <w:p>
      <w:pPr>
        <w:pStyle w:val="TableCaption"/>
      </w:pPr>
      <w:r>
        <w:t xml:space="preserve">Forward-Secure Channel Overhead per Epoch</w:t>
      </w:r>
    </w:p>
    <w:tbl>
      <w:tblPr>
        <w:tblStyle w:val="Table"/>
        <w:tblW w:type="auto" w:w="0"/>
        <w:tblLook w:firstRow="1" w:lastRow="0" w:firstColumn="0" w:lastColumn="0" w:noHBand="0" w:noVBand="0" w:val="0020"/>
        <w:tblCaption w:val="Forward-Secure Channel Overhead per Epoch"/>
      </w:tblPr>
      <w:tblGrid>
        <w:gridCol w:w="1584"/>
        <w:gridCol w:w="1584"/>
        <w:gridCol w:w="1584"/>
        <w:gridCol w:w="1584"/>
        <w:gridCol w:w="1584"/>
      </w:tblGrid>
      <w:tr>
        <w:trPr>
          <w:tblHeader w:val="on"/>
        </w:trPr>
        <w:tc>
          <w:tcPr/>
          <w:p>
            <w:pPr>
              <w:pStyle w:val="Compact"/>
              <w:jc w:val="left"/>
            </w:pPr>
            <w:r>
              <w:rPr>
                <w:b/>
                <w:bCs/>
              </w:rPr>
              <w:t xml:space="preserve">Channel</w:t>
            </w:r>
          </w:p>
        </w:tc>
        <w:tc>
          <w:tcPr/>
          <w:p>
            <w:pPr>
              <w:pStyle w:val="Compact"/>
              <w:jc w:val="center"/>
            </w:pPr>
            <w:r>
              <w:rPr>
                <w:b/>
                <w:bCs/>
              </w:rPr>
              <w:t xml:space="preserve">Epoch (s)</w:t>
            </w:r>
          </w:p>
        </w:tc>
        <w:tc>
          <w:tcPr/>
          <w:p>
            <w:pPr>
              <w:pStyle w:val="Compact"/>
              <w:jc w:val="center"/>
            </w:pPr>
            <w:r>
              <w:rPr>
                <w:b/>
                <w:bCs/>
              </w:rPr>
              <w:t xml:space="preserve">KE Cost (B)</w:t>
            </w:r>
          </w:p>
        </w:tc>
        <w:tc>
          <w:tcPr/>
          <w:p>
            <w:pPr>
              <w:pStyle w:val="Compact"/>
              <w:jc w:val="center"/>
            </w:pPr>
            <w:r>
              <w:rPr>
                <w:b/>
                <w:bCs/>
              </w:rPr>
              <w:t xml:space="preserve">Amort. (B/msg)</w:t>
            </w:r>
          </w:p>
        </w:tc>
        <w:tc>
          <w:tcPr/>
          <w:p>
            <w:pPr>
              <w:pStyle w:val="Compact"/>
            </w:pPr>
          </w:p>
        </w:tc>
      </w:tr>
      <w:tr>
        <w:tc>
          <w:tcPr/>
          <w:p>
            <w:pPr>
              <w:pStyle w:val="Compact"/>
              <w:jc w:val="left"/>
            </w:pPr>
            <w:r>
              <w:t xml:space="preserve">ACARS</w:t>
            </w:r>
          </w:p>
        </w:tc>
        <w:tc>
          <w:tcPr/>
          <w:p>
            <w:pPr>
              <w:pStyle w:val="Compact"/>
              <w:jc w:val="center"/>
            </w:pPr>
            <w:r>
              <w:t xml:space="preserve">600</w:t>
            </w:r>
          </w:p>
        </w:tc>
        <w:tc>
          <w:tcPr/>
          <w:p>
            <w:pPr>
              <w:pStyle w:val="Compact"/>
              <w:jc w:val="center"/>
            </w:pPr>
            <w:r>
              <w:t xml:space="preserve">2,272</w:t>
            </w:r>
          </w:p>
        </w:tc>
        <w:tc>
          <w:tcPr/>
          <w:p>
            <w:pPr>
              <w:pStyle w:val="Compact"/>
              <w:jc w:val="center"/>
            </w:pPr>
            <w:r>
              <w:t xml:space="preserve">4.5</w:t>
            </w:r>
          </w:p>
        </w:tc>
        <w:tc>
          <w:tcPr/>
          <w:p>
            <w:pPr>
              <w:pStyle w:val="Compact"/>
            </w:pPr>
          </w:p>
        </w:tc>
      </w:tr>
      <w:tr>
        <w:tc>
          <w:tcPr/>
          <w:p>
            <w:pPr>
              <w:pStyle w:val="Compact"/>
              <w:jc w:val="left"/>
            </w:pPr>
            <w:r>
              <w:t xml:space="preserve">CPDLC</w:t>
            </w:r>
          </w:p>
        </w:tc>
        <w:tc>
          <w:tcPr/>
          <w:p>
            <w:pPr>
              <w:pStyle w:val="Compact"/>
              <w:jc w:val="center"/>
            </w:pPr>
            <w:r>
              <w:t xml:space="preserve">300</w:t>
            </w:r>
          </w:p>
        </w:tc>
        <w:tc>
          <w:tcPr/>
          <w:p>
            <w:pPr>
              <w:pStyle w:val="Compact"/>
              <w:jc w:val="center"/>
            </w:pPr>
            <w:r>
              <w:t xml:space="preserve">2,272</w:t>
            </w:r>
          </w:p>
        </w:tc>
        <w:tc>
          <w:tcPr/>
          <w:p>
            <w:pPr>
              <w:pStyle w:val="Compact"/>
              <w:jc w:val="center"/>
            </w:pPr>
            <w:r>
              <w:t xml:space="preserve">22.7</w:t>
            </w:r>
          </w:p>
        </w:tc>
        <w:tc>
          <w:tcPr/>
          <w:p>
            <w:pPr>
              <w:pStyle w:val="Compact"/>
            </w:pPr>
          </w:p>
        </w:tc>
      </w:tr>
      <w:tr>
        <w:tc>
          <w:tcPr/>
          <w:p>
            <w:pPr>
              <w:pStyle w:val="Compact"/>
              <w:jc w:val="left"/>
            </w:pPr>
            <w:r>
              <w:t xml:space="preserve">ADS-C</w:t>
            </w:r>
          </w:p>
        </w:tc>
        <w:tc>
          <w:tcPr/>
          <w:p>
            <w:pPr>
              <w:pStyle w:val="Compact"/>
              <w:jc w:val="center"/>
            </w:pPr>
            <w:r>
              <w:t xml:space="preserve">1800</w:t>
            </w:r>
          </w:p>
        </w:tc>
        <w:tc>
          <w:tcPr/>
          <w:p>
            <w:pPr>
              <w:pStyle w:val="Compact"/>
              <w:jc w:val="center"/>
            </w:pPr>
            <w:r>
              <w:t xml:space="preserve">2,272</w:t>
            </w:r>
          </w:p>
        </w:tc>
        <w:tc>
          <w:tcPr/>
          <w:p>
            <w:pPr>
              <w:pStyle w:val="Compact"/>
              <w:jc w:val="center"/>
            </w:pPr>
            <w:r>
              <w:t xml:space="preserve">1.1</w:t>
            </w:r>
          </w:p>
        </w:tc>
        <w:tc>
          <w:tcPr/>
          <w:p>
            <w:pPr>
              <w:pStyle w:val="Compact"/>
            </w:pPr>
          </w:p>
        </w:tc>
      </w:tr>
      <w:tr>
        <w:tc>
          <w:tcPr/>
          <w:p>
            <w:pPr>
              <w:pStyle w:val="Compact"/>
              <w:jc w:val="left"/>
            </w:pPr>
            <w:r>
              <w:t xml:space="preserve">LDACS</w:t>
            </w:r>
          </w:p>
        </w:tc>
        <w:tc>
          <w:tcPr/>
          <w:p>
            <w:pPr>
              <w:pStyle w:val="Compact"/>
              <w:jc w:val="center"/>
            </w:pPr>
            <w:r>
              <w:t xml:space="preserve">120</w:t>
            </w:r>
          </w:p>
        </w:tc>
        <w:tc>
          <w:tcPr/>
          <w:p>
            <w:pPr>
              <w:pStyle w:val="Compact"/>
              <w:jc w:val="center"/>
            </w:pPr>
            <w:r>
              <w:t xml:space="preserve">2,272</w:t>
            </w:r>
          </w:p>
        </w:tc>
        <w:tc>
          <w:tcPr/>
          <w:p>
            <w:pPr>
              <w:pStyle w:val="Compact"/>
              <w:jc w:val="center"/>
            </w:pPr>
            <w:r>
              <w:t xml:space="preserve">0.2</w:t>
            </w:r>
          </w:p>
        </w:tc>
        <w:tc>
          <w:tcPr/>
          <w:p>
            <w:pPr>
              <w:pStyle w:val="Compact"/>
            </w:pPr>
          </w:p>
        </w:tc>
      </w:tr>
    </w:tbl>
    <w:bookmarkEnd w:id="39"/>
    <w:p>
      <w:pPr>
        <w:pStyle w:val="BodyText"/>
      </w:pPr>
      <w:r>
        <w:t xml:space="preserve">The key exchange cost of 2,272 bytes (ML-KEM ciphertext + public key) is amortized over the messages within an epoch. For ACARS with 500 messages per epoch, this amounts to only 4.5 bytes per message—negligible compared to the 48-byte per-message header.</w:t>
      </w:r>
    </w:p>
    <w:bookmarkEnd w:id="40"/>
    <w:bookmarkEnd w:id="41"/>
    <w:bookmarkStart w:id="57" w:name="sec:evaluation"/>
    <w:p>
      <w:pPr>
        <w:pStyle w:val="Heading1"/>
      </w:pPr>
      <w:r>
        <w:t xml:space="preserve">Performance Evaluation</w:t>
      </w:r>
    </w:p>
    <w:bookmarkStart w:id="42" w:name="experimental-setup"/>
    <w:p>
      <w:pPr>
        <w:pStyle w:val="Heading2"/>
      </w:pPr>
      <w:r>
        <w:t xml:space="preserve">Experimental Setup</w:t>
      </w:r>
    </w:p>
    <w:p>
      <w:pPr>
        <w:pStyle w:val="FirstParagraph"/>
      </w:pPr>
      <w:r>
        <w:t xml:space="preserve">We evaluate both constructions using an implementation based on the system described in Sections </w:t>
      </w:r>
      <w:hyperlink w:anchor="sec:aggregate">
        <w:r>
          <w:rPr>
            <w:rStyle w:val="Hyperlink"/>
          </w:rPr>
          <w:t xml:space="preserve">4</w:t>
        </w:r>
      </w:hyperlink>
      <w:r>
        <w:t xml:space="preserve"> </w:t>
      </w:r>
      <w:r>
        <w:t xml:space="preserve">and </w:t>
      </w:r>
      <w:hyperlink w:anchor="sec:forward">
        <w:r>
          <w:rPr>
            <w:rStyle w:val="Hyperlink"/>
          </w:rPr>
          <w:t xml:space="preserve">5</w:t>
        </w:r>
      </w:hyperlink>
      <w:r>
        <w:t xml:space="preserve">. Individual signatures are generated using ML-DSA-65 (3,309-byte signatures) and Falcon-512 (666-byte signatures). ML-KEM-768 is used for key encapsulation in the forward-secure channel. Hash computations use SHA3-256 from the Python</w:t>
      </w:r>
      <w:r>
        <w:t xml:space="preserve"> </w:t>
      </w:r>
      <w:r>
        <w:rPr>
          <w:rStyle w:val="VerbatimChar"/>
        </w:rPr>
        <w:t xml:space="preserve">hashlib</w:t>
      </w:r>
      <w:r>
        <w:t xml:space="preserve"> </w:t>
      </w:r>
      <w:r>
        <w:t xml:space="preserve">module, and compression uses Zstd at level 19. All experiments are conducted on an Intel Xeon E-2388G (3.2 GHz, 8 cores) with 64 GB RAM, representing a typical ground station processing capability.</w:t>
      </w:r>
    </w:p>
    <w:bookmarkEnd w:id="42"/>
    <w:bookmarkStart w:id="45" w:name="aggregate-signature-bandwidth"/>
    <w:p>
      <w:pPr>
        <w:pStyle w:val="Heading2"/>
      </w:pPr>
      <w:r>
        <w:t xml:space="preserve">Aggregate Signature Bandwidth</w:t>
      </w:r>
    </w:p>
    <w:p>
      <w:pPr>
        <w:pStyle w:val="FirstParagraph"/>
      </w:pPr>
      <w:r>
        <w:t xml:space="preserve">Figure </w:t>
      </w:r>
      <w:hyperlink w:anchor="fig:bandwidth_analysis">
        <w:r>
          <w:rPr>
            <w:rStyle w:val="Hyperlink"/>
          </w:rPr>
          <w:t xml:space="preserve">[fig:bandwidth_analysis]</w:t>
        </w:r>
      </w:hyperlink>
      <w:r>
        <w:t xml:space="preserve"> </w:t>
      </w:r>
      <w:r>
        <w:t xml:space="preserve">presents the bandwidth consumption analysis for varying batch sizes across all channel profiles. We measure three metrics: total aggregate size, per-signature amortized cost, and channel utilization fraction.</w:t>
      </w:r>
    </w:p>
    <w:bookmarkStart w:id="43" w:name="tab:bandwidth_mldsa"/>
    <w:p>
      <w:pPr>
        <w:pStyle w:val="TableCaption"/>
      </w:pPr>
      <w:r>
        <w:t xml:space="preserve">Bandwidth Analysis: ML-DSA-65 Aggregate (</w:t>
      </w:r>
      <m:oMath>
        <m:r>
          <m:t>N</m:t>
        </m:r>
        <m:r>
          <m:rPr>
            <m:sty m:val="p"/>
          </m:rPr>
          <m:t>=</m:t>
        </m:r>
        <m:r>
          <m:t>32</m:t>
        </m:r>
      </m:oMath>
      <w:r>
        <w:t xml:space="preserve">)</w:t>
      </w:r>
    </w:p>
    <w:tbl>
      <w:tblPr>
        <w:tblStyle w:val="Table"/>
        <w:tblW w:type="auto" w:w="0"/>
        <w:tblLook w:firstRow="1" w:lastRow="0" w:firstColumn="0" w:lastColumn="0" w:noHBand="0" w:noVBand="0" w:val="0020"/>
        <w:tblCaption w:val="Bandwidth Analysis: ML-DSA-65 Aggregate (N=32)"/>
      </w:tblPr>
      <w:tblGrid>
        <w:gridCol w:w="1320"/>
        <w:gridCol w:w="1320"/>
        <w:gridCol w:w="1320"/>
        <w:gridCol w:w="1320"/>
        <w:gridCol w:w="1320"/>
        <w:gridCol w:w="1320"/>
      </w:tblGrid>
      <w:tr>
        <w:trPr>
          <w:tblHeader w:val="on"/>
        </w:trPr>
        <w:tc>
          <w:tcPr/>
          <w:p>
            <w:pPr>
              <w:pStyle w:val="Compact"/>
              <w:jc w:val="left"/>
            </w:pPr>
            <w:r>
              <w:rPr>
                <w:b/>
                <w:bCs/>
              </w:rPr>
              <w:t xml:space="preserve">Channel</w:t>
            </w:r>
          </w:p>
        </w:tc>
        <w:tc>
          <w:tcPr/>
          <w:p>
            <w:pPr>
              <w:pStyle w:val="Compact"/>
              <w:jc w:val="center"/>
            </w:pPr>
            <w:r>
              <w:rPr>
                <w:b/>
                <w:bCs/>
              </w:rPr>
              <w:t xml:space="preserve">Indiv. (KB)</w:t>
            </w:r>
          </w:p>
        </w:tc>
        <w:tc>
          <w:tcPr/>
          <w:p>
            <w:pPr>
              <w:pStyle w:val="Compact"/>
              <w:jc w:val="center"/>
            </w:pPr>
            <w:r>
              <w:rPr>
                <w:b/>
                <w:bCs/>
              </w:rPr>
              <w:t xml:space="preserve">Agg. (B)</w:t>
            </w:r>
          </w:p>
        </w:tc>
        <w:tc>
          <w:tcPr/>
          <w:p>
            <w:pPr>
              <w:pStyle w:val="Compact"/>
              <w:jc w:val="center"/>
            </w:pPr>
            <w:r>
              <w:rPr>
                <w:b/>
                <w:bCs/>
              </w:rPr>
              <w:t xml:space="preserve">Savings</w:t>
            </w:r>
          </w:p>
        </w:tc>
        <w:tc>
          <w:tcPr/>
          <w:p>
            <w:pPr>
              <w:pStyle w:val="Compact"/>
              <w:jc w:val="center"/>
            </w:pPr>
            <w:r>
              <w:rPr>
                <w:b/>
                <w:bCs/>
              </w:rPr>
              <w:t xml:space="preserve">TX Time</w:t>
            </w:r>
          </w:p>
        </w:tc>
        <w:tc>
          <w:tcPr/>
          <w:p>
            <w:pPr>
              <w:pStyle w:val="Compact"/>
            </w:pPr>
          </w:p>
        </w:tc>
      </w:tr>
      <w:tr>
        <w:tc>
          <w:tcPr/>
          <w:p>
            <w:pPr>
              <w:pStyle w:val="Compact"/>
              <w:jc w:val="left"/>
            </w:pPr>
            <w:r>
              <w:t xml:space="preserve">VHF ACARS</w:t>
            </w:r>
          </w:p>
        </w:tc>
        <w:tc>
          <w:tcPr/>
          <w:p>
            <w:pPr>
              <w:pStyle w:val="Compact"/>
              <w:jc w:val="center"/>
            </w:pPr>
            <w:r>
              <w:t xml:space="preserve">105.9</w:t>
            </w:r>
          </w:p>
        </w:tc>
        <w:tc>
          <w:tcPr/>
          <w:p>
            <w:pPr>
              <w:pStyle w:val="Compact"/>
              <w:jc w:val="center"/>
            </w:pPr>
            <w:r>
              <w:t xml:space="preserve">243</w:t>
            </w:r>
          </w:p>
        </w:tc>
        <w:tc>
          <w:tcPr/>
          <w:p>
            <w:pPr>
              <w:pStyle w:val="Compact"/>
              <w:jc w:val="center"/>
            </w:pPr>
            <w:r>
              <w:t xml:space="preserve">99.8%</w:t>
            </w:r>
          </w:p>
        </w:tc>
        <w:tc>
          <w:tcPr/>
          <w:p>
            <w:pPr>
              <w:pStyle w:val="Compact"/>
              <w:jc w:val="center"/>
            </w:pPr>
            <w:r>
              <w:t xml:space="preserve">0.81 s</w:t>
            </w:r>
          </w:p>
        </w:tc>
        <w:tc>
          <w:tcPr/>
          <w:p>
            <w:pPr>
              <w:pStyle w:val="Compact"/>
            </w:pPr>
          </w:p>
        </w:tc>
      </w:tr>
      <w:tr>
        <w:tc>
          <w:tcPr/>
          <w:p>
            <w:pPr>
              <w:pStyle w:val="Compact"/>
              <w:jc w:val="left"/>
            </w:pPr>
            <w:r>
              <w:t xml:space="preserve">HF Datalink</w:t>
            </w:r>
          </w:p>
        </w:tc>
        <w:tc>
          <w:tcPr/>
          <w:p>
            <w:pPr>
              <w:pStyle w:val="Compact"/>
              <w:jc w:val="center"/>
            </w:pPr>
            <w:r>
              <w:t xml:space="preserve">105.9</w:t>
            </w:r>
          </w:p>
        </w:tc>
        <w:tc>
          <w:tcPr/>
          <w:p>
            <w:pPr>
              <w:pStyle w:val="Compact"/>
              <w:jc w:val="center"/>
            </w:pPr>
            <w:r>
              <w:t xml:space="preserve">205</w:t>
            </w:r>
          </w:p>
        </w:tc>
        <w:tc>
          <w:tcPr/>
          <w:p>
            <w:pPr>
              <w:pStyle w:val="Compact"/>
              <w:jc w:val="center"/>
            </w:pPr>
            <w:r>
              <w:t xml:space="preserve">99.8%</w:t>
            </w:r>
          </w:p>
        </w:tc>
        <w:tc>
          <w:tcPr/>
          <w:p>
            <w:pPr>
              <w:pStyle w:val="Compact"/>
              <w:jc w:val="center"/>
            </w:pPr>
            <w:r>
              <w:t xml:space="preserve">0.91 s</w:t>
            </w:r>
          </w:p>
        </w:tc>
        <w:tc>
          <w:tcPr/>
          <w:p>
            <w:pPr>
              <w:pStyle w:val="Compact"/>
            </w:pPr>
          </w:p>
        </w:tc>
      </w:tr>
      <w:tr>
        <w:tc>
          <w:tcPr/>
          <w:p>
            <w:pPr>
              <w:pStyle w:val="Compact"/>
              <w:jc w:val="left"/>
            </w:pPr>
            <w:r>
              <w:t xml:space="preserve">SATCOM</w:t>
            </w:r>
          </w:p>
        </w:tc>
        <w:tc>
          <w:tcPr/>
          <w:p>
            <w:pPr>
              <w:pStyle w:val="Compact"/>
              <w:jc w:val="center"/>
            </w:pPr>
            <w:r>
              <w:t xml:space="preserve">105.9</w:t>
            </w:r>
          </w:p>
        </w:tc>
        <w:tc>
          <w:tcPr/>
          <w:p>
            <w:pPr>
              <w:pStyle w:val="Compact"/>
              <w:jc w:val="center"/>
            </w:pPr>
            <w:r>
              <w:t xml:space="preserve">187</w:t>
            </w:r>
          </w:p>
        </w:tc>
        <w:tc>
          <w:tcPr/>
          <w:p>
            <w:pPr>
              <w:pStyle w:val="Compact"/>
              <w:jc w:val="center"/>
            </w:pPr>
            <w:r>
              <w:t xml:space="preserve">99.8%</w:t>
            </w:r>
          </w:p>
        </w:tc>
        <w:tc>
          <w:tcPr/>
          <w:p>
            <w:pPr>
              <w:pStyle w:val="Compact"/>
              <w:jc w:val="center"/>
            </w:pPr>
            <w:r>
              <w:t xml:space="preserve">2.49 s</w:t>
            </w:r>
          </w:p>
        </w:tc>
        <w:tc>
          <w:tcPr/>
          <w:p>
            <w:pPr>
              <w:pStyle w:val="Compact"/>
            </w:pPr>
          </w:p>
        </w:tc>
      </w:tr>
      <w:tr>
        <w:tc>
          <w:tcPr/>
          <w:p>
            <w:pPr>
              <w:pStyle w:val="Compact"/>
              <w:jc w:val="left"/>
            </w:pPr>
            <w:r>
              <w:t xml:space="preserve">LDACS</w:t>
            </w:r>
          </w:p>
        </w:tc>
        <w:tc>
          <w:tcPr/>
          <w:p>
            <w:pPr>
              <w:pStyle w:val="Compact"/>
              <w:jc w:val="center"/>
            </w:pPr>
            <w:r>
              <w:t xml:space="preserve">105.9</w:t>
            </w:r>
          </w:p>
        </w:tc>
        <w:tc>
          <w:tcPr/>
          <w:p>
            <w:pPr>
              <w:pStyle w:val="Compact"/>
              <w:jc w:val="center"/>
            </w:pPr>
            <w:r>
              <w:t xml:space="preserve">476</w:t>
            </w:r>
          </w:p>
        </w:tc>
        <w:tc>
          <w:tcPr/>
          <w:p>
            <w:pPr>
              <w:pStyle w:val="Compact"/>
              <w:jc w:val="center"/>
            </w:pPr>
            <w:r>
              <w:t xml:space="preserve">99.6%</w:t>
            </w:r>
          </w:p>
        </w:tc>
        <w:tc>
          <w:tcPr/>
          <w:p>
            <w:pPr>
              <w:pStyle w:val="Compact"/>
              <w:jc w:val="center"/>
            </w:pPr>
            <w:r>
              <w:t xml:space="preserve">0.04 s</w:t>
            </w:r>
          </w:p>
        </w:tc>
        <w:tc>
          <w:tcPr/>
          <w:p>
            <w:pPr>
              <w:pStyle w:val="Compact"/>
            </w:pPr>
          </w:p>
        </w:tc>
      </w:tr>
      <w:tr>
        <w:tc>
          <w:tcPr/>
          <w:p>
            <w:pPr>
              <w:pStyle w:val="Compact"/>
              <w:jc w:val="left"/>
            </w:pPr>
            <w:r>
              <w:t xml:space="preserve">ADS-B</w:t>
            </w:r>
          </w:p>
        </w:tc>
        <w:tc>
          <w:tcPr/>
          <w:p>
            <w:pPr>
              <w:pStyle w:val="Compact"/>
              <w:jc w:val="center"/>
            </w:pPr>
            <w:r>
              <w:t xml:space="preserve">105.9</w:t>
            </w:r>
          </w:p>
        </w:tc>
        <w:tc>
          <w:tcPr/>
          <w:p>
            <w:pPr>
              <w:pStyle w:val="Compact"/>
              <w:jc w:val="center"/>
            </w:pPr>
            <w:r>
              <w:t xml:space="preserve">890</w:t>
            </w:r>
          </w:p>
        </w:tc>
        <w:tc>
          <w:tcPr/>
          <w:p>
            <w:pPr>
              <w:pStyle w:val="Compact"/>
              <w:jc w:val="center"/>
            </w:pPr>
            <w:r>
              <w:t xml:space="preserve">99.2%</w:t>
            </w:r>
          </w:p>
        </w:tc>
        <w:tc>
          <w:tcPr/>
          <w:p>
            <w:pPr>
              <w:pStyle w:val="Compact"/>
              <w:jc w:val="center"/>
            </w:pPr>
            <w:r>
              <w:t xml:space="preserve">0.01 s</w:t>
            </w:r>
          </w:p>
        </w:tc>
        <w:tc>
          <w:tcPr/>
          <w:p>
            <w:pPr>
              <w:pStyle w:val="Compact"/>
            </w:pPr>
          </w:p>
        </w:tc>
      </w:tr>
    </w:tbl>
    <w:bookmarkEnd w:id="43"/>
    <w:p>
      <w:pPr>
        <w:pStyle w:val="BodyText"/>
      </w:pPr>
      <w:r>
        <w:t xml:space="preserve">Table </w:t>
      </w:r>
      <w:hyperlink w:anchor="tab:bandwidth_mldsa">
        <w:r>
          <w:rPr>
            <w:rStyle w:val="Hyperlink"/>
          </w:rPr>
          <w:t xml:space="preserve">7</w:t>
        </w:r>
      </w:hyperlink>
      <w:r>
        <w:t xml:space="preserve"> </w:t>
      </w:r>
      <w:r>
        <w:t xml:space="preserve">shows the dramatic reduction achieved by aggregation. For a batch of 32 ML-DSA-65 signatures, the individual total would be 105.9 KB. Our aggregate compresses this to under 900 bytes on all channels, with the VHF ACARS aggregate of 243 bytes transmittable in under 1 second.</w:t>
      </w:r>
    </w:p>
    <w:bookmarkStart w:id="44" w:name="tab:bandwidth_falcon"/>
    <w:p>
      <w:pPr>
        <w:pStyle w:val="TableCaption"/>
      </w:pPr>
      <w:r>
        <w:t xml:space="preserve">Bandwidth Analysis: Falcon-512 Aggregate (</w:t>
      </w:r>
      <m:oMath>
        <m:r>
          <m:t>N</m:t>
        </m:r>
        <m:r>
          <m:rPr>
            <m:sty m:val="p"/>
          </m:rPr>
          <m:t>=</m:t>
        </m:r>
        <m:r>
          <m:t>32</m:t>
        </m:r>
      </m:oMath>
      <w:r>
        <w:t xml:space="preserve">)</w:t>
      </w:r>
    </w:p>
    <w:tbl>
      <w:tblPr>
        <w:tblStyle w:val="Table"/>
        <w:tblW w:type="auto" w:w="0"/>
        <w:tblLook w:firstRow="1" w:lastRow="0" w:firstColumn="0" w:lastColumn="0" w:noHBand="0" w:noVBand="0" w:val="0020"/>
        <w:tblCaption w:val="Bandwidth Analysis: Falcon-512 Aggregate (N=32)"/>
      </w:tblPr>
      <w:tblGrid>
        <w:gridCol w:w="1320"/>
        <w:gridCol w:w="1320"/>
        <w:gridCol w:w="1320"/>
        <w:gridCol w:w="1320"/>
        <w:gridCol w:w="1320"/>
        <w:gridCol w:w="1320"/>
      </w:tblGrid>
      <w:tr>
        <w:trPr>
          <w:tblHeader w:val="on"/>
        </w:trPr>
        <w:tc>
          <w:tcPr/>
          <w:p>
            <w:pPr>
              <w:pStyle w:val="Compact"/>
              <w:jc w:val="left"/>
            </w:pPr>
            <w:r>
              <w:rPr>
                <w:b/>
                <w:bCs/>
              </w:rPr>
              <w:t xml:space="preserve">Channel</w:t>
            </w:r>
          </w:p>
        </w:tc>
        <w:tc>
          <w:tcPr/>
          <w:p>
            <w:pPr>
              <w:pStyle w:val="Compact"/>
              <w:jc w:val="center"/>
            </w:pPr>
            <w:r>
              <w:rPr>
                <w:b/>
                <w:bCs/>
              </w:rPr>
              <w:t xml:space="preserve">Indiv. (KB)</w:t>
            </w:r>
          </w:p>
        </w:tc>
        <w:tc>
          <w:tcPr/>
          <w:p>
            <w:pPr>
              <w:pStyle w:val="Compact"/>
              <w:jc w:val="center"/>
            </w:pPr>
            <w:r>
              <w:rPr>
                <w:b/>
                <w:bCs/>
              </w:rPr>
              <w:t xml:space="preserve">Agg. (B)</w:t>
            </w:r>
          </w:p>
        </w:tc>
        <w:tc>
          <w:tcPr/>
          <w:p>
            <w:pPr>
              <w:pStyle w:val="Compact"/>
              <w:jc w:val="center"/>
            </w:pPr>
            <w:r>
              <w:rPr>
                <w:b/>
                <w:bCs/>
              </w:rPr>
              <w:t xml:space="preserve">Savings</w:t>
            </w:r>
          </w:p>
        </w:tc>
        <w:tc>
          <w:tcPr/>
          <w:p>
            <w:pPr>
              <w:pStyle w:val="Compact"/>
              <w:jc w:val="center"/>
            </w:pPr>
            <w:r>
              <w:rPr>
                <w:b/>
                <w:bCs/>
              </w:rPr>
              <w:t xml:space="preserve">TX Time</w:t>
            </w:r>
          </w:p>
        </w:tc>
        <w:tc>
          <w:tcPr/>
          <w:p>
            <w:pPr>
              <w:pStyle w:val="Compact"/>
            </w:pPr>
          </w:p>
        </w:tc>
      </w:tr>
      <w:tr>
        <w:tc>
          <w:tcPr/>
          <w:p>
            <w:pPr>
              <w:pStyle w:val="Compact"/>
              <w:jc w:val="left"/>
            </w:pPr>
            <w:r>
              <w:t xml:space="preserve">VHF ACARS</w:t>
            </w:r>
          </w:p>
        </w:tc>
        <w:tc>
          <w:tcPr/>
          <w:p>
            <w:pPr>
              <w:pStyle w:val="Compact"/>
              <w:jc w:val="center"/>
            </w:pPr>
            <w:r>
              <w:t xml:space="preserve">21.3</w:t>
            </w:r>
          </w:p>
        </w:tc>
        <w:tc>
          <w:tcPr/>
          <w:p>
            <w:pPr>
              <w:pStyle w:val="Compact"/>
              <w:jc w:val="center"/>
            </w:pPr>
            <w:r>
              <w:t xml:space="preserve">243</w:t>
            </w:r>
          </w:p>
        </w:tc>
        <w:tc>
          <w:tcPr/>
          <w:p>
            <w:pPr>
              <w:pStyle w:val="Compact"/>
              <w:jc w:val="center"/>
            </w:pPr>
            <w:r>
              <w:t xml:space="preserve">98.9%</w:t>
            </w:r>
          </w:p>
        </w:tc>
        <w:tc>
          <w:tcPr/>
          <w:p>
            <w:pPr>
              <w:pStyle w:val="Compact"/>
              <w:jc w:val="center"/>
            </w:pPr>
            <w:r>
              <w:t xml:space="preserve">0.81 s</w:t>
            </w:r>
          </w:p>
        </w:tc>
        <w:tc>
          <w:tcPr/>
          <w:p>
            <w:pPr>
              <w:pStyle w:val="Compact"/>
            </w:pPr>
          </w:p>
        </w:tc>
      </w:tr>
      <w:tr>
        <w:tc>
          <w:tcPr/>
          <w:p>
            <w:pPr>
              <w:pStyle w:val="Compact"/>
              <w:jc w:val="left"/>
            </w:pPr>
            <w:r>
              <w:t xml:space="preserve">HF Datalink</w:t>
            </w:r>
          </w:p>
        </w:tc>
        <w:tc>
          <w:tcPr/>
          <w:p>
            <w:pPr>
              <w:pStyle w:val="Compact"/>
              <w:jc w:val="center"/>
            </w:pPr>
            <w:r>
              <w:t xml:space="preserve">21.3</w:t>
            </w:r>
          </w:p>
        </w:tc>
        <w:tc>
          <w:tcPr/>
          <w:p>
            <w:pPr>
              <w:pStyle w:val="Compact"/>
              <w:jc w:val="center"/>
            </w:pPr>
            <w:r>
              <w:t xml:space="preserve">205</w:t>
            </w:r>
          </w:p>
        </w:tc>
        <w:tc>
          <w:tcPr/>
          <w:p>
            <w:pPr>
              <w:pStyle w:val="Compact"/>
              <w:jc w:val="center"/>
            </w:pPr>
            <w:r>
              <w:t xml:space="preserve">99.0%</w:t>
            </w:r>
          </w:p>
        </w:tc>
        <w:tc>
          <w:tcPr/>
          <w:p>
            <w:pPr>
              <w:pStyle w:val="Compact"/>
              <w:jc w:val="center"/>
            </w:pPr>
            <w:r>
              <w:t xml:space="preserve">0.91 s</w:t>
            </w:r>
          </w:p>
        </w:tc>
        <w:tc>
          <w:tcPr/>
          <w:p>
            <w:pPr>
              <w:pStyle w:val="Compact"/>
            </w:pPr>
          </w:p>
        </w:tc>
      </w:tr>
      <w:tr>
        <w:tc>
          <w:tcPr/>
          <w:p>
            <w:pPr>
              <w:pStyle w:val="Compact"/>
              <w:jc w:val="left"/>
            </w:pPr>
            <w:r>
              <w:t xml:space="preserve">SATCOM</w:t>
            </w:r>
          </w:p>
        </w:tc>
        <w:tc>
          <w:tcPr/>
          <w:p>
            <w:pPr>
              <w:pStyle w:val="Compact"/>
              <w:jc w:val="center"/>
            </w:pPr>
            <w:r>
              <w:t xml:space="preserve">21.3</w:t>
            </w:r>
          </w:p>
        </w:tc>
        <w:tc>
          <w:tcPr/>
          <w:p>
            <w:pPr>
              <w:pStyle w:val="Compact"/>
              <w:jc w:val="center"/>
            </w:pPr>
            <w:r>
              <w:t xml:space="preserve">187</w:t>
            </w:r>
          </w:p>
        </w:tc>
        <w:tc>
          <w:tcPr/>
          <w:p>
            <w:pPr>
              <w:pStyle w:val="Compact"/>
              <w:jc w:val="center"/>
            </w:pPr>
            <w:r>
              <w:t xml:space="preserve">99.1%</w:t>
            </w:r>
          </w:p>
        </w:tc>
        <w:tc>
          <w:tcPr/>
          <w:p>
            <w:pPr>
              <w:pStyle w:val="Compact"/>
              <w:jc w:val="center"/>
            </w:pPr>
            <w:r>
              <w:t xml:space="preserve">2.49 s</w:t>
            </w:r>
          </w:p>
        </w:tc>
        <w:tc>
          <w:tcPr/>
          <w:p>
            <w:pPr>
              <w:pStyle w:val="Compact"/>
            </w:pPr>
          </w:p>
        </w:tc>
      </w:tr>
      <w:tr>
        <w:tc>
          <w:tcPr/>
          <w:p>
            <w:pPr>
              <w:pStyle w:val="Compact"/>
              <w:jc w:val="left"/>
            </w:pPr>
            <w:r>
              <w:t xml:space="preserve">LDACS</w:t>
            </w:r>
          </w:p>
        </w:tc>
        <w:tc>
          <w:tcPr/>
          <w:p>
            <w:pPr>
              <w:pStyle w:val="Compact"/>
              <w:jc w:val="center"/>
            </w:pPr>
            <w:r>
              <w:t xml:space="preserve">21.3</w:t>
            </w:r>
          </w:p>
        </w:tc>
        <w:tc>
          <w:tcPr/>
          <w:p>
            <w:pPr>
              <w:pStyle w:val="Compact"/>
              <w:jc w:val="center"/>
            </w:pPr>
            <w:r>
              <w:t xml:space="preserve">476</w:t>
            </w:r>
          </w:p>
        </w:tc>
        <w:tc>
          <w:tcPr/>
          <w:p>
            <w:pPr>
              <w:pStyle w:val="Compact"/>
              <w:jc w:val="center"/>
            </w:pPr>
            <w:r>
              <w:t xml:space="preserve">97.8%</w:t>
            </w:r>
          </w:p>
        </w:tc>
        <w:tc>
          <w:tcPr/>
          <w:p>
            <w:pPr>
              <w:pStyle w:val="Compact"/>
              <w:jc w:val="center"/>
            </w:pPr>
            <w:r>
              <w:t xml:space="preserve">0.04 s</w:t>
            </w:r>
          </w:p>
        </w:tc>
        <w:tc>
          <w:tcPr/>
          <w:p>
            <w:pPr>
              <w:pStyle w:val="Compact"/>
            </w:pPr>
          </w:p>
        </w:tc>
      </w:tr>
      <w:tr>
        <w:tc>
          <w:tcPr/>
          <w:p>
            <w:pPr>
              <w:pStyle w:val="Compact"/>
              <w:jc w:val="left"/>
            </w:pPr>
            <w:r>
              <w:t xml:space="preserve">ADS-B</w:t>
            </w:r>
          </w:p>
        </w:tc>
        <w:tc>
          <w:tcPr/>
          <w:p>
            <w:pPr>
              <w:pStyle w:val="Compact"/>
              <w:jc w:val="center"/>
            </w:pPr>
            <w:r>
              <w:t xml:space="preserve">21.3</w:t>
            </w:r>
          </w:p>
        </w:tc>
        <w:tc>
          <w:tcPr/>
          <w:p>
            <w:pPr>
              <w:pStyle w:val="Compact"/>
              <w:jc w:val="center"/>
            </w:pPr>
            <w:r>
              <w:t xml:space="preserve">890</w:t>
            </w:r>
          </w:p>
        </w:tc>
        <w:tc>
          <w:tcPr/>
          <w:p>
            <w:pPr>
              <w:pStyle w:val="Compact"/>
              <w:jc w:val="center"/>
            </w:pPr>
            <w:r>
              <w:t xml:space="preserve">95.8%</w:t>
            </w:r>
          </w:p>
        </w:tc>
        <w:tc>
          <w:tcPr/>
          <w:p>
            <w:pPr>
              <w:pStyle w:val="Compact"/>
              <w:jc w:val="center"/>
            </w:pPr>
            <w:r>
              <w:t xml:space="preserve">0.01 s</w:t>
            </w:r>
          </w:p>
        </w:tc>
        <w:tc>
          <w:tcPr/>
          <w:p>
            <w:pPr>
              <w:pStyle w:val="Compact"/>
            </w:pPr>
          </w:p>
        </w:tc>
      </w:tr>
    </w:tbl>
    <w:bookmarkEnd w:id="44"/>
    <w:p>
      <w:pPr>
        <w:pStyle w:val="BodyText"/>
      </w:pPr>
      <w:r>
        <w:t xml:space="preserve">Even with the more compact Falcon-512 signatures (Table </w:t>
      </w:r>
      <w:hyperlink w:anchor="tab:bandwidth_falcon">
        <w:r>
          <w:rPr>
            <w:rStyle w:val="Hyperlink"/>
          </w:rPr>
          <w:t xml:space="preserve">8</w:t>
        </w:r>
      </w:hyperlink>
      <w:r>
        <w:t xml:space="preserve">), aggregation provides substantial bandwidth savings. The aggregate size is independent of the underlying signature size since it depends only on the Merkle tree root and truncated hashes, not the signatures themselves.</w:t>
      </w:r>
    </w:p>
    <w:bookmarkEnd w:id="45"/>
    <w:bookmarkStart w:id="47" w:name="aggregate-verification-latency"/>
    <w:p>
      <w:pPr>
        <w:pStyle w:val="Heading2"/>
      </w:pPr>
      <w:r>
        <w:t xml:space="preserve">Aggregate Verification Latency</w:t>
      </w:r>
    </w:p>
    <w:p>
      <w:pPr>
        <w:pStyle w:val="FirstParagraph"/>
      </w:pPr>
      <w:r>
        <w:t xml:space="preserve">Table </w:t>
      </w:r>
      <w:hyperlink w:anchor="tab:verification_latency">
        <w:r>
          <w:rPr>
            <w:rStyle w:val="Hyperlink"/>
          </w:rPr>
          <w:t xml:space="preserve">9</w:t>
        </w:r>
      </w:hyperlink>
      <w:r>
        <w:t xml:space="preserve"> </w:t>
      </w:r>
      <w:r>
        <w:t xml:space="preserve">reports the verification latency for aggregate signatures of varying batch sizes. The verification process involves: (1) Zstd decompression, (2) message hash recomputation, (3) Merkle tree reconstruction, and (4) root comparison.</w:t>
      </w:r>
    </w:p>
    <w:bookmarkStart w:id="46" w:name="tab:verification_latency"/>
    <w:p>
      <w:pPr>
        <w:pStyle w:val="TableCaption"/>
      </w:pPr>
      <w:r>
        <w:t xml:space="preserve">Aggregate Verification Latency</w:t>
      </w:r>
    </w:p>
    <w:tbl>
      <w:tblPr>
        <w:tblStyle w:val="Table"/>
        <w:tblW w:type="auto" w:w="0"/>
        <w:tblLook w:firstRow="1" w:lastRow="0" w:firstColumn="0" w:lastColumn="0" w:noHBand="0" w:noVBand="0" w:val="0020"/>
        <w:tblCaption w:val="Aggregate Verification Latency"/>
      </w:tblPr>
      <w:tblGrid>
        <w:gridCol w:w="1584"/>
        <w:gridCol w:w="1584"/>
        <w:gridCol w:w="1584"/>
        <w:gridCol w:w="1584"/>
        <w:gridCol w:w="1584"/>
      </w:tblGrid>
      <w:tr>
        <w:trPr>
          <w:tblHeader w:val="on"/>
        </w:trPr>
        <w:tc>
          <w:tcPr/>
          <w:p>
            <w:pPr>
              <w:pStyle w:val="Compact"/>
              <w:jc w:val="left"/>
            </w:pPr>
            <w:r>
              <w:rPr>
                <w:b/>
                <w:bCs/>
              </w:rPr>
              <w:t xml:space="preserve">Batch Size</w:t>
            </w:r>
            <w:r>
              <w:rPr>
                <w:b/>
                <w:bCs/>
              </w:rPr>
              <w:t xml:space="preserve"> </w:t>
            </w:r>
            <m:oMath>
              <m:r>
                <m:t>N</m:t>
              </m:r>
            </m:oMath>
          </w:p>
        </w:tc>
        <w:tc>
          <w:tcPr/>
          <w:p>
            <w:pPr>
              <w:pStyle w:val="Compact"/>
              <w:jc w:val="center"/>
            </w:pPr>
            <w:r>
              <w:rPr>
                <w:b/>
                <w:bCs/>
              </w:rPr>
              <w:t xml:space="preserve">Recompute (ms)</w:t>
            </w:r>
          </w:p>
        </w:tc>
        <w:tc>
          <w:tcPr/>
          <w:p>
            <w:pPr>
              <w:pStyle w:val="Compact"/>
              <w:jc w:val="center"/>
            </w:pPr>
            <w:r>
              <w:rPr>
                <w:b/>
                <w:bCs/>
              </w:rPr>
              <w:t xml:space="preserve">Merkle (ms)</w:t>
            </w:r>
          </w:p>
        </w:tc>
        <w:tc>
          <w:tcPr/>
          <w:p>
            <w:pPr>
              <w:pStyle w:val="Compact"/>
              <w:jc w:val="center"/>
            </w:pPr>
            <w:r>
              <w:rPr>
                <w:b/>
                <w:bCs/>
              </w:rPr>
              <w:t xml:space="preserve">Total (ms)</w:t>
            </w:r>
          </w:p>
        </w:tc>
        <w:tc>
          <w:tcPr/>
          <w:p>
            <w:pPr>
              <w:pStyle w:val="Compact"/>
            </w:pPr>
          </w:p>
        </w:tc>
      </w:tr>
      <w:tr>
        <w:tc>
          <w:tcPr/>
          <w:p>
            <w:pPr>
              <w:pStyle w:val="Compact"/>
              <w:jc w:val="left"/>
            </w:pPr>
            <w:r>
              <w:t xml:space="preserve">8</w:t>
            </w:r>
          </w:p>
        </w:tc>
        <w:tc>
          <w:tcPr/>
          <w:p>
            <w:pPr>
              <w:pStyle w:val="Compact"/>
              <w:jc w:val="center"/>
            </w:pPr>
            <w:r>
              <w:t xml:space="preserve">0.4</w:t>
            </w:r>
          </w:p>
        </w:tc>
        <w:tc>
          <w:tcPr/>
          <w:p>
            <w:pPr>
              <w:pStyle w:val="Compact"/>
              <w:jc w:val="center"/>
            </w:pPr>
            <w:r>
              <w:t xml:space="preserve">0.1</w:t>
            </w:r>
          </w:p>
        </w:tc>
        <w:tc>
          <w:tcPr/>
          <w:p>
            <w:pPr>
              <w:pStyle w:val="Compact"/>
              <w:jc w:val="center"/>
            </w:pPr>
            <w:r>
              <w:t xml:space="preserve">0.6</w:t>
            </w:r>
          </w:p>
        </w:tc>
        <w:tc>
          <w:tcPr/>
          <w:p>
            <w:pPr>
              <w:pStyle w:val="Compact"/>
            </w:pPr>
          </w:p>
        </w:tc>
      </w:tr>
      <w:tr>
        <w:tc>
          <w:tcPr/>
          <w:p>
            <w:pPr>
              <w:pStyle w:val="Compact"/>
              <w:jc w:val="left"/>
            </w:pPr>
            <w:r>
              <w:t xml:space="preserve">16</w:t>
            </w:r>
          </w:p>
        </w:tc>
        <w:tc>
          <w:tcPr/>
          <w:p>
            <w:pPr>
              <w:pStyle w:val="Compact"/>
              <w:jc w:val="center"/>
            </w:pPr>
            <w:r>
              <w:t xml:space="preserve">0.8</w:t>
            </w:r>
          </w:p>
        </w:tc>
        <w:tc>
          <w:tcPr/>
          <w:p>
            <w:pPr>
              <w:pStyle w:val="Compact"/>
              <w:jc w:val="center"/>
            </w:pPr>
            <w:r>
              <w:t xml:space="preserve">0.2</w:t>
            </w:r>
          </w:p>
        </w:tc>
        <w:tc>
          <w:tcPr/>
          <w:p>
            <w:pPr>
              <w:pStyle w:val="Compact"/>
              <w:jc w:val="center"/>
            </w:pPr>
            <w:r>
              <w:t xml:space="preserve">1.2</w:t>
            </w:r>
          </w:p>
        </w:tc>
        <w:tc>
          <w:tcPr/>
          <w:p>
            <w:pPr>
              <w:pStyle w:val="Compact"/>
            </w:pPr>
          </w:p>
        </w:tc>
      </w:tr>
      <w:tr>
        <w:tc>
          <w:tcPr/>
          <w:p>
            <w:pPr>
              <w:pStyle w:val="Compact"/>
              <w:jc w:val="left"/>
            </w:pPr>
            <w:r>
              <w:t xml:space="preserve">32</w:t>
            </w:r>
          </w:p>
        </w:tc>
        <w:tc>
          <w:tcPr/>
          <w:p>
            <w:pPr>
              <w:pStyle w:val="Compact"/>
              <w:jc w:val="center"/>
            </w:pPr>
            <w:r>
              <w:t xml:space="preserve">1.6</w:t>
            </w:r>
          </w:p>
        </w:tc>
        <w:tc>
          <w:tcPr/>
          <w:p>
            <w:pPr>
              <w:pStyle w:val="Compact"/>
              <w:jc w:val="center"/>
            </w:pPr>
            <w:r>
              <w:t xml:space="preserve">0.4</w:t>
            </w:r>
          </w:p>
        </w:tc>
        <w:tc>
          <w:tcPr/>
          <w:p>
            <w:pPr>
              <w:pStyle w:val="Compact"/>
              <w:jc w:val="center"/>
            </w:pPr>
            <w:r>
              <w:t xml:space="preserve">2.5</w:t>
            </w:r>
          </w:p>
        </w:tc>
        <w:tc>
          <w:tcPr/>
          <w:p>
            <w:pPr>
              <w:pStyle w:val="Compact"/>
            </w:pPr>
          </w:p>
        </w:tc>
      </w:tr>
      <w:tr>
        <w:tc>
          <w:tcPr/>
          <w:p>
            <w:pPr>
              <w:pStyle w:val="Compact"/>
              <w:jc w:val="left"/>
            </w:pPr>
            <w:r>
              <w:t xml:space="preserve">64</w:t>
            </w:r>
          </w:p>
        </w:tc>
        <w:tc>
          <w:tcPr/>
          <w:p>
            <w:pPr>
              <w:pStyle w:val="Compact"/>
              <w:jc w:val="center"/>
            </w:pPr>
            <w:r>
              <w:t xml:space="preserve">3.1</w:t>
            </w:r>
          </w:p>
        </w:tc>
        <w:tc>
          <w:tcPr/>
          <w:p>
            <w:pPr>
              <w:pStyle w:val="Compact"/>
              <w:jc w:val="center"/>
            </w:pPr>
            <w:r>
              <w:t xml:space="preserve">0.9</w:t>
            </w:r>
          </w:p>
        </w:tc>
        <w:tc>
          <w:tcPr/>
          <w:p>
            <w:pPr>
              <w:pStyle w:val="Compact"/>
              <w:jc w:val="center"/>
            </w:pPr>
            <w:r>
              <w:t xml:space="preserve">5.2</w:t>
            </w:r>
          </w:p>
        </w:tc>
        <w:tc>
          <w:tcPr/>
          <w:p>
            <w:pPr>
              <w:pStyle w:val="Compact"/>
            </w:pPr>
          </w:p>
        </w:tc>
      </w:tr>
    </w:tbl>
    <w:bookmarkEnd w:id="46"/>
    <w:p>
      <w:pPr>
        <w:pStyle w:val="BodyText"/>
      </w:pPr>
      <w:r>
        <w:t xml:space="preserve">Verification latency scales linearly with batch size. Even for the maximum batch size of</w:t>
      </w:r>
      <w:r>
        <w:t xml:space="preserve"> </w:t>
      </w:r>
      <m:oMath>
        <m:r>
          <m:t>N</m:t>
        </m:r>
        <m:r>
          <m:rPr>
            <m:sty m:val="p"/>
          </m:rPr>
          <m:t>=</m:t>
        </m:r>
        <m:r>
          <m:t>64</m:t>
        </m:r>
      </m:oMath>
      <w:r>
        <w:t xml:space="preserve">, total verification takes only 5.2 ms—well below the 50 ms target. The Merkle tree construction accounts for less than 20% of the total time, with hash recomputation dominating.</w:t>
      </w:r>
    </w:p>
    <w:p>
      <w:pPr>
        <w:pStyle w:val="BodyText"/>
      </w:pPr>
      <w:r>
        <w:t xml:space="preserve">It is important to note that this verification time covers only the aggregate structure verification. The verifier must also verify each individual PQC signature, which requires additional time (approximately 1.8 ms per ML-DSA-65 signature). However, individual signature verification can be performed lazily or in parallel, as the aggregate verification confirms the integrity of the batch.</w:t>
      </w:r>
    </w:p>
    <w:bookmarkEnd w:id="47"/>
    <w:bookmarkStart w:id="54" w:name="forward-secure-channel-performance"/>
    <w:p>
      <w:pPr>
        <w:pStyle w:val="Heading2"/>
      </w:pPr>
      <w:r>
        <w:t xml:space="preserve">Forward-Secure Channel Performance</w:t>
      </w:r>
    </w:p>
    <w:bookmarkStart w:id="49" w:name="establishment-latency"/>
    <w:p>
      <w:pPr>
        <w:pStyle w:val="Heading3"/>
      </w:pPr>
      <w:r>
        <w:t xml:space="preserve">Establishment Latency</w:t>
      </w:r>
    </w:p>
    <w:p>
      <w:pPr>
        <w:pStyle w:val="FirstParagraph"/>
      </w:pPr>
      <w:r>
        <w:t xml:space="preserve">Table </w:t>
      </w:r>
      <w:hyperlink w:anchor="tab:establish_latency">
        <w:r>
          <w:rPr>
            <w:rStyle w:val="Hyperlink"/>
          </w:rPr>
          <w:t xml:space="preserve">10</w:t>
        </w:r>
      </w:hyperlink>
      <w:r>
        <w:t xml:space="preserve"> </w:t>
      </w:r>
      <w:r>
        <w:t xml:space="preserve">reports the channel establishment latency, comprising ML-KEM-768 key generation, encapsulation, HKDF derivation, and epoch initialization.</w:t>
      </w:r>
    </w:p>
    <w:bookmarkStart w:id="48" w:name="tab:establish_latency"/>
    <w:p>
      <w:pPr>
        <w:pStyle w:val="TableCaption"/>
      </w:pPr>
      <w:r>
        <w:t xml:space="preserve">Forward-Secure Channel Establishment Latency</w:t>
      </w:r>
    </w:p>
    <w:tbl>
      <w:tblPr>
        <w:tblStyle w:val="Table"/>
        <w:tblW w:type="auto" w:w="0"/>
        <w:tblLook w:firstRow="1" w:lastRow="0" w:firstColumn="0" w:lastColumn="0" w:noHBand="0" w:noVBand="0" w:val="0020"/>
        <w:tblCaption w:val="Forward-Secure Channel Establishment Latency"/>
      </w:tblPr>
      <w:tblGrid>
        <w:gridCol w:w="2640"/>
        <w:gridCol w:w="2640"/>
        <w:gridCol w:w="2640"/>
      </w:tblGrid>
      <w:tr>
        <w:trPr>
          <w:tblHeader w:val="on"/>
        </w:trPr>
        <w:tc>
          <w:tcPr/>
          <w:p>
            <w:pPr>
              <w:pStyle w:val="Compact"/>
              <w:jc w:val="left"/>
            </w:pPr>
            <w:r>
              <w:rPr>
                <w:b/>
                <w:bCs/>
              </w:rPr>
              <w:t xml:space="preserve">Operation</w:t>
            </w:r>
          </w:p>
        </w:tc>
        <w:tc>
          <w:tcPr/>
          <w:p>
            <w:pPr>
              <w:pStyle w:val="Compact"/>
              <w:jc w:val="center"/>
            </w:pPr>
            <w:r>
              <w:rPr>
                <w:b/>
                <w:bCs/>
              </w:rPr>
              <w:t xml:space="preserve">Time (ms)</w:t>
            </w:r>
          </w:p>
        </w:tc>
        <w:tc>
          <w:tcPr/>
          <w:p>
            <w:pPr>
              <w:pStyle w:val="Compact"/>
              <w:jc w:val="center"/>
            </w:pPr>
            <w:r>
              <w:rPr>
                <w:b/>
                <w:bCs/>
              </w:rPr>
              <w:t xml:space="preserve">Size (B)</w:t>
            </w:r>
          </w:p>
        </w:tc>
      </w:tr>
      <w:tr>
        <w:tc>
          <w:tcPr/>
          <w:p>
            <w:pPr>
              <w:pStyle w:val="Compact"/>
              <w:jc w:val="left"/>
            </w:pPr>
            <w:r>
              <w:t xml:space="preserve">ML-KEM-768 KeyGen</w:t>
            </w:r>
          </w:p>
        </w:tc>
        <w:tc>
          <w:tcPr/>
          <w:p>
            <w:pPr>
              <w:pStyle w:val="Compact"/>
              <w:jc w:val="center"/>
            </w:pPr>
            <w:r>
              <w:t xml:space="preserve">0.3</w:t>
            </w:r>
          </w:p>
        </w:tc>
        <w:tc>
          <w:tcPr/>
          <w:p>
            <w:pPr>
              <w:pStyle w:val="Compact"/>
              <w:jc w:val="center"/>
            </w:pPr>
            <w:r>
              <w:t xml:space="preserve">1,184 (PK)</w:t>
            </w:r>
          </w:p>
        </w:tc>
      </w:tr>
      <w:tr>
        <w:tc>
          <w:tcPr/>
          <w:p>
            <w:pPr>
              <w:pStyle w:val="Compact"/>
              <w:jc w:val="left"/>
            </w:pPr>
            <w:r>
              <w:t xml:space="preserve">ML-KEM-768 Encaps</w:t>
            </w:r>
          </w:p>
        </w:tc>
        <w:tc>
          <w:tcPr/>
          <w:p>
            <w:pPr>
              <w:pStyle w:val="Compact"/>
              <w:jc w:val="center"/>
            </w:pPr>
            <w:r>
              <w:t xml:space="preserve">0.4</w:t>
            </w:r>
          </w:p>
        </w:tc>
        <w:tc>
          <w:tcPr/>
          <w:p>
            <w:pPr>
              <w:pStyle w:val="Compact"/>
              <w:jc w:val="center"/>
            </w:pPr>
            <w:r>
              <w:t xml:space="preserve">1,088 (CT)</w:t>
            </w:r>
          </w:p>
        </w:tc>
      </w:tr>
      <w:tr>
        <w:tc>
          <w:tcPr/>
          <w:p>
            <w:pPr>
              <w:pStyle w:val="Compact"/>
              <w:jc w:val="left"/>
            </w:pPr>
            <w:r>
              <w:t xml:space="preserve">HKDF-SHA3-256</w:t>
            </w:r>
          </w:p>
        </w:tc>
        <w:tc>
          <w:tcPr/>
          <w:p>
            <w:pPr>
              <w:pStyle w:val="Compact"/>
              <w:jc w:val="center"/>
            </w:pPr>
            <w:r>
              <w:t xml:space="preserve">0.01</w:t>
            </w:r>
          </w:p>
        </w:tc>
        <w:tc>
          <w:tcPr/>
          <w:p>
            <w:pPr>
              <w:pStyle w:val="Compact"/>
              <w:jc w:val="center"/>
            </w:pPr>
            <w:r>
              <w:t xml:space="preserve">–</w:t>
            </w:r>
          </w:p>
        </w:tc>
      </w:tr>
      <w:tr>
        <w:tc>
          <w:tcPr/>
          <w:p>
            <w:pPr>
              <w:pStyle w:val="Compact"/>
              <w:jc w:val="left"/>
            </w:pPr>
            <w:r>
              <w:t xml:space="preserve">Epoch init</w:t>
            </w:r>
          </w:p>
        </w:tc>
        <w:tc>
          <w:tcPr/>
          <w:p>
            <w:pPr>
              <w:pStyle w:val="Compact"/>
              <w:jc w:val="center"/>
            </w:pPr>
            <w:r>
              <w:t xml:space="preserve">0.02</w:t>
            </w:r>
          </w:p>
        </w:tc>
        <w:tc>
          <w:tcPr/>
          <w:p>
            <w:pPr>
              <w:pStyle w:val="Compact"/>
              <w:jc w:val="center"/>
            </w:pPr>
            <w:r>
              <w:t xml:space="preserve">–</w:t>
            </w:r>
          </w:p>
        </w:tc>
      </w:tr>
      <w:tr>
        <w:tc>
          <w:tcPr/>
          <w:p>
            <w:pPr>
              <w:pStyle w:val="Compact"/>
              <w:jc w:val="left"/>
            </w:pPr>
            <w:r>
              <w:rPr>
                <w:b/>
                <w:bCs/>
              </w:rPr>
              <w:t xml:space="preserve">Total (one side)</w:t>
            </w:r>
          </w:p>
        </w:tc>
        <w:tc>
          <w:tcPr/>
          <w:p>
            <w:pPr>
              <w:pStyle w:val="Compact"/>
              <w:jc w:val="center"/>
            </w:pPr>
            <w:r>
              <w:rPr>
                <w:b/>
                <w:bCs/>
              </w:rPr>
              <w:t xml:space="preserve">0.73</w:t>
            </w:r>
          </w:p>
        </w:tc>
        <w:tc>
          <w:tcPr/>
          <w:p>
            <w:pPr>
              <w:pStyle w:val="Compact"/>
              <w:jc w:val="center"/>
            </w:pPr>
            <w:r>
              <w:rPr>
                <w:b/>
                <w:bCs/>
              </w:rPr>
              <w:t xml:space="preserve">2,272</w:t>
            </w:r>
          </w:p>
        </w:tc>
      </w:tr>
    </w:tbl>
    <w:bookmarkEnd w:id="48"/>
    <w:p>
      <w:pPr>
        <w:pStyle w:val="BodyText"/>
      </w:pPr>
      <w:r>
        <w:t xml:space="preserve">The computational cost of establishment is negligible at 0.73 ms. The bandwidth cost of 2,272 bytes is the primary consideration, requiring approximately 7.6 seconds on VHF ACARS. This one-time cost is acceptable for session establishment.</w:t>
      </w:r>
    </w:p>
    <w:bookmarkEnd w:id="49"/>
    <w:bookmarkStart w:id="51" w:name="per-message-encryption-overhead"/>
    <w:p>
      <w:pPr>
        <w:pStyle w:val="Heading3"/>
      </w:pPr>
      <w:r>
        <w:t xml:space="preserve">Per-Message Encryption Overhead</w:t>
      </w:r>
    </w:p>
    <w:p>
      <w:pPr>
        <w:pStyle w:val="FirstParagraph"/>
      </w:pPr>
      <w:r>
        <w:t xml:space="preserve">Table </w:t>
      </w:r>
      <w:hyperlink w:anchor="tab:encrypt_overhead">
        <w:r>
          <w:rPr>
            <w:rStyle w:val="Hyperlink"/>
          </w:rPr>
          <w:t xml:space="preserve">11</w:t>
        </w:r>
      </w:hyperlink>
      <w:r>
        <w:t xml:space="preserve"> </w:t>
      </w:r>
      <w:r>
        <w:t xml:space="preserve">compares the encryption overhead for different ratchet modes.</w:t>
      </w:r>
    </w:p>
    <w:bookmarkStart w:id="50" w:name="tab:encrypt_overhead"/>
    <w:p>
      <w:pPr>
        <w:pStyle w:val="TableCaption"/>
      </w:pPr>
      <w:r>
        <w:t xml:space="preserve">Per-Message Encryption Overhead</w:t>
      </w:r>
    </w:p>
    <w:tbl>
      <w:tblPr>
        <w:tblStyle w:val="Table"/>
        <w:tblW w:type="auto" w:w="0"/>
        <w:tblLook w:firstRow="1" w:lastRow="0" w:firstColumn="0" w:lastColumn="0" w:noHBand="0" w:noVBand="0" w:val="0020"/>
        <w:tblCaption w:val="Per-Message Encryption Overhead"/>
      </w:tblPr>
      <w:tblGrid>
        <w:gridCol w:w="1980"/>
        <w:gridCol w:w="1980"/>
        <w:gridCol w:w="1980"/>
        <w:gridCol w:w="1980"/>
      </w:tblGrid>
      <w:tr>
        <w:trPr>
          <w:tblHeader w:val="on"/>
        </w:trPr>
        <w:tc>
          <w:tcPr/>
          <w:p>
            <w:pPr>
              <w:pStyle w:val="Compact"/>
              <w:jc w:val="left"/>
            </w:pPr>
            <w:r>
              <w:rPr>
                <w:b/>
                <w:bCs/>
              </w:rPr>
              <w:t xml:space="preserve">Ratchet Mode</w:t>
            </w:r>
          </w:p>
        </w:tc>
        <w:tc>
          <w:tcPr/>
          <w:p>
            <w:pPr>
              <w:pStyle w:val="Compact"/>
              <w:jc w:val="center"/>
            </w:pPr>
            <w:r>
              <w:rPr>
                <w:b/>
                <w:bCs/>
              </w:rPr>
              <w:t xml:space="preserve">Compute (ms)</w:t>
            </w:r>
          </w:p>
        </w:tc>
        <w:tc>
          <w:tcPr/>
          <w:p>
            <w:pPr>
              <w:pStyle w:val="Compact"/>
              <w:jc w:val="center"/>
            </w:pPr>
            <w:r>
              <w:rPr>
                <w:b/>
                <w:bCs/>
              </w:rPr>
              <w:t xml:space="preserve">Overhead (B)</w:t>
            </w:r>
          </w:p>
        </w:tc>
        <w:tc>
          <w:tcPr/>
          <w:p>
            <w:pPr>
              <w:pStyle w:val="Compact"/>
              <w:jc w:val="center"/>
            </w:pPr>
            <w:r>
              <w:rPr>
                <w:b/>
                <w:bCs/>
              </w:rPr>
              <w:t xml:space="preserve">Channel</w:t>
            </w:r>
          </w:p>
        </w:tc>
      </w:tr>
      <w:tr>
        <w:tc>
          <w:tcPr/>
          <w:p>
            <w:pPr>
              <w:pStyle w:val="Compact"/>
              <w:jc w:val="left"/>
            </w:pPr>
            <w:r>
              <w:t xml:space="preserve">PER_MESSAGE</w:t>
            </w:r>
          </w:p>
        </w:tc>
        <w:tc>
          <w:tcPr/>
          <w:p>
            <w:pPr>
              <w:pStyle w:val="Compact"/>
              <w:jc w:val="center"/>
            </w:pPr>
            <w:r>
              <w:t xml:space="preserve">0.73</w:t>
            </w:r>
          </w:p>
        </w:tc>
        <w:tc>
          <w:tcPr/>
          <w:p>
            <w:pPr>
              <w:pStyle w:val="Compact"/>
              <w:jc w:val="center"/>
            </w:pPr>
            <w:r>
              <w:t xml:space="preserve">2,320</w:t>
            </w:r>
          </w:p>
        </w:tc>
        <w:tc>
          <w:tcPr/>
          <w:p>
            <w:pPr>
              <w:pStyle w:val="Compact"/>
              <w:jc w:val="center"/>
            </w:pPr>
            <w:r>
              <w:t xml:space="preserve">LDACS</w:t>
            </w:r>
          </w:p>
        </w:tc>
      </w:tr>
      <w:tr>
        <w:tc>
          <w:tcPr/>
          <w:p>
            <w:pPr>
              <w:pStyle w:val="Compact"/>
              <w:jc w:val="left"/>
            </w:pPr>
            <w:r>
              <w:t xml:space="preserve">PER_EXCHANGE</w:t>
            </w:r>
          </w:p>
        </w:tc>
        <w:tc>
          <w:tcPr/>
          <w:p>
            <w:pPr>
              <w:pStyle w:val="Compact"/>
              <w:jc w:val="center"/>
            </w:pPr>
            <w:r>
              <w:t xml:space="preserve">0.02</w:t>
            </w:r>
          </w:p>
        </w:tc>
        <w:tc>
          <w:tcPr/>
          <w:p>
            <w:pPr>
              <w:pStyle w:val="Compact"/>
              <w:jc w:val="center"/>
            </w:pPr>
            <w:r>
              <w:t xml:space="preserve">48</w:t>
            </w:r>
          </w:p>
        </w:tc>
        <w:tc>
          <w:tcPr/>
          <w:p>
            <w:pPr>
              <w:pStyle w:val="Compact"/>
              <w:jc w:val="center"/>
            </w:pPr>
            <w:r>
              <w:t xml:space="preserve">CPDLC</w:t>
            </w:r>
          </w:p>
        </w:tc>
      </w:tr>
      <w:tr>
        <w:tc>
          <w:tcPr/>
          <w:p>
            <w:pPr>
              <w:pStyle w:val="Compact"/>
              <w:jc w:val="left"/>
            </w:pPr>
            <w:r>
              <w:t xml:space="preserve">PER_EPOCH</w:t>
            </w:r>
          </w:p>
        </w:tc>
        <w:tc>
          <w:tcPr/>
          <w:p>
            <w:pPr>
              <w:pStyle w:val="Compact"/>
              <w:jc w:val="center"/>
            </w:pPr>
            <w:r>
              <w:t xml:space="preserve">0.02</w:t>
            </w:r>
          </w:p>
        </w:tc>
        <w:tc>
          <w:tcPr/>
          <w:p>
            <w:pPr>
              <w:pStyle w:val="Compact"/>
              <w:jc w:val="center"/>
            </w:pPr>
            <w:r>
              <w:t xml:space="preserve">48</w:t>
            </w:r>
          </w:p>
        </w:tc>
        <w:tc>
          <w:tcPr/>
          <w:p>
            <w:pPr>
              <w:pStyle w:val="Compact"/>
              <w:jc w:val="center"/>
            </w:pPr>
            <w:r>
              <w:t xml:space="preserve">ACARS</w:t>
            </w:r>
          </w:p>
        </w:tc>
      </w:tr>
      <w:tr>
        <w:tc>
          <w:tcPr/>
          <w:p>
            <w:pPr>
              <w:pStyle w:val="Compact"/>
              <w:jc w:val="left"/>
            </w:pPr>
            <w:r>
              <w:t xml:space="preserve">PER_EPOCH</w:t>
            </w:r>
          </w:p>
        </w:tc>
        <w:tc>
          <w:tcPr/>
          <w:p>
            <w:pPr>
              <w:pStyle w:val="Compact"/>
              <w:jc w:val="center"/>
            </w:pPr>
            <w:r>
              <w:t xml:space="preserve">0.02</w:t>
            </w:r>
          </w:p>
        </w:tc>
        <w:tc>
          <w:tcPr/>
          <w:p>
            <w:pPr>
              <w:pStyle w:val="Compact"/>
              <w:jc w:val="center"/>
            </w:pPr>
            <w:r>
              <w:t xml:space="preserve">48</w:t>
            </w:r>
          </w:p>
        </w:tc>
        <w:tc>
          <w:tcPr/>
          <w:p>
            <w:pPr>
              <w:pStyle w:val="Compact"/>
              <w:jc w:val="center"/>
            </w:pPr>
            <w:r>
              <w:t xml:space="preserve">ADS-C</w:t>
            </w:r>
          </w:p>
        </w:tc>
      </w:tr>
    </w:tbl>
    <w:bookmarkEnd w:id="50"/>
    <w:p>
      <w:pPr>
        <w:pStyle w:val="BodyText"/>
      </w:pPr>
      <w:r>
        <w:t xml:space="preserve">For PER_EPOCH and PER_EXCHANGE modes, the per-message overhead is only 48 bytes (header + GCM tag), with the ML-KEM key exchange amortized over the epoch. The PER_MESSAGE mode on LDACS incurs 2,320 bytes per message (header + full key exchange), which is feasible given LDACS’s 100 kbps capacity.</w:t>
      </w:r>
    </w:p>
    <w:bookmarkEnd w:id="51"/>
    <w:bookmarkStart w:id="53" w:name="ratchet-overhead-comparison"/>
    <w:p>
      <w:pPr>
        <w:pStyle w:val="Heading3"/>
      </w:pPr>
      <w:r>
        <w:t xml:space="preserve">Ratchet Overhead Comparison</w:t>
      </w:r>
    </w:p>
    <w:p>
      <w:pPr>
        <w:pStyle w:val="FirstParagraph"/>
      </w:pPr>
      <w:r>
        <w:t xml:space="preserve">Table </w:t>
      </w:r>
      <w:hyperlink w:anchor="tab:ratchet_comparison">
        <w:r>
          <w:rPr>
            <w:rStyle w:val="Hyperlink"/>
          </w:rPr>
          <w:t xml:space="preserve">12</w:t>
        </w:r>
      </w:hyperlink>
      <w:r>
        <w:t xml:space="preserve"> </w:t>
      </w:r>
      <w:r>
        <w:t xml:space="preserve">compares the total cryptographic overhead per hour for each channel configuration, including both aggregated signature and forward-secure channel costs.</w:t>
      </w:r>
    </w:p>
    <w:bookmarkStart w:id="52" w:name="tab:ratchet_comparison"/>
    <w:p>
      <w:pPr>
        <w:pStyle w:val="TableCaption"/>
      </w:pPr>
      <w:r>
        <w:t xml:space="preserve">Total Crypto Overhead per Hour (Aggregate + FS Channel)</w:t>
      </w:r>
    </w:p>
    <w:tbl>
      <w:tblPr>
        <w:tblStyle w:val="Table"/>
        <w:tblW w:type="auto" w:w="0"/>
        <w:tblLook w:firstRow="1" w:lastRow="0" w:firstColumn="0" w:lastColumn="0" w:noHBand="0" w:noVBand="0" w:val="0020"/>
        <w:tblCaption w:val="Total Crypto Overhead per Hour (Aggregate + FS Channel)"/>
      </w:tblPr>
      <w:tblGrid>
        <w:gridCol w:w="1980"/>
        <w:gridCol w:w="1980"/>
        <w:gridCol w:w="1980"/>
        <w:gridCol w:w="1980"/>
      </w:tblGrid>
      <w:tr>
        <w:trPr>
          <w:tblHeader w:val="on"/>
        </w:trPr>
        <w:tc>
          <w:tcPr/>
          <w:p>
            <w:pPr>
              <w:pStyle w:val="Compact"/>
              <w:jc w:val="left"/>
            </w:pPr>
            <w:r>
              <w:rPr>
                <w:b/>
                <w:bCs/>
              </w:rPr>
              <w:t xml:space="preserve">Channel</w:t>
            </w:r>
          </w:p>
        </w:tc>
        <w:tc>
          <w:tcPr/>
          <w:p>
            <w:pPr>
              <w:pStyle w:val="Compact"/>
              <w:jc w:val="center"/>
            </w:pPr>
            <w:r>
              <w:rPr>
                <w:b/>
                <w:bCs/>
              </w:rPr>
              <w:t xml:space="preserve">Agg. Sig. (KB/h)</w:t>
            </w:r>
          </w:p>
        </w:tc>
        <w:tc>
          <w:tcPr/>
          <w:p>
            <w:pPr>
              <w:pStyle w:val="Compact"/>
              <w:jc w:val="center"/>
            </w:pPr>
            <w:r>
              <w:rPr>
                <w:b/>
                <w:bCs/>
              </w:rPr>
              <w:t xml:space="preserve">FS (KB/h)</w:t>
            </w:r>
          </w:p>
        </w:tc>
        <w:tc>
          <w:tcPr/>
          <w:p>
            <w:pPr>
              <w:pStyle w:val="Compact"/>
              <w:jc w:val="center"/>
            </w:pPr>
            <w:r>
              <w:rPr>
                <w:b/>
                <w:bCs/>
              </w:rPr>
              <w:t xml:space="preserve">Total (KB/h)</w:t>
            </w:r>
          </w:p>
        </w:tc>
      </w:tr>
      <w:tr>
        <w:tc>
          <w:tcPr/>
          <w:p>
            <w:pPr>
              <w:pStyle w:val="Compact"/>
              <w:jc w:val="left"/>
            </w:pPr>
            <w:r>
              <w:t xml:space="preserve">VHF ACARS</w:t>
            </w:r>
          </w:p>
        </w:tc>
        <w:tc>
          <w:tcPr/>
          <w:p>
            <w:pPr>
              <w:pStyle w:val="Compact"/>
              <w:jc w:val="center"/>
            </w:pPr>
            <w:r>
              <w:t xml:space="preserve">1.5</w:t>
            </w:r>
          </w:p>
        </w:tc>
        <w:tc>
          <w:tcPr/>
          <w:p>
            <w:pPr>
              <w:pStyle w:val="Compact"/>
              <w:jc w:val="center"/>
            </w:pPr>
            <w:r>
              <w:t xml:space="preserve">15.0</w:t>
            </w:r>
          </w:p>
        </w:tc>
        <w:tc>
          <w:tcPr/>
          <w:p>
            <w:pPr>
              <w:pStyle w:val="Compact"/>
              <w:jc w:val="center"/>
            </w:pPr>
            <w:r>
              <w:t xml:space="preserve">16.5</w:t>
            </w:r>
          </w:p>
        </w:tc>
      </w:tr>
      <w:tr>
        <w:tc>
          <w:tcPr/>
          <w:p>
            <w:pPr>
              <w:pStyle w:val="Compact"/>
              <w:jc w:val="left"/>
            </w:pPr>
            <w:r>
              <w:t xml:space="preserve">HF Datalink</w:t>
            </w:r>
          </w:p>
        </w:tc>
        <w:tc>
          <w:tcPr/>
          <w:p>
            <w:pPr>
              <w:pStyle w:val="Compact"/>
              <w:jc w:val="center"/>
            </w:pPr>
            <w:r>
              <w:t xml:space="preserve">1.2</w:t>
            </w:r>
          </w:p>
        </w:tc>
        <w:tc>
          <w:tcPr/>
          <w:p>
            <w:pPr>
              <w:pStyle w:val="Compact"/>
              <w:jc w:val="center"/>
            </w:pPr>
            <w:r>
              <w:t xml:space="preserve">14.5</w:t>
            </w:r>
          </w:p>
        </w:tc>
        <w:tc>
          <w:tcPr/>
          <w:p>
            <w:pPr>
              <w:pStyle w:val="Compact"/>
              <w:jc w:val="center"/>
            </w:pPr>
            <w:r>
              <w:t xml:space="preserve">15.7</w:t>
            </w:r>
          </w:p>
        </w:tc>
      </w:tr>
      <w:tr>
        <w:tc>
          <w:tcPr/>
          <w:p>
            <w:pPr>
              <w:pStyle w:val="Compact"/>
              <w:jc w:val="left"/>
            </w:pPr>
            <w:r>
              <w:t xml:space="preserve">SATCOM</w:t>
            </w:r>
          </w:p>
        </w:tc>
        <w:tc>
          <w:tcPr/>
          <w:p>
            <w:pPr>
              <w:pStyle w:val="Compact"/>
              <w:jc w:val="center"/>
            </w:pPr>
            <w:r>
              <w:t xml:space="preserve">0.9</w:t>
            </w:r>
          </w:p>
        </w:tc>
        <w:tc>
          <w:tcPr/>
          <w:p>
            <w:pPr>
              <w:pStyle w:val="Compact"/>
              <w:jc w:val="center"/>
            </w:pPr>
            <w:r>
              <w:t xml:space="preserve">13.6</w:t>
            </w:r>
          </w:p>
        </w:tc>
        <w:tc>
          <w:tcPr/>
          <w:p>
            <w:pPr>
              <w:pStyle w:val="Compact"/>
              <w:jc w:val="center"/>
            </w:pPr>
            <w:r>
              <w:t xml:space="preserve">14.5</w:t>
            </w:r>
          </w:p>
        </w:tc>
      </w:tr>
      <w:tr>
        <w:tc>
          <w:tcPr/>
          <w:p>
            <w:pPr>
              <w:pStyle w:val="Compact"/>
              <w:jc w:val="left"/>
            </w:pPr>
            <w:r>
              <w:t xml:space="preserve">LDACS</w:t>
            </w:r>
          </w:p>
        </w:tc>
        <w:tc>
          <w:tcPr/>
          <w:p>
            <w:pPr>
              <w:pStyle w:val="Compact"/>
              <w:jc w:val="center"/>
            </w:pPr>
            <w:r>
              <w:t xml:space="preserve">29.5</w:t>
            </w:r>
          </w:p>
        </w:tc>
        <w:tc>
          <w:tcPr/>
          <w:p>
            <w:pPr>
              <w:pStyle w:val="Compact"/>
              <w:jc w:val="center"/>
            </w:pPr>
            <w:r>
              <w:t xml:space="preserve">1,392</w:t>
            </w:r>
          </w:p>
        </w:tc>
        <w:tc>
          <w:tcPr/>
          <w:p>
            <w:pPr>
              <w:pStyle w:val="Compact"/>
              <w:jc w:val="center"/>
            </w:pPr>
            <w:r>
              <w:t xml:space="preserve">1,421.5</w:t>
            </w:r>
          </w:p>
        </w:tc>
      </w:tr>
      <w:tr>
        <w:tc>
          <w:tcPr/>
          <w:p>
            <w:pPr>
              <w:pStyle w:val="Compact"/>
              <w:jc w:val="left"/>
            </w:pPr>
            <w:r>
              <w:t xml:space="preserve">ADS-B</w:t>
            </w:r>
          </w:p>
        </w:tc>
        <w:tc>
          <w:tcPr/>
          <w:p>
            <w:pPr>
              <w:pStyle w:val="Compact"/>
              <w:jc w:val="center"/>
            </w:pPr>
            <w:r>
              <w:t xml:space="preserve">5.3</w:t>
            </w:r>
          </w:p>
        </w:tc>
        <w:tc>
          <w:tcPr/>
          <w:p>
            <w:pPr>
              <w:pStyle w:val="Compact"/>
              <w:jc w:val="center"/>
            </w:pPr>
            <w:r>
              <w:t xml:space="preserve">–</w:t>
            </w:r>
          </w:p>
        </w:tc>
        <w:tc>
          <w:tcPr/>
          <w:p>
            <w:pPr>
              <w:pStyle w:val="Compact"/>
              <w:jc w:val="center"/>
            </w:pPr>
            <w:r>
              <w:t xml:space="preserve">5.3</w:t>
            </w:r>
          </w:p>
        </w:tc>
      </w:tr>
    </w:tbl>
    <w:bookmarkEnd w:id="52"/>
    <w:p>
      <w:pPr>
        <w:pStyle w:val="BodyText"/>
      </w:pPr>
      <w:r>
        <w:t xml:space="preserve">For the most constrained channels (VHF ACARS, HF Datalink, SATCOM), the total cryptographic overhead remains under 17 KB per hour, representing less than 5% of the available channel capacity. LDACS, with its per-message ratcheting, consumes approximately 1.4 MB per hour, which is under 5% of its 45 MB/hour theoretical capacity.</w:t>
      </w:r>
    </w:p>
    <w:bookmarkEnd w:id="53"/>
    <w:bookmarkEnd w:id="54"/>
    <w:bookmarkStart w:id="56" w:name="X27617c3c85c4adc543493836308abb5c1f9a21e"/>
    <w:p>
      <w:pPr>
        <w:pStyle w:val="Heading2"/>
      </w:pPr>
      <w:r>
        <w:t xml:space="preserve">Comparison with Individual PQC Signatures</w:t>
      </w:r>
    </w:p>
    <w:p>
      <w:pPr>
        <w:pStyle w:val="FirstParagraph"/>
      </w:pPr>
      <w:r>
        <w:t xml:space="preserve">To contextualize the aggregate signature benefits, Table </w:t>
      </w:r>
      <w:hyperlink w:anchor="tab:individual_comparison">
        <w:r>
          <w:rPr>
            <w:rStyle w:val="Hyperlink"/>
          </w:rPr>
          <w:t xml:space="preserve">13</w:t>
        </w:r>
      </w:hyperlink>
      <w:r>
        <w:t xml:space="preserve"> </w:t>
      </w:r>
      <w:r>
        <w:t xml:space="preserve">compares the time required to authenticate 100 messages on each channel using individual signatures versus our aggregate scheme.</w:t>
      </w:r>
    </w:p>
    <w:bookmarkStart w:id="55" w:name="tab:individual_comparison"/>
    <w:p>
      <w:pPr>
        <w:pStyle w:val="TableCaption"/>
      </w:pPr>
      <w:r>
        <w:t xml:space="preserve">Authentication Time for 100 Messages</w:t>
      </w:r>
    </w:p>
    <w:tbl>
      <w:tblPr>
        <w:tblStyle w:val="Table"/>
        <w:tblW w:type="auto" w:w="0"/>
        <w:tblLook w:firstRow="1" w:lastRow="0" w:firstColumn="0" w:lastColumn="0" w:noHBand="0" w:noVBand="0" w:val="0020"/>
        <w:tblCaption w:val="Authentication Time for 100 Messages"/>
      </w:tblPr>
      <w:tblGrid>
        <w:gridCol w:w="1980"/>
        <w:gridCol w:w="1980"/>
        <w:gridCol w:w="1980"/>
        <w:gridCol w:w="1980"/>
      </w:tblGrid>
      <w:tr>
        <w:trPr>
          <w:tblHeader w:val="on"/>
        </w:trPr>
        <w:tc>
          <w:tcPr/>
          <w:p>
            <w:pPr>
              <w:pStyle w:val="Compact"/>
              <w:jc w:val="left"/>
            </w:pPr>
            <w:r>
              <w:rPr>
                <w:b/>
                <w:bCs/>
              </w:rPr>
              <w:t xml:space="preserve">Channel</w:t>
            </w:r>
          </w:p>
        </w:tc>
        <w:tc>
          <w:tcPr/>
          <w:p>
            <w:pPr>
              <w:pStyle w:val="Compact"/>
              <w:jc w:val="center"/>
            </w:pPr>
            <w:r>
              <w:rPr>
                <w:b/>
                <w:bCs/>
              </w:rPr>
              <w:t xml:space="preserve">Individual (s)</w:t>
            </w:r>
          </w:p>
        </w:tc>
        <w:tc>
          <w:tcPr/>
          <w:p>
            <w:pPr>
              <w:pStyle w:val="Compact"/>
              <w:jc w:val="center"/>
            </w:pPr>
            <w:r>
              <w:rPr>
                <w:b/>
                <w:bCs/>
              </w:rPr>
              <w:t xml:space="preserve">Aggregate (s)</w:t>
            </w:r>
          </w:p>
        </w:tc>
        <w:tc>
          <w:tcPr/>
          <w:p>
            <w:pPr>
              <w:pStyle w:val="Compact"/>
              <w:jc w:val="center"/>
            </w:pPr>
            <w:r>
              <w:rPr>
                <w:b/>
                <w:bCs/>
              </w:rPr>
              <w:t xml:space="preserve">Speedup</w:t>
            </w:r>
          </w:p>
        </w:tc>
      </w:tr>
      <w:tr>
        <w:tc>
          <w:tcPr/>
          <w:p>
            <w:pPr>
              <w:pStyle w:val="Compact"/>
              <w:jc w:val="left"/>
            </w:pPr>
            <w:r>
              <w:t xml:space="preserve">VHF ACARS</w:t>
            </w:r>
          </w:p>
        </w:tc>
        <w:tc>
          <w:tcPr/>
          <w:p>
            <w:pPr>
              <w:pStyle w:val="Compact"/>
              <w:jc w:val="center"/>
            </w:pPr>
            <w:r>
              <w:t xml:space="preserve">1,103</w:t>
            </w:r>
          </w:p>
        </w:tc>
        <w:tc>
          <w:tcPr/>
          <w:p>
            <w:pPr>
              <w:pStyle w:val="Compact"/>
              <w:jc w:val="center"/>
            </w:pPr>
            <w:r>
              <w:t xml:space="preserve">3.2</w:t>
            </w:r>
          </w:p>
        </w:tc>
        <w:tc>
          <w:tcPr/>
          <w:p>
            <w:pPr>
              <w:pStyle w:val="Compact"/>
              <w:jc w:val="center"/>
            </w:pPr>
            <w:r>
              <w:t xml:space="preserve">345</w:t>
            </w:r>
            <m:oMath>
              <m:r>
                <m:rPr>
                  <m:sty m:val="p"/>
                </m:rPr>
                <m:t>×</m:t>
              </m:r>
            </m:oMath>
          </w:p>
        </w:tc>
      </w:tr>
      <w:tr>
        <w:tc>
          <w:tcPr/>
          <w:p>
            <w:pPr>
              <w:pStyle w:val="Compact"/>
              <w:jc w:val="left"/>
            </w:pPr>
            <w:r>
              <w:t xml:space="preserve">HF Datalink</w:t>
            </w:r>
          </w:p>
        </w:tc>
        <w:tc>
          <w:tcPr/>
          <w:p>
            <w:pPr>
              <w:pStyle w:val="Compact"/>
              <w:jc w:val="center"/>
            </w:pPr>
            <w:r>
              <w:t xml:space="preserve">1,471</w:t>
            </w:r>
          </w:p>
        </w:tc>
        <w:tc>
          <w:tcPr/>
          <w:p>
            <w:pPr>
              <w:pStyle w:val="Compact"/>
              <w:jc w:val="center"/>
            </w:pPr>
            <w:r>
              <w:t xml:space="preserve">3.6</w:t>
            </w:r>
          </w:p>
        </w:tc>
        <w:tc>
          <w:tcPr/>
          <w:p>
            <w:pPr>
              <w:pStyle w:val="Compact"/>
              <w:jc w:val="center"/>
            </w:pPr>
            <w:r>
              <w:t xml:space="preserve">409</w:t>
            </w:r>
            <m:oMath>
              <m:r>
                <m:rPr>
                  <m:sty m:val="p"/>
                </m:rPr>
                <m:t>×</m:t>
              </m:r>
            </m:oMath>
          </w:p>
        </w:tc>
      </w:tr>
      <w:tr>
        <w:tc>
          <w:tcPr/>
          <w:p>
            <w:pPr>
              <w:pStyle w:val="Compact"/>
              <w:jc w:val="left"/>
            </w:pPr>
            <w:r>
              <w:t xml:space="preserve">SATCOM</w:t>
            </w:r>
          </w:p>
        </w:tc>
        <w:tc>
          <w:tcPr/>
          <w:p>
            <w:pPr>
              <w:pStyle w:val="Compact"/>
              <w:jc w:val="center"/>
            </w:pPr>
            <w:r>
              <w:t xml:space="preserve">4,412</w:t>
            </w:r>
          </w:p>
        </w:tc>
        <w:tc>
          <w:tcPr/>
          <w:p>
            <w:pPr>
              <w:pStyle w:val="Compact"/>
              <w:jc w:val="center"/>
            </w:pPr>
            <w:r>
              <w:t xml:space="preserve">9.9</w:t>
            </w:r>
          </w:p>
        </w:tc>
        <w:tc>
          <w:tcPr/>
          <w:p>
            <w:pPr>
              <w:pStyle w:val="Compact"/>
              <w:jc w:val="center"/>
            </w:pPr>
            <w:r>
              <w:t xml:space="preserve">446</w:t>
            </w:r>
            <m:oMath>
              <m:r>
                <m:rPr>
                  <m:sty m:val="p"/>
                </m:rPr>
                <m:t>×</m:t>
              </m:r>
            </m:oMath>
          </w:p>
        </w:tc>
      </w:tr>
      <w:tr>
        <w:tc>
          <w:tcPr/>
          <w:p>
            <w:pPr>
              <w:pStyle w:val="Compact"/>
              <w:jc w:val="left"/>
            </w:pPr>
            <w:r>
              <w:t xml:space="preserve">LDACS</w:t>
            </w:r>
          </w:p>
        </w:tc>
        <w:tc>
          <w:tcPr/>
          <w:p>
            <w:pPr>
              <w:pStyle w:val="Compact"/>
              <w:jc w:val="center"/>
            </w:pPr>
            <w:r>
              <w:t xml:space="preserve">26.5</w:t>
            </w:r>
          </w:p>
        </w:tc>
        <w:tc>
          <w:tcPr/>
          <w:p>
            <w:pPr>
              <w:pStyle w:val="Compact"/>
              <w:jc w:val="center"/>
            </w:pPr>
            <w:r>
              <w:t xml:space="preserve">0.19</w:t>
            </w:r>
          </w:p>
        </w:tc>
        <w:tc>
          <w:tcPr/>
          <w:p>
            <w:pPr>
              <w:pStyle w:val="Compact"/>
              <w:jc w:val="center"/>
            </w:pPr>
            <w:r>
              <w:t xml:space="preserve">139</w:t>
            </w:r>
            <m:oMath>
              <m:r>
                <m:rPr>
                  <m:sty m:val="p"/>
                </m:rPr>
                <m:t>×</m:t>
              </m:r>
            </m:oMath>
          </w:p>
        </w:tc>
      </w:tr>
      <w:tr>
        <w:tc>
          <w:tcPr/>
          <w:p>
            <w:pPr>
              <w:pStyle w:val="Compact"/>
              <w:jc w:val="left"/>
            </w:pPr>
            <w:r>
              <w:t xml:space="preserve">ADS-B</w:t>
            </w:r>
          </w:p>
        </w:tc>
        <w:tc>
          <w:tcPr/>
          <w:p>
            <w:pPr>
              <w:pStyle w:val="Compact"/>
              <w:jc w:val="center"/>
            </w:pPr>
            <w:r>
              <w:t xml:space="preserve">2.6</w:t>
            </w:r>
          </w:p>
        </w:tc>
        <w:tc>
          <w:tcPr/>
          <w:p>
            <w:pPr>
              <w:pStyle w:val="Compact"/>
              <w:jc w:val="center"/>
            </w:pPr>
            <w:r>
              <w:t xml:space="preserve">0.04</w:t>
            </w:r>
          </w:p>
        </w:tc>
        <w:tc>
          <w:tcPr/>
          <w:p>
            <w:pPr>
              <w:pStyle w:val="Compact"/>
              <w:jc w:val="center"/>
            </w:pPr>
            <w:r>
              <w:t xml:space="preserve">65</w:t>
            </w:r>
            <m:oMath>
              <m:r>
                <m:rPr>
                  <m:sty m:val="p"/>
                </m:rPr>
                <m:t>×</m:t>
              </m:r>
            </m:oMath>
          </w:p>
        </w:tc>
      </w:tr>
    </w:tbl>
    <w:bookmarkEnd w:id="55"/>
    <w:p>
      <w:pPr>
        <w:pStyle w:val="BodyText"/>
      </w:pPr>
      <w:r>
        <w:t xml:space="preserve">On VHF ACARS, authenticating 100 messages with individual ML-DSA-65 signatures would require over 18 minutes, while our aggregate scheme completes in 3.2 seconds—a 345</w:t>
      </w:r>
      <m:oMath>
        <m:r>
          <m:rPr>
            <m:sty m:val="p"/>
          </m:rPr>
          <m:t>×</m:t>
        </m:r>
      </m:oMath>
      <w:r>
        <w:t xml:space="preserve"> </w:t>
      </w:r>
      <w:r>
        <w:t xml:space="preserve">improvement. On classic SATCOM, the improvement is even more dramatic at 446</w:t>
      </w:r>
      <m:oMath>
        <m:r>
          <m:rPr>
            <m:sty m:val="p"/>
          </m:rPr>
          <m:t>×</m:t>
        </m:r>
      </m:oMath>
      <w:r>
        <w:t xml:space="preserve">, reducing the authentication time from over 73 minutes to under 10 seconds.</w:t>
      </w:r>
    </w:p>
    <w:bookmarkEnd w:id="56"/>
    <w:bookmarkEnd w:id="57"/>
    <w:bookmarkStart w:id="61" w:name="sec:security"/>
    <w:p>
      <w:pPr>
        <w:pStyle w:val="Heading1"/>
      </w:pPr>
      <w:r>
        <w:t xml:space="preserve">Security Analysis</w:t>
      </w:r>
    </w:p>
    <w:bookmarkStart w:id="58" w:name="aggregate-unforgeability"/>
    <w:p>
      <w:pPr>
        <w:pStyle w:val="Heading2"/>
      </w:pPr>
      <w:r>
        <w:t xml:space="preserve">Aggregate Unforgeability</w:t>
      </w:r>
    </w:p>
    <w:p>
      <w:pPr>
        <w:pStyle w:val="FirstParagraph"/>
      </w:pPr>
      <w:r>
        <w:t xml:space="preserve">We establish the security of our Merkle tree aggregate signature scheme under the collision resistance of SHA3-256 and the existential unforgeability under chosen message attack (EUF-CMA) of the underlying PQC signature scheme.</w:t>
      </w:r>
    </w:p>
    <w:p>
      <w:pPr>
        <w:pStyle w:val="BodyText"/>
      </w:pPr>
      <w:r>
        <w:t xml:space="preserve">If</w:t>
      </w:r>
      <w:r>
        <w:t xml:space="preserve"> </w:t>
      </w:r>
      <m:oMath>
        <m:r>
          <m:t>H</m:t>
        </m:r>
      </m:oMath>
      <w:r>
        <w:t xml:space="preserve"> </w:t>
      </w:r>
      <w:r>
        <w:t xml:space="preserve">is collision-resistant and</w:t>
      </w:r>
      <w:r>
        <w:t xml:space="preserve"> </w:t>
      </w:r>
      <m:oMath>
        <m:r>
          <m:rPr>
            <m:scr m:val="sans-serif"/>
            <m:sty m:val="p"/>
          </m:rPr>
          <m:t>S</m:t>
        </m:r>
        <m:r>
          <m:rPr>
            <m:scr m:val="sans-serif"/>
            <m:sty m:val="p"/>
          </m:rPr>
          <m:t>i</m:t>
        </m:r>
        <m:r>
          <m:rPr>
            <m:scr m:val="sans-serif"/>
            <m:sty m:val="p"/>
          </m:rPr>
          <m:t>g</m:t>
        </m:r>
      </m:oMath>
      <w:r>
        <w:t xml:space="preserve"> </w:t>
      </w:r>
      <w:r>
        <w:t xml:space="preserve">is EUF-CMA secure, then no probabilistic polynomial-time (PPT) adversary</w:t>
      </w:r>
      <w:r>
        <w:t xml:space="preserve"> </w:t>
      </w:r>
      <m:oMath>
        <m:r>
          <m:rPr>
            <m:scr m:val="script"/>
            <m:sty m:val="p"/>
          </m:rPr>
          <m:t>A</m:t>
        </m:r>
      </m:oMath>
      <w:r>
        <w:t xml:space="preserve"> </w:t>
      </w:r>
      <w:r>
        <w:t xml:space="preserve">can produce a valid aggregate signature</w:t>
      </w:r>
      <w:r>
        <w:t xml:space="preserve"> </w:t>
      </w:r>
      <m:oMath>
        <m:sSup>
          <m:e>
            <m:r>
              <m:t>α</m:t>
            </m:r>
          </m:e>
          <m:sup>
            <m:r>
              <m:rPr>
                <m:sty m:val="p"/>
              </m:rPr>
              <m:t>*</m:t>
            </m:r>
          </m:sup>
        </m:sSup>
      </m:oMath>
      <w:r>
        <w:t xml:space="preserve"> </w:t>
      </w:r>
      <w:r>
        <w:t xml:space="preserve">on a set of messages</w:t>
      </w:r>
      <w:r>
        <w:t xml:space="preserve"> </w:t>
      </w:r>
      <m:oMath>
        <m:r>
          <m:rPr>
            <m:sty m:val="p"/>
          </m:rPr>
          <m:t>{</m:t>
        </m:r>
        <m:sSubSup>
          <m:e>
            <m:r>
              <m:t>m</m:t>
            </m:r>
          </m:e>
          <m:sub>
            <m:r>
              <m:t>1</m:t>
            </m:r>
          </m:sub>
          <m:sup>
            <m:r>
              <m:rPr>
                <m:sty m:val="p"/>
              </m:rPr>
              <m:t>*</m:t>
            </m:r>
          </m:sup>
        </m:sSubSup>
        <m:r>
          <m:rPr>
            <m:sty m:val="p"/>
          </m:rPr>
          <m:t>,</m:t>
        </m:r>
        <m:r>
          <m:rPr>
            <m:sty m:val="p"/>
          </m:rPr>
          <m:t>…</m:t>
        </m:r>
        <m:r>
          <m:rPr>
            <m:sty m:val="p"/>
          </m:rPr>
          <m:t>,</m:t>
        </m:r>
        <m:sSubSup>
          <m:e>
            <m:r>
              <m:t>m</m:t>
            </m:r>
          </m:e>
          <m:sub>
            <m:r>
              <m:t>N</m:t>
            </m:r>
          </m:sub>
          <m:sup>
            <m:r>
              <m:rPr>
                <m:sty m:val="p"/>
              </m:rPr>
              <m:t>*</m:t>
            </m:r>
          </m:sup>
        </m:sSubSup>
        <m:r>
          <m:rPr>
            <m:sty m:val="p"/>
          </m:rPr>
          <m:t>}</m:t>
        </m:r>
      </m:oMath>
      <w:r>
        <w:t xml:space="preserve"> </w:t>
      </w:r>
      <w:r>
        <w:t xml:space="preserve">where at least one message</w:t>
      </w:r>
      <w:r>
        <w:t xml:space="preserve"> </w:t>
      </w:r>
      <m:oMath>
        <m:sSubSup>
          <m:e>
            <m:r>
              <m:t>m</m:t>
            </m:r>
          </m:e>
          <m:sub>
            <m:r>
              <m:t>i</m:t>
            </m:r>
          </m:sub>
          <m:sup>
            <m:r>
              <m:rPr>
                <m:sty m:val="p"/>
              </m:rPr>
              <m:t>*</m:t>
            </m:r>
          </m:sup>
        </m:sSubSup>
      </m:oMath>
      <w:r>
        <w:t xml:space="preserve"> </w:t>
      </w:r>
      <w:r>
        <w:t xml:space="preserve">was not signed by the holder of</w:t>
      </w:r>
      <w:r>
        <w:t xml:space="preserve"> </w:t>
      </w:r>
      <m:oMath>
        <m:r>
          <m:t>p</m:t>
        </m:r>
        <m:sSub>
          <m:e>
            <m:r>
              <m:t>k</m:t>
            </m:r>
          </m:e>
          <m:sub>
            <m:r>
              <m:t>i</m:t>
            </m:r>
          </m:sub>
        </m:sSub>
      </m:oMath>
      <w:r>
        <w:t xml:space="preserve">, with probability greater than:</w:t>
      </w:r>
    </w:p>
    <w:p>
      <w:pPr>
        <w:pStyle w:val="BodyText"/>
      </w:pPr>
      <m:oMathPara>
        <m:oMathParaPr>
          <m:jc m:val="center"/>
        </m:oMathParaPr>
        <m:oMath>
          <m:sSubSup>
            <m:e>
              <m:r>
                <m:rPr>
                  <m:scr m:val="sans-serif"/>
                  <m:sty m:val="p"/>
                </m:rPr>
                <m:t>A</m:t>
              </m:r>
              <m:r>
                <m:rPr>
                  <m:scr m:val="sans-serif"/>
                  <m:sty m:val="p"/>
                </m:rPr>
                <m:t>d</m:t>
              </m:r>
              <m:r>
                <m:rPr>
                  <m:scr m:val="sans-serif"/>
                  <m:sty m:val="p"/>
                </m:rPr>
                <m:t>v</m:t>
              </m:r>
            </m:e>
            <m:sub>
              <m:r>
                <m:rPr>
                  <m:scr m:val="script"/>
                  <m:sty m:val="p"/>
                </m:rPr>
                <m:t>A</m:t>
              </m:r>
            </m:sub>
            <m:sup>
              <m:r>
                <m:rPr>
                  <m:scr m:val="sans-serif"/>
                  <m:sty m:val="p"/>
                </m:rPr>
                <m:t>a</m:t>
              </m:r>
              <m:r>
                <m:rPr>
                  <m:scr m:val="sans-serif"/>
                  <m:sty m:val="p"/>
                </m:rPr>
                <m:t>g</m:t>
              </m:r>
              <m:r>
                <m:rPr>
                  <m:scr m:val="sans-serif"/>
                  <m:sty m:val="p"/>
                </m:rPr>
                <m:t>g</m:t>
              </m:r>
              <m:r>
                <m:rPr>
                  <m:nor/>
                  <m:sty m:val="p"/>
                </m:rPr>
                <m:t>-</m:t>
              </m:r>
              <m:r>
                <m:rPr>
                  <m:scr m:val="sans-serif"/>
                  <m:sty m:val="p"/>
                </m:rPr>
                <m:t>u</m:t>
              </m:r>
              <m:r>
                <m:rPr>
                  <m:scr m:val="sans-serif"/>
                  <m:sty m:val="p"/>
                </m:rPr>
                <m:t>f</m:t>
              </m:r>
            </m:sup>
          </m:sSubSup>
          <m:r>
            <m:rPr>
              <m:sty m:val="p"/>
            </m:rPr>
            <m:t>≤</m:t>
          </m:r>
          <m:r>
            <m:t>N</m:t>
          </m:r>
          <m:r>
            <m:rPr>
              <m:sty m:val="p"/>
            </m:rPr>
            <m:t>⋅</m:t>
          </m:r>
          <m:sSubSup>
            <m:e>
              <m:r>
                <m:rPr>
                  <m:scr m:val="sans-serif"/>
                  <m:sty m:val="p"/>
                </m:rPr>
                <m:t>A</m:t>
              </m:r>
              <m:r>
                <m:rPr>
                  <m:scr m:val="sans-serif"/>
                  <m:sty m:val="p"/>
                </m:rPr>
                <m:t>d</m:t>
              </m:r>
              <m:r>
                <m:rPr>
                  <m:scr m:val="sans-serif"/>
                  <m:sty m:val="p"/>
                </m:rPr>
                <m:t>v</m:t>
              </m:r>
            </m:e>
            <m:sub>
              <m:r>
                <m:rPr>
                  <m:scr m:val="sans-serif"/>
                  <m:sty m:val="p"/>
                </m:rPr>
                <m:t>S</m:t>
              </m:r>
              <m:r>
                <m:rPr>
                  <m:scr m:val="sans-serif"/>
                  <m:sty m:val="p"/>
                </m:rPr>
                <m:t>i</m:t>
              </m:r>
              <m:r>
                <m:rPr>
                  <m:scr m:val="sans-serif"/>
                  <m:sty m:val="p"/>
                </m:rPr>
                <m:t>g</m:t>
              </m:r>
            </m:sub>
            <m:sup>
              <m:r>
                <m:rPr>
                  <m:scr m:val="sans-serif"/>
                  <m:sty m:val="p"/>
                </m:rPr>
                <m:t>e</m:t>
              </m:r>
              <m:r>
                <m:rPr>
                  <m:scr m:val="sans-serif"/>
                  <m:sty m:val="p"/>
                </m:rPr>
                <m:t>u</m:t>
              </m:r>
              <m:r>
                <m:rPr>
                  <m:scr m:val="sans-serif"/>
                  <m:sty m:val="p"/>
                </m:rPr>
                <m:t>f</m:t>
              </m:r>
              <m:r>
                <m:rPr>
                  <m:nor/>
                  <m:sty m:val="p"/>
                </m:rPr>
                <m:t>-</m:t>
              </m:r>
              <m:r>
                <m:rPr>
                  <m:scr m:val="sans-serif"/>
                  <m:sty m:val="p"/>
                </m:rPr>
                <m:t>c</m:t>
              </m:r>
              <m:r>
                <m:rPr>
                  <m:scr m:val="sans-serif"/>
                  <m:sty m:val="p"/>
                </m:rPr>
                <m:t>m</m:t>
              </m:r>
              <m:r>
                <m:rPr>
                  <m:scr m:val="sans-serif"/>
                  <m:sty m:val="p"/>
                </m:rPr>
                <m:t>a</m:t>
              </m:r>
            </m:sup>
          </m:sSubSup>
          <m:r>
            <m:rPr>
              <m:sty m:val="p"/>
            </m:rPr>
            <m:t>+</m:t>
          </m:r>
          <m:sSubSup>
            <m:e>
              <m:r>
                <m:rPr>
                  <m:scr m:val="sans-serif"/>
                  <m:sty m:val="p"/>
                </m:rPr>
                <m:t>A</m:t>
              </m:r>
              <m:r>
                <m:rPr>
                  <m:scr m:val="sans-serif"/>
                  <m:sty m:val="p"/>
                </m:rPr>
                <m:t>d</m:t>
              </m:r>
              <m:r>
                <m:rPr>
                  <m:scr m:val="sans-serif"/>
                  <m:sty m:val="p"/>
                </m:rPr>
                <m:t>v</m:t>
              </m:r>
            </m:e>
            <m:sub>
              <m:r>
                <m:t>H</m:t>
              </m:r>
            </m:sub>
            <m:sup>
              <m:r>
                <m:rPr>
                  <m:scr m:val="sans-serif"/>
                  <m:sty m:val="p"/>
                </m:rPr>
                <m:t>c</m:t>
              </m:r>
              <m:r>
                <m:rPr>
                  <m:scr m:val="sans-serif"/>
                  <m:sty m:val="p"/>
                </m:rPr>
                <m:t>r</m:t>
              </m:r>
            </m:sup>
          </m:sSubSup>
        </m:oMath>
      </m:oMathPara>
    </w:p>
    <w:p>
      <w:pPr>
        <w:pStyle w:val="FirstParagraph"/>
      </w:pPr>
      <w:r>
        <w:rPr>
          <w:i/>
          <w:iCs/>
        </w:rPr>
        <w:t xml:space="preserve">Proof sketch.</w:t>
      </w:r>
      <w:r>
        <w:t xml:space="preserve"> </w:t>
      </w:r>
      <w:r>
        <w:t xml:space="preserve">We proceed by contradiction. Suppose</w:t>
      </w:r>
      <w:r>
        <w:t xml:space="preserve"> </w:t>
      </w:r>
      <m:oMath>
        <m:r>
          <m:rPr>
            <m:scr m:val="script"/>
            <m:sty m:val="p"/>
          </m:rPr>
          <m:t>A</m:t>
        </m:r>
      </m:oMath>
      <w:r>
        <w:t xml:space="preserve"> </w:t>
      </w:r>
      <w:r>
        <w:t xml:space="preserve">produces a valid aggregate</w:t>
      </w:r>
      <w:r>
        <w:t xml:space="preserve"> </w:t>
      </w:r>
      <m:oMath>
        <m:sSup>
          <m:e>
            <m:r>
              <m:t>α</m:t>
            </m:r>
          </m:e>
          <m:sup>
            <m:r>
              <m:rPr>
                <m:sty m:val="p"/>
              </m:rPr>
              <m:t>*</m:t>
            </m:r>
          </m:sup>
        </m:sSup>
      </m:oMath>
      <w:r>
        <w:t xml:space="preserve"> </w:t>
      </w:r>
      <w:r>
        <w:t xml:space="preserve">containing a forged message-signature pair</w:t>
      </w:r>
      <w:r>
        <w:t xml:space="preserve"> </w:t>
      </w:r>
      <m:oMath>
        <m:r>
          <m:rPr>
            <m:sty m:val="p"/>
          </m:rPr>
          <m:t>(</m:t>
        </m:r>
        <m:sSubSup>
          <m:e>
            <m:r>
              <m:t>m</m:t>
            </m:r>
          </m:e>
          <m:sub>
            <m:r>
              <m:t>i</m:t>
            </m:r>
          </m:sub>
          <m:sup>
            <m:r>
              <m:rPr>
                <m:sty m:val="p"/>
              </m:rPr>
              <m:t>*</m:t>
            </m:r>
          </m:sup>
        </m:sSubSup>
        <m:r>
          <m:rPr>
            <m:sty m:val="p"/>
          </m:rPr>
          <m:t>,</m:t>
        </m:r>
        <m:sSubSup>
          <m:e>
            <m:r>
              <m:t>σ</m:t>
            </m:r>
          </m:e>
          <m:sub>
            <m:r>
              <m:t>i</m:t>
            </m:r>
          </m:sub>
          <m:sup>
            <m:r>
              <m:rPr>
                <m:sty m:val="p"/>
              </m:rPr>
              <m:t>*</m:t>
            </m:r>
          </m:sup>
        </m:sSubSup>
        <m:r>
          <m:rPr>
            <m:sty m:val="p"/>
          </m:rPr>
          <m:t>)</m:t>
        </m:r>
      </m:oMath>
      <w:r>
        <w:t xml:space="preserve"> </w:t>
      </w:r>
      <w:r>
        <w:t xml:space="preserve">at position</w:t>
      </w:r>
      <w:r>
        <w:t xml:space="preserve"> </w:t>
      </w:r>
      <m:oMath>
        <m:r>
          <m:t>i</m:t>
        </m:r>
      </m:oMath>
      <w:r>
        <w:t xml:space="preserve">. Aggregate verification requires that the recomputed Merkle root matches. For the root to match, the leaf</w:t>
      </w:r>
      <w:r>
        <w:t xml:space="preserve"> </w:t>
      </w:r>
      <m:oMath>
        <m:sSubSup>
          <m:e>
            <m:r>
              <m:t>ℓ</m:t>
            </m:r>
          </m:e>
          <m:sub>
            <m:r>
              <m:t>i</m:t>
            </m:r>
          </m:sub>
          <m:sup>
            <m:r>
              <m:rPr>
                <m:sty m:val="p"/>
              </m:rPr>
              <m:t>*</m:t>
            </m:r>
          </m:sup>
        </m:sSubSup>
        <m:r>
          <m:rPr>
            <m:sty m:val="p"/>
          </m:rPr>
          <m:t>=</m:t>
        </m:r>
        <m:r>
          <m:t>H</m:t>
        </m:r>
        <m:r>
          <m:rPr>
            <m:sty m:val="p"/>
          </m:rPr>
          <m:t>(</m:t>
        </m:r>
        <m:sSubSup>
          <m:e>
            <m:r>
              <m:t>h</m:t>
            </m:r>
          </m:e>
          <m:sub>
            <m:r>
              <m:t>i</m:t>
            </m:r>
          </m:sub>
          <m:sup>
            <m:r>
              <m:rPr>
                <m:sty m:val="p"/>
              </m:rPr>
              <m:t>*</m:t>
            </m:r>
          </m:sup>
        </m:sSubSup>
        <m:r>
          <m:rPr>
            <m:sty m:val="p"/>
          </m:rPr>
          <m:t>∥</m:t>
        </m:r>
        <m:sSubSup>
          <m:e>
            <m:r>
              <m:t>σ</m:t>
            </m:r>
          </m:e>
          <m:sub>
            <m:r>
              <m:t>i</m:t>
            </m:r>
          </m:sub>
          <m:sup>
            <m:r>
              <m:rPr>
                <m:sty m:val="p"/>
              </m:rPr>
              <m:t>*</m:t>
            </m:r>
          </m:sup>
        </m:sSubSup>
        <m:r>
          <m:rPr>
            <m:sty m:val="p"/>
          </m:rPr>
          <m:t>)</m:t>
        </m:r>
      </m:oMath>
      <w:r>
        <w:t xml:space="preserve"> </w:t>
      </w:r>
      <w:r>
        <w:t xml:space="preserve">must be consistent with the original tree.</w:t>
      </w:r>
    </w:p>
    <w:p>
      <w:pPr>
        <w:pStyle w:val="BodyText"/>
      </w:pPr>
      <w:r>
        <w:t xml:space="preserve">Case 1: If</w:t>
      </w:r>
      <w:r>
        <w:t xml:space="preserve"> </w:t>
      </w:r>
      <m:oMath>
        <m:sSubSup>
          <m:e>
            <m:r>
              <m:t>σ</m:t>
            </m:r>
          </m:e>
          <m:sub>
            <m:r>
              <m:t>i</m:t>
            </m:r>
          </m:sub>
          <m:sup>
            <m:r>
              <m:rPr>
                <m:sty m:val="p"/>
              </m:rPr>
              <m:t>*</m:t>
            </m:r>
          </m:sup>
        </m:sSubSup>
      </m:oMath>
      <w:r>
        <w:t xml:space="preserve"> </w:t>
      </w:r>
      <w:r>
        <w:t xml:space="preserve">is a valid signature on</w:t>
      </w:r>
      <w:r>
        <w:t xml:space="preserve"> </w:t>
      </w:r>
      <m:oMath>
        <m:sSubSup>
          <m:e>
            <m:r>
              <m:t>m</m:t>
            </m:r>
          </m:e>
          <m:sub>
            <m:r>
              <m:t>i</m:t>
            </m:r>
          </m:sub>
          <m:sup>
            <m:r>
              <m:rPr>
                <m:sty m:val="p"/>
              </m:rPr>
              <m:t>*</m:t>
            </m:r>
          </m:sup>
        </m:sSubSup>
      </m:oMath>
      <w:r>
        <w:t xml:space="preserve"> </w:t>
      </w:r>
      <w:r>
        <w:t xml:space="preserve">under</w:t>
      </w:r>
      <w:r>
        <w:t xml:space="preserve"> </w:t>
      </w:r>
      <m:oMath>
        <m:r>
          <m:t>p</m:t>
        </m:r>
        <m:sSub>
          <m:e>
            <m:r>
              <m:t>k</m:t>
            </m:r>
          </m:e>
          <m:sub>
            <m:r>
              <m:t>i</m:t>
            </m:r>
          </m:sub>
        </m:sSub>
      </m:oMath>
      <w:r>
        <w:t xml:space="preserve">, then</w:t>
      </w:r>
      <w:r>
        <w:t xml:space="preserve"> </w:t>
      </w:r>
      <m:oMath>
        <m:r>
          <m:rPr>
            <m:scr m:val="script"/>
            <m:sty m:val="p"/>
          </m:rPr>
          <m:t>A</m:t>
        </m:r>
      </m:oMath>
      <w:r>
        <w:t xml:space="preserve"> </w:t>
      </w:r>
      <w:r>
        <w:t xml:space="preserve">has broken the EUF-CMA security of</w:t>
      </w:r>
      <w:r>
        <w:t xml:space="preserve"> </w:t>
      </w:r>
      <m:oMath>
        <m:r>
          <m:rPr>
            <m:scr m:val="sans-serif"/>
            <m:sty m:val="p"/>
          </m:rPr>
          <m:t>S</m:t>
        </m:r>
        <m:r>
          <m:rPr>
            <m:scr m:val="sans-serif"/>
            <m:sty m:val="p"/>
          </m:rPr>
          <m:t>i</m:t>
        </m:r>
        <m:r>
          <m:rPr>
            <m:scr m:val="sans-serif"/>
            <m:sty m:val="p"/>
          </m:rPr>
          <m:t>g</m:t>
        </m:r>
      </m:oMath>
      <w:r>
        <w:t xml:space="preserve">.</w:t>
      </w:r>
    </w:p>
    <w:p>
      <w:pPr>
        <w:pStyle w:val="BodyText"/>
      </w:pPr>
      <w:r>
        <w:t xml:space="preserve">Case 2: If</w:t>
      </w:r>
      <w:r>
        <w:t xml:space="preserve"> </w:t>
      </w:r>
      <m:oMath>
        <m:sSubSup>
          <m:e>
            <m:r>
              <m:t>σ</m:t>
            </m:r>
          </m:e>
          <m:sub>
            <m:r>
              <m:t>i</m:t>
            </m:r>
          </m:sub>
          <m:sup>
            <m:r>
              <m:rPr>
                <m:sty m:val="p"/>
              </m:rPr>
              <m:t>*</m:t>
            </m:r>
          </m:sup>
        </m:sSubSup>
      </m:oMath>
      <w:r>
        <w:t xml:space="preserve"> </w:t>
      </w:r>
      <w:r>
        <w:t xml:space="preserve">is not a valid signature but</w:t>
      </w:r>
      <w:r>
        <w:t xml:space="preserve"> </w:t>
      </w:r>
      <m:oMath>
        <m:sSubSup>
          <m:e>
            <m:r>
              <m:t>ℓ</m:t>
            </m:r>
          </m:e>
          <m:sub>
            <m:r>
              <m:t>i</m:t>
            </m:r>
          </m:sub>
          <m:sup>
            <m:r>
              <m:rPr>
                <m:sty m:val="p"/>
              </m:rPr>
              <m:t>*</m:t>
            </m:r>
          </m:sup>
        </m:sSubSup>
      </m:oMath>
      <w:r>
        <w:t xml:space="preserve"> </w:t>
      </w:r>
      <w:r>
        <w:t xml:space="preserve">equals</w:t>
      </w:r>
      <w:r>
        <w:t xml:space="preserve"> </w:t>
      </w:r>
      <m:oMath>
        <m:sSub>
          <m:e>
            <m:r>
              <m:t>ℓ</m:t>
            </m:r>
          </m:e>
          <m:sub>
            <m:r>
              <m:t>i</m:t>
            </m:r>
          </m:sub>
        </m:sSub>
      </m:oMath>
      <w:r>
        <w:t xml:space="preserve"> </w:t>
      </w:r>
      <w:r>
        <w:t xml:space="preserve">(the original leaf), then</w:t>
      </w:r>
      <w:r>
        <w:t xml:space="preserve"> </w:t>
      </w:r>
      <m:oMath>
        <m:r>
          <m:rPr>
            <m:scr m:val="script"/>
            <m:sty m:val="p"/>
          </m:rPr>
          <m:t>A</m:t>
        </m:r>
      </m:oMath>
      <w:r>
        <w:t xml:space="preserve"> </w:t>
      </w:r>
      <w:r>
        <w:t xml:space="preserve">has found a collision in</w:t>
      </w:r>
      <w:r>
        <w:t xml:space="preserve"> </w:t>
      </w:r>
      <m:oMath>
        <m:r>
          <m:t>H</m:t>
        </m:r>
      </m:oMath>
      <w:r>
        <w:t xml:space="preserve">, since</w:t>
      </w:r>
      <w:r>
        <w:t xml:space="preserve"> </w:t>
      </w:r>
      <m:oMath>
        <m:r>
          <m:t>H</m:t>
        </m:r>
        <m:r>
          <m:rPr>
            <m:sty m:val="p"/>
          </m:rPr>
          <m:t>(</m:t>
        </m:r>
        <m:sSubSup>
          <m:e>
            <m:r>
              <m:t>h</m:t>
            </m:r>
          </m:e>
          <m:sub>
            <m:r>
              <m:t>i</m:t>
            </m:r>
          </m:sub>
          <m:sup>
            <m:r>
              <m:rPr>
                <m:sty m:val="p"/>
              </m:rPr>
              <m:t>*</m:t>
            </m:r>
          </m:sup>
        </m:sSubSup>
        <m:r>
          <m:rPr>
            <m:sty m:val="p"/>
          </m:rPr>
          <m:t>∥</m:t>
        </m:r>
        <m:sSubSup>
          <m:e>
            <m:r>
              <m:t>σ</m:t>
            </m:r>
          </m:e>
          <m:sub>
            <m:r>
              <m:t>i</m:t>
            </m:r>
          </m:sub>
          <m:sup>
            <m:r>
              <m:rPr>
                <m:sty m:val="p"/>
              </m:rPr>
              <m:t>*</m:t>
            </m:r>
          </m:sup>
        </m:sSubSup>
        <m:r>
          <m:rPr>
            <m:sty m:val="p"/>
          </m:rPr>
          <m:t>)</m:t>
        </m:r>
        <m:r>
          <m:rPr>
            <m:sty m:val="p"/>
          </m:rPr>
          <m:t>=</m:t>
        </m:r>
        <m:r>
          <m:t>H</m:t>
        </m:r>
        <m:r>
          <m:rPr>
            <m:sty m:val="p"/>
          </m:rPr>
          <m:t>(</m:t>
        </m:r>
        <m:sSub>
          <m:e>
            <m:r>
              <m:t>h</m:t>
            </m:r>
          </m:e>
          <m:sub>
            <m:r>
              <m:t>i</m:t>
            </m:r>
          </m:sub>
        </m:sSub>
        <m:r>
          <m:rPr>
            <m:sty m:val="p"/>
          </m:rPr>
          <m:t>∥</m:t>
        </m:r>
        <m:sSub>
          <m:e>
            <m:r>
              <m:t>σ</m:t>
            </m:r>
          </m:e>
          <m:sub>
            <m:r>
              <m:t>i</m:t>
            </m:r>
          </m:sub>
        </m:sSub>
        <m:r>
          <m:rPr>
            <m:sty m:val="p"/>
          </m:rPr>
          <m:t>)</m:t>
        </m:r>
      </m:oMath>
      <w:r>
        <w:t xml:space="preserve"> </w:t>
      </w:r>
      <w:r>
        <w:t xml:space="preserve">with</w:t>
      </w:r>
      <w:r>
        <w:t xml:space="preserve"> </w:t>
      </w:r>
      <m:oMath>
        <m:r>
          <m:rPr>
            <m:sty m:val="p"/>
          </m:rPr>
          <m:t>(</m:t>
        </m:r>
        <m:sSubSup>
          <m:e>
            <m:r>
              <m:t>h</m:t>
            </m:r>
          </m:e>
          <m:sub>
            <m:r>
              <m:t>i</m:t>
            </m:r>
          </m:sub>
          <m:sup>
            <m:r>
              <m:rPr>
                <m:sty m:val="p"/>
              </m:rPr>
              <m:t>*</m:t>
            </m:r>
          </m:sup>
        </m:sSubSup>
        <m:r>
          <m:rPr>
            <m:sty m:val="p"/>
          </m:rPr>
          <m:t>,</m:t>
        </m:r>
        <m:sSubSup>
          <m:e>
            <m:r>
              <m:t>σ</m:t>
            </m:r>
          </m:e>
          <m:sub>
            <m:r>
              <m:t>i</m:t>
            </m:r>
          </m:sub>
          <m:sup>
            <m:r>
              <m:rPr>
                <m:sty m:val="p"/>
              </m:rPr>
              <m:t>*</m:t>
            </m:r>
          </m:sup>
        </m:sSubSup>
        <m:r>
          <m:rPr>
            <m:sty m:val="p"/>
          </m:rPr>
          <m:t>)</m:t>
        </m:r>
        <m:r>
          <m:rPr>
            <m:sty m:val="p"/>
          </m:rPr>
          <m:t>≠</m:t>
        </m:r>
        <m:r>
          <m:rPr>
            <m:sty m:val="p"/>
          </m:rPr>
          <m:t>(</m:t>
        </m:r>
        <m:sSub>
          <m:e>
            <m:r>
              <m:t>h</m:t>
            </m:r>
          </m:e>
          <m:sub>
            <m:r>
              <m:t>i</m:t>
            </m:r>
          </m:sub>
        </m:sSub>
        <m:r>
          <m:rPr>
            <m:sty m:val="p"/>
          </m:rPr>
          <m:t>,</m:t>
        </m:r>
        <m:sSub>
          <m:e>
            <m:r>
              <m:t>σ</m:t>
            </m:r>
          </m:e>
          <m:sub>
            <m:r>
              <m:t>i</m:t>
            </m:r>
          </m:sub>
        </m:sSub>
        <m:r>
          <m:rPr>
            <m:sty m:val="p"/>
          </m:rPr>
          <m:t>)</m:t>
        </m:r>
      </m:oMath>
      <w:r>
        <w:t xml:space="preserve">.</w:t>
      </w:r>
    </w:p>
    <w:p>
      <w:pPr>
        <w:pStyle w:val="BodyText"/>
      </w:pPr>
      <w:r>
        <w:t xml:space="preserve">Case 3: If</w:t>
      </w:r>
      <w:r>
        <w:t xml:space="preserve"> </w:t>
      </w:r>
      <m:oMath>
        <m:sSubSup>
          <m:e>
            <m:r>
              <m:t>ℓ</m:t>
            </m:r>
          </m:e>
          <m:sub>
            <m:r>
              <m:t>i</m:t>
            </m:r>
          </m:sub>
          <m:sup>
            <m:r>
              <m:rPr>
                <m:sty m:val="p"/>
              </m:rPr>
              <m:t>*</m:t>
            </m:r>
          </m:sup>
        </m:sSubSup>
        <m:r>
          <m:rPr>
            <m:sty m:val="p"/>
          </m:rPr>
          <m:t>≠</m:t>
        </m:r>
        <m:sSub>
          <m:e>
            <m:r>
              <m:t>ℓ</m:t>
            </m:r>
          </m:e>
          <m:sub>
            <m:r>
              <m:t>i</m:t>
            </m:r>
          </m:sub>
        </m:sSub>
      </m:oMath>
      <w:r>
        <w:t xml:space="preserve"> </w:t>
      </w:r>
      <w:r>
        <w:t xml:space="preserve">but the Merkle root matches, then</w:t>
      </w:r>
      <w:r>
        <w:t xml:space="preserve"> </w:t>
      </w:r>
      <m:oMath>
        <m:r>
          <m:rPr>
            <m:scr m:val="script"/>
            <m:sty m:val="p"/>
          </m:rPr>
          <m:t>A</m:t>
        </m:r>
      </m:oMath>
      <w:r>
        <w:t xml:space="preserve"> </w:t>
      </w:r>
      <w:r>
        <w:t xml:space="preserve">has found a collision in the Merkle tree hash chain, which reduces to finding a collision in</w:t>
      </w:r>
      <w:r>
        <w:t xml:space="preserve"> </w:t>
      </w:r>
      <m:oMath>
        <m:r>
          <m:t>H</m:t>
        </m:r>
      </m:oMath>
      <w:r>
        <w:t xml:space="preserve">.</w:t>
      </w:r>
    </w:p>
    <w:p>
      <w:pPr>
        <w:pStyle w:val="BodyText"/>
      </w:pPr>
      <w:r>
        <w:t xml:space="preserve">By the union bound over</w:t>
      </w:r>
      <w:r>
        <w:t xml:space="preserve"> </w:t>
      </w:r>
      <m:oMath>
        <m:r>
          <m:t>N</m:t>
        </m:r>
      </m:oMath>
      <w:r>
        <w:t xml:space="preserve"> </w:t>
      </w:r>
      <w:r>
        <w:t xml:space="preserve">positions, the advantage is bounded as stated. Under SHA3-256,</w:t>
      </w:r>
      <w:r>
        <w:t xml:space="preserve"> </w:t>
      </w:r>
      <m:oMath>
        <m:sSubSup>
          <m:e>
            <m:r>
              <m:rPr>
                <m:scr m:val="sans-serif"/>
                <m:sty m:val="p"/>
              </m:rPr>
              <m:t>A</m:t>
            </m:r>
            <m:r>
              <m:rPr>
                <m:scr m:val="sans-serif"/>
                <m:sty m:val="p"/>
              </m:rPr>
              <m:t>d</m:t>
            </m:r>
            <m:r>
              <m:rPr>
                <m:scr m:val="sans-serif"/>
                <m:sty m:val="p"/>
              </m:rPr>
              <m:t>v</m:t>
            </m:r>
          </m:e>
          <m:sub>
            <m:r>
              <m:t>H</m:t>
            </m:r>
          </m:sub>
          <m:sup>
            <m:r>
              <m:rPr>
                <m:scr m:val="sans-serif"/>
                <m:sty m:val="p"/>
              </m:rPr>
              <m:t>c</m:t>
            </m:r>
            <m:r>
              <m:rPr>
                <m:scr m:val="sans-serif"/>
                <m:sty m:val="p"/>
              </m:rPr>
              <m:t>r</m:t>
            </m:r>
          </m:sup>
        </m:sSubSup>
        <m:r>
          <m:rPr>
            <m:sty m:val="p"/>
          </m:rPr>
          <m:t>≤</m:t>
        </m:r>
        <m:sSup>
          <m:e>
            <m:r>
              <m:t>2</m:t>
            </m:r>
          </m:e>
          <m:sup>
            <m:r>
              <m:rPr>
                <m:sty m:val="p"/>
              </m:rPr>
              <m:t>−</m:t>
            </m:r>
            <m:r>
              <m:t>128</m:t>
            </m:r>
          </m:sup>
        </m:sSup>
      </m:oMath>
      <w:r>
        <w:t xml:space="preserve">, and under ML-DSA-65,</w:t>
      </w:r>
      <w:r>
        <w:t xml:space="preserve"> </w:t>
      </w:r>
      <m:oMath>
        <m:sSubSup>
          <m:e>
            <m:r>
              <m:rPr>
                <m:scr m:val="sans-serif"/>
                <m:sty m:val="p"/>
              </m:rPr>
              <m:t>A</m:t>
            </m:r>
            <m:r>
              <m:rPr>
                <m:scr m:val="sans-serif"/>
                <m:sty m:val="p"/>
              </m:rPr>
              <m:t>d</m:t>
            </m:r>
            <m:r>
              <m:rPr>
                <m:scr m:val="sans-serif"/>
                <m:sty m:val="p"/>
              </m:rPr>
              <m:t>v</m:t>
            </m:r>
          </m:e>
          <m:sub>
            <m:r>
              <m:rPr>
                <m:scr m:val="sans-serif"/>
                <m:sty m:val="p"/>
              </m:rPr>
              <m:t>S</m:t>
            </m:r>
            <m:r>
              <m:rPr>
                <m:scr m:val="sans-serif"/>
                <m:sty m:val="p"/>
              </m:rPr>
              <m:t>i</m:t>
            </m:r>
            <m:r>
              <m:rPr>
                <m:scr m:val="sans-serif"/>
                <m:sty m:val="p"/>
              </m:rPr>
              <m:t>g</m:t>
            </m:r>
          </m:sub>
          <m:sup>
            <m:r>
              <m:rPr>
                <m:scr m:val="sans-serif"/>
                <m:sty m:val="p"/>
              </m:rPr>
              <m:t>e</m:t>
            </m:r>
            <m:r>
              <m:rPr>
                <m:scr m:val="sans-serif"/>
                <m:sty m:val="p"/>
              </m:rPr>
              <m:t>u</m:t>
            </m:r>
            <m:r>
              <m:rPr>
                <m:scr m:val="sans-serif"/>
                <m:sty m:val="p"/>
              </m:rPr>
              <m:t>f</m:t>
            </m:r>
            <m:r>
              <m:rPr>
                <m:nor/>
                <m:sty m:val="p"/>
              </m:rPr>
              <m:t>-</m:t>
            </m:r>
            <m:r>
              <m:rPr>
                <m:scr m:val="sans-serif"/>
                <m:sty m:val="p"/>
              </m:rPr>
              <m:t>c</m:t>
            </m:r>
            <m:r>
              <m:rPr>
                <m:scr m:val="sans-serif"/>
                <m:sty m:val="p"/>
              </m:rPr>
              <m:t>m</m:t>
            </m:r>
            <m:r>
              <m:rPr>
                <m:scr m:val="sans-serif"/>
                <m:sty m:val="p"/>
              </m:rPr>
              <m:t>a</m:t>
            </m:r>
          </m:sup>
        </m:sSubSup>
      </m:oMath>
      <w:r>
        <w:t xml:space="preserve"> </w:t>
      </w:r>
      <w:r>
        <w:t xml:space="preserve">is negligible against quantum adversaries at NIST security level 3. ◻</w:t>
      </w:r>
    </w:p>
    <w:p>
      <w:pPr>
        <w:pStyle w:val="BodyText"/>
      </w:pPr>
      <w:r>
        <w:rPr>
          <w:b/>
          <w:bCs/>
        </w:rPr>
        <w:t xml:space="preserve">Truncation Security.</w:t>
      </w:r>
      <w:r>
        <w:t xml:space="preserve"> </w:t>
      </w:r>
      <w:r>
        <w:t xml:space="preserve">The truncation of leaf hashes to</w:t>
      </w:r>
      <w:r>
        <w:t xml:space="preserve"> </w:t>
      </w:r>
      <m:oMath>
        <m:r>
          <m:t>t</m:t>
        </m:r>
      </m:oMath>
      <w:r>
        <w:t xml:space="preserve"> </w:t>
      </w:r>
      <w:r>
        <w:t xml:space="preserve">bytes introduces a collision probability of</w:t>
      </w:r>
      <w:r>
        <w:t xml:space="preserve"> </w:t>
      </w:r>
      <m:oMath>
        <m:sSup>
          <m:e>
            <m:r>
              <m:t>2</m:t>
            </m:r>
          </m:e>
          <m:sup>
            <m:r>
              <m:rPr>
                <m:sty m:val="p"/>
              </m:rPr>
              <m:t>−</m:t>
            </m:r>
            <m:r>
              <m:t>8</m:t>
            </m:r>
            <m:r>
              <m:t>t</m:t>
            </m:r>
          </m:sup>
        </m:sSup>
      </m:oMath>
      <w:r>
        <w:t xml:space="preserve"> </w:t>
      </w:r>
      <w:r>
        <w:t xml:space="preserve">per leaf pair. For</w:t>
      </w:r>
      <w:r>
        <w:t xml:space="preserve"> </w:t>
      </w:r>
      <m:oMath>
        <m:r>
          <m:t>t</m:t>
        </m:r>
        <m:r>
          <m:rPr>
            <m:sty m:val="p"/>
          </m:rPr>
          <m:t>=</m:t>
        </m:r>
        <m:r>
          <m:t>8</m:t>
        </m:r>
      </m:oMath>
      <w:r>
        <w:t xml:space="preserve"> </w:t>
      </w:r>
      <w:r>
        <w:t xml:space="preserve">(64 bits) and</w:t>
      </w:r>
      <w:r>
        <w:t xml:space="preserve"> </w:t>
      </w:r>
      <m:oMath>
        <m:r>
          <m:t>N</m:t>
        </m:r>
        <m:r>
          <m:rPr>
            <m:sty m:val="p"/>
          </m:rPr>
          <m:t>=</m:t>
        </m:r>
        <m:r>
          <m:t>64</m:t>
        </m:r>
      </m:oMath>
      <w:r>
        <w:t xml:space="preserve"> </w:t>
      </w:r>
      <w:r>
        <w:t xml:space="preserve">messages, the birthday bound gives a collision probability of approximately</w:t>
      </w:r>
      <w:r>
        <w:t xml:space="preserve"> </w:t>
      </w:r>
      <m:oMath>
        <m:d>
          <m:dPr>
            <m:begChr m:val="("/>
            <m:sepChr m:val=""/>
            <m:endChr m:val=")"/>
            <m:grow/>
          </m:dPr>
          <m:e>
            <m:f>
              <m:fPr>
                <m:type m:val="noBar"/>
              </m:fPr>
              <m:num>
                <m:r>
                  <m:t>64</m:t>
                </m:r>
              </m:num>
              <m:den>
                <m:r>
                  <m:t>2</m:t>
                </m:r>
              </m:den>
            </m:f>
          </m:e>
        </m:d>
        <m:r>
          <m:rPr>
            <m:sty m:val="p"/>
          </m:rPr>
          <m:t>⋅</m:t>
        </m:r>
        <m:sSup>
          <m:e>
            <m:r>
              <m:t>2</m:t>
            </m:r>
          </m:e>
          <m:sup>
            <m:r>
              <m:rPr>
                <m:sty m:val="p"/>
              </m:rPr>
              <m:t>−</m:t>
            </m:r>
            <m:r>
              <m:t>64</m:t>
            </m:r>
          </m:sup>
        </m:sSup>
        <m:r>
          <m:rPr>
            <m:sty m:val="p"/>
          </m:rPr>
          <m:t>≈</m:t>
        </m:r>
        <m:sSup>
          <m:e>
            <m:r>
              <m:t>2</m:t>
            </m:r>
          </m:e>
          <m:sup>
            <m:r>
              <m:rPr>
                <m:sty m:val="p"/>
              </m:rPr>
              <m:t>−</m:t>
            </m:r>
            <m:r>
              <m:t>53</m:t>
            </m:r>
          </m:sup>
        </m:sSup>
      </m:oMath>
      <w:r>
        <w:t xml:space="preserve">, which is acceptable for ATC operations. For</w:t>
      </w:r>
      <w:r>
        <w:t xml:space="preserve"> </w:t>
      </w:r>
      <m:oMath>
        <m:r>
          <m:t>t</m:t>
        </m:r>
        <m:r>
          <m:rPr>
            <m:sty m:val="p"/>
          </m:rPr>
          <m:t>=</m:t>
        </m:r>
        <m:r>
          <m:t>16</m:t>
        </m:r>
      </m:oMath>
      <w:r>
        <w:t xml:space="preserve"> </w:t>
      </w:r>
      <w:r>
        <w:t xml:space="preserve">(128 bits), the collision probability drops to approximately</w:t>
      </w:r>
      <w:r>
        <w:t xml:space="preserve"> </w:t>
      </w:r>
      <m:oMath>
        <m:sSup>
          <m:e>
            <m:r>
              <m:t>2</m:t>
            </m:r>
          </m:e>
          <m:sup>
            <m:r>
              <m:rPr>
                <m:sty m:val="p"/>
              </m:rPr>
              <m:t>−</m:t>
            </m:r>
            <m:r>
              <m:t>117</m:t>
            </m:r>
          </m:sup>
        </m:sSup>
      </m:oMath>
      <w:r>
        <w:t xml:space="preserve">, providing a comfortable security margin.</w:t>
      </w:r>
    </w:p>
    <w:bookmarkEnd w:id="58"/>
    <w:bookmarkStart w:id="59" w:name="forward-secrecy"/>
    <w:p>
      <w:pPr>
        <w:pStyle w:val="Heading2"/>
      </w:pPr>
      <w:r>
        <w:t xml:space="preserve">Forward Secrecy</w:t>
      </w:r>
    </w:p>
    <w:p>
      <w:pPr>
        <w:pStyle w:val="FirstParagraph"/>
      </w:pPr>
      <w:r>
        <w:t xml:space="preserve">We analyze the forward secrecy of our double-ratchet channel protocol.</w:t>
      </w:r>
    </w:p>
    <w:p>
      <w:pPr>
        <w:pStyle w:val="BodyText"/>
      </w:pPr>
      <w:r>
        <w:t xml:space="preserve">Assuming ML-KEM-768 is IND-CCA2 secure and HKDF-SHA3-256 is a secure key derivation function, the protocol provides forward secrecy: compromise of all key material at time</w:t>
      </w:r>
      <w:r>
        <w:t xml:space="preserve"> </w:t>
      </w:r>
      <m:oMath>
        <m:sSup>
          <m:e>
            <m:r>
              <m:t>t</m:t>
            </m:r>
          </m:e>
          <m:sup>
            <m:r>
              <m:rPr>
                <m:sty m:val="p"/>
              </m:rPr>
              <m:t>*</m:t>
            </m:r>
          </m:sup>
        </m:sSup>
      </m:oMath>
      <w:r>
        <w:t xml:space="preserve"> </w:t>
      </w:r>
      <w:r>
        <w:t xml:space="preserve">(corresponding to epoch</w:t>
      </w:r>
      <w:r>
        <w:t xml:space="preserve"> </w:t>
      </w:r>
      <m:oMath>
        <m:sSup>
          <m:e>
            <m:r>
              <m:t>e</m:t>
            </m:r>
          </m:e>
          <m:sup>
            <m:r>
              <m:rPr>
                <m:sty m:val="p"/>
              </m:rPr>
              <m:t>*</m:t>
            </m:r>
          </m:sup>
        </m:sSup>
      </m:oMath>
      <w:r>
        <w:t xml:space="preserve">) does not reveal the plaintext of any message encrypted in epoch</w:t>
      </w:r>
      <w:r>
        <w:t xml:space="preserve"> </w:t>
      </w:r>
      <m:oMath>
        <m:r>
          <m:t>e</m:t>
        </m:r>
        <m:r>
          <m:rPr>
            <m:sty m:val="p"/>
          </m:rPr>
          <m:t>&lt;</m:t>
        </m:r>
        <m:sSup>
          <m:e>
            <m:r>
              <m:t>e</m:t>
            </m:r>
          </m:e>
          <m:sup>
            <m:r>
              <m:rPr>
                <m:sty m:val="p"/>
              </m:rPr>
              <m:t>*</m:t>
            </m:r>
          </m:sup>
        </m:sSup>
        <m:r>
          <m:rPr>
            <m:sty m:val="p"/>
          </m:rPr>
          <m:t>−</m:t>
        </m:r>
        <m:r>
          <m:t>1</m:t>
        </m:r>
      </m:oMath>
      <w:r>
        <w:t xml:space="preserve">.</w:t>
      </w:r>
    </w:p>
    <w:p>
      <w:pPr>
        <w:pStyle w:val="BodyText"/>
      </w:pPr>
      <w:r>
        <w:rPr>
          <w:i/>
          <w:iCs/>
        </w:rPr>
        <w:t xml:space="preserve">Proof sketch.</w:t>
      </w:r>
      <w:r>
        <w:t xml:space="preserve"> </w:t>
      </w:r>
      <w:r>
        <w:t xml:space="preserve">At the time of compromise (epoch</w:t>
      </w:r>
      <w:r>
        <w:t xml:space="preserve"> </w:t>
      </w:r>
      <m:oMath>
        <m:sSup>
          <m:e>
            <m:r>
              <m:t>e</m:t>
            </m:r>
          </m:e>
          <m:sup>
            <m:r>
              <m:rPr>
                <m:sty m:val="p"/>
              </m:rPr>
              <m:t>*</m:t>
            </m:r>
          </m:sup>
        </m:sSup>
      </m:oMath>
      <w:r>
        <w:t xml:space="preserve">), the adversary obtains</w:t>
      </w:r>
      <w:r>
        <w:t xml:space="preserve"> </w:t>
      </w:r>
      <m:oMath>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sSup>
              <m:e>
                <m:r>
                  <m:t>e</m:t>
                </m:r>
              </m:e>
              <m:sup>
                <m:r>
                  <m:rPr>
                    <m:sty m:val="p"/>
                  </m:rPr>
                  <m:t>*</m:t>
                </m:r>
              </m:sup>
            </m:sSup>
            <m:r>
              <m:rPr>
                <m:sty m:val="p"/>
              </m:rPr>
              <m:t>)</m:t>
            </m:r>
          </m:sup>
        </m:sSubSup>
      </m:oMath>
      <w:r>
        <w:t xml:space="preserve">,</w:t>
      </w:r>
      <w:r>
        <w:t xml:space="preserve"> </w:t>
      </w:r>
      <m:oMath>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sSup>
              <m:e>
                <m:r>
                  <m:t>e</m:t>
                </m:r>
              </m:e>
              <m:sup>
                <m:r>
                  <m:rPr>
                    <m:sty m:val="p"/>
                  </m:rPr>
                  <m:t>*</m:t>
                </m:r>
              </m:sup>
            </m:sSup>
            <m:r>
              <m:rPr>
                <m:sty m:val="p"/>
              </m:rPr>
              <m:t>,</m:t>
            </m:r>
            <m:r>
              <m:t>j</m:t>
            </m:r>
            <m:r>
              <m:rPr>
                <m:sty m:val="p"/>
              </m:rPr>
              <m:t>)</m:t>
            </m:r>
          </m:sup>
        </m:sSubSup>
      </m:oMath>
      <w:r>
        <w:t xml:space="preserve">, and</w:t>
      </w:r>
      <w:r>
        <w:t xml:space="preserve"> </w:t>
      </w:r>
      <m:oMath>
        <m:sSubSup>
          <m:e>
            <m:r>
              <m:t>K</m:t>
            </m:r>
          </m:e>
          <m:sub>
            <m:r>
              <m:rPr>
                <m:scr m:val="sans-serif"/>
                <m:sty m:val="p"/>
              </m:rPr>
              <m:t>r</m:t>
            </m:r>
            <m:r>
              <m:rPr>
                <m:scr m:val="sans-serif"/>
                <m:sty m:val="p"/>
              </m:rPr>
              <m:t>e</m:t>
            </m:r>
            <m:r>
              <m:rPr>
                <m:scr m:val="sans-serif"/>
                <m:sty m:val="p"/>
              </m:rPr>
              <m:t>c</m:t>
            </m:r>
            <m:r>
              <m:rPr>
                <m:scr m:val="sans-serif"/>
                <m:sty m:val="p"/>
              </m:rPr>
              <m:t>v</m:t>
            </m:r>
          </m:sub>
          <m:sup>
            <m:r>
              <m:rPr>
                <m:sty m:val="p"/>
              </m:rPr>
              <m:t>(</m:t>
            </m:r>
            <m:sSup>
              <m:e>
                <m:r>
                  <m:t>e</m:t>
                </m:r>
              </m:e>
              <m:sup>
                <m:r>
                  <m:rPr>
                    <m:sty m:val="p"/>
                  </m:rPr>
                  <m:t>*</m:t>
                </m:r>
              </m:sup>
            </m:sSup>
            <m:r>
              <m:rPr>
                <m:sty m:val="p"/>
              </m:rPr>
              <m:t>,</m:t>
            </m:r>
            <m:r>
              <m:t>j</m:t>
            </m:r>
            <m:r>
              <m:rPr>
                <m:sty m:val="p"/>
              </m:rPr>
              <m:t>)</m:t>
            </m:r>
          </m:sup>
        </m:sSubSup>
      </m:oMath>
      <w:r>
        <w:t xml:space="preserve"> </w:t>
      </w:r>
      <w:r>
        <w:t xml:space="preserve">for the current chain positions</w:t>
      </w:r>
      <w:r>
        <w:t xml:space="preserve"> </w:t>
      </w:r>
      <m:oMath>
        <m:r>
          <m:t>j</m:t>
        </m:r>
      </m:oMath>
      <w:r>
        <w:t xml:space="preserve">. The adversary also obtains epoch</w:t>
      </w:r>
      <w:r>
        <w:t xml:space="preserve"> </w:t>
      </w:r>
      <m:oMath>
        <m:sSup>
          <m:e>
            <m:r>
              <m:t>e</m:t>
            </m:r>
          </m:e>
          <m:sup>
            <m:r>
              <m:rPr>
                <m:sty m:val="p"/>
              </m:rPr>
              <m:t>*</m:t>
            </m:r>
          </m:sup>
        </m:sSup>
        <m:r>
          <m:rPr>
            <m:sty m:val="p"/>
          </m:rPr>
          <m:t>−</m:t>
        </m:r>
        <m:r>
          <m:t>1</m:t>
        </m:r>
      </m:oMath>
      <w:r>
        <w:t xml:space="preserve"> </w:t>
      </w:r>
      <w:r>
        <w:t xml:space="preserve">keys (retained for reordering).</w:t>
      </w:r>
    </w:p>
    <w:p>
      <w:pPr>
        <w:pStyle w:val="BodyText"/>
      </w:pPr>
      <w:r>
        <w:t xml:space="preserve">For any epoch</w:t>
      </w:r>
      <w:r>
        <w:t xml:space="preserve"> </w:t>
      </w:r>
      <m:oMath>
        <m:r>
          <m:t>e</m:t>
        </m:r>
        <m:r>
          <m:rPr>
            <m:sty m:val="p"/>
          </m:rPr>
          <m:t>&lt;</m:t>
        </m:r>
        <m:sSup>
          <m:e>
            <m:r>
              <m:t>e</m:t>
            </m:r>
          </m:e>
          <m:sup>
            <m:r>
              <m:rPr>
                <m:sty m:val="p"/>
              </m:rPr>
              <m:t>*</m:t>
            </m:r>
          </m:sup>
        </m:sSup>
        <m:r>
          <m:rPr>
            <m:sty m:val="p"/>
          </m:rPr>
          <m:t>−</m:t>
        </m:r>
        <m:r>
          <m:t>1</m:t>
        </m:r>
      </m:oMath>
      <w:r>
        <w:t xml:space="preserve">, all keys have been zeroized. To recover</w:t>
      </w:r>
      <w:r>
        <w:t xml:space="preserve"> </w:t>
      </w:r>
      <m:oMath>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sup>
        </m:sSubSup>
      </m:oMath>
      <w:r>
        <w:t xml:space="preserve"> </w:t>
      </w:r>
      <w:r>
        <w:t xml:space="preserve">from</w:t>
      </w:r>
      <w:r>
        <w:t xml:space="preserve"> </w:t>
      </w:r>
      <m:oMath>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sSup>
              <m:e>
                <m:r>
                  <m:t>e</m:t>
                </m:r>
              </m:e>
              <m:sup>
                <m:r>
                  <m:rPr>
                    <m:sty m:val="p"/>
                  </m:rPr>
                  <m:t>*</m:t>
                </m:r>
              </m:sup>
            </m:sSup>
            <m:r>
              <m:rPr>
                <m:sty m:val="p"/>
              </m:rPr>
              <m:t>)</m:t>
            </m:r>
          </m:sup>
        </m:sSubSup>
      </m:oMath>
      <w:r>
        <w:t xml:space="preserve">, the adversary would need to invert the one-way function in Eq. (</w:t>
      </w:r>
      <w:hyperlink w:anchor="eq:root_advance">
        <w:r>
          <w:rPr>
            <w:rStyle w:val="Hyperlink"/>
          </w:rPr>
          <w:t xml:space="preserve">[eq:root_advance]</w:t>
        </w:r>
      </w:hyperlink>
      <w:r>
        <w:t xml:space="preserve">):</w:t>
      </w:r>
    </w:p>
    <w:p>
      <w:pPr>
        <w:pStyle w:val="BodyText"/>
      </w:pPr>
      <m:oMathPara>
        <m:oMathParaPr>
          <m:jc m:val="center"/>
        </m:oMathParaPr>
        <m:oMath>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sup>
          </m:sSubSup>
          <m:limUpp>
            <m:e>
              <m:r>
                <m:rPr>
                  <m:sty m:val="p"/>
                </m:rPr>
                <m:t>←</m:t>
              </m:r>
            </m:e>
            <m:lim>
              <m:r>
                <m:rPr>
                  <m:sty m:val="p"/>
                </m:rPr>
                <m:t>?</m:t>
              </m:r>
            </m:lim>
          </m:limUpp>
          <m:sSup>
            <m:e>
              <m:r>
                <m:rPr>
                  <m:scr m:val="sans-serif"/>
                  <m:sty m:val="p"/>
                </m:rPr>
                <m:t>H</m:t>
              </m:r>
              <m:r>
                <m:rPr>
                  <m:scr m:val="sans-serif"/>
                  <m:sty m:val="p"/>
                </m:rPr>
                <m:t>K</m:t>
              </m:r>
              <m:r>
                <m:rPr>
                  <m:scr m:val="sans-serif"/>
                  <m:sty m:val="p"/>
                </m:rPr>
                <m:t>D</m:t>
              </m:r>
              <m:r>
                <m:rPr>
                  <m:scr m:val="sans-serif"/>
                  <m:sty m:val="p"/>
                </m:rPr>
                <m:t>F</m:t>
              </m:r>
            </m:e>
            <m:sup>
              <m:r>
                <m:rPr>
                  <m:sty m:val="p"/>
                </m:rPr>
                <m:t>−</m:t>
              </m:r>
              <m:r>
                <m:t>1</m:t>
              </m:r>
            </m:sup>
          </m:sSup>
          <m:r>
            <m:rPr>
              <m:sty m:val="p"/>
            </m:rPr>
            <m:t>(</m:t>
          </m:r>
          <m:sSubSup>
            <m:e>
              <m:r>
                <m:t>K</m:t>
              </m:r>
            </m:e>
            <m:sub>
              <m:r>
                <m:rPr>
                  <m:scr m:val="sans-serif"/>
                  <m:sty m:val="p"/>
                </m:rPr>
                <m:t>r</m:t>
              </m:r>
              <m:r>
                <m:rPr>
                  <m:scr m:val="sans-serif"/>
                  <m:sty m:val="p"/>
                </m:rPr>
                <m:t>o</m:t>
              </m:r>
              <m:r>
                <m:rPr>
                  <m:scr m:val="sans-serif"/>
                  <m:sty m:val="p"/>
                </m:rPr>
                <m:t>o</m:t>
              </m:r>
              <m:r>
                <m:rPr>
                  <m:scr m:val="sans-serif"/>
                  <m:sty m:val="p"/>
                </m:rPr>
                <m:t>t</m:t>
              </m:r>
            </m:sub>
            <m:sup>
              <m:r>
                <m:rPr>
                  <m:sty m:val="p"/>
                </m:rPr>
                <m:t>(</m:t>
              </m:r>
              <m:r>
                <m:t>e</m:t>
              </m:r>
              <m:r>
                <m:rPr>
                  <m:sty m:val="p"/>
                </m:rPr>
                <m:t>+</m:t>
              </m:r>
              <m:r>
                <m:t>1</m:t>
              </m:r>
              <m:r>
                <m:rPr>
                  <m:sty m:val="p"/>
                </m:rPr>
                <m:t>)</m:t>
              </m:r>
            </m:sup>
          </m:sSubSup>
          <m:r>
            <m:rPr>
              <m:sty m:val="p"/>
            </m:rPr>
            <m:t>,</m:t>
          </m:r>
          <m:r>
            <m:t>e</m:t>
          </m:r>
          <m:r>
            <m:rPr>
              <m:sty m:val="p"/>
            </m:rPr>
            <m:t>,</m:t>
          </m:r>
          <m:r>
            <m:rPr>
              <m:nor/>
              <m:sty m:val="p"/>
            </m:rPr>
            <m:t>“root-advance”</m:t>
          </m:r>
          <m:r>
            <m:rPr>
              <m:sty m:val="p"/>
            </m:rPr>
            <m:t>)</m:t>
          </m:r>
        </m:oMath>
      </m:oMathPara>
    </w:p>
    <w:p>
      <w:pPr>
        <w:pStyle w:val="FirstParagraph"/>
      </w:pPr>
      <w:r>
        <w:t xml:space="preserve">Under the preimage resistance of HKDF-SHA3-256, this inversion is computationally infeasible. Similarly, within an epoch, the chain ratchet in Eq. (</w:t>
      </w:r>
      <w:hyperlink w:anchor="eq:chain_advance">
        <w:r>
          <w:rPr>
            <w:rStyle w:val="Hyperlink"/>
          </w:rPr>
          <w:t xml:space="preserve">[eq:chain_advance]</w:t>
        </w:r>
      </w:hyperlink>
      <w:r>
        <w:t xml:space="preserve">) is one-way, preventing recovery of</w:t>
      </w:r>
      <w:r>
        <w:t xml:space="preserve"> </w:t>
      </w:r>
      <m:oMath>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r>
              <m:t>j</m:t>
            </m:r>
            <m:r>
              <m:rPr>
                <m:sty m:val="p"/>
              </m:rPr>
              <m:t>)</m:t>
            </m:r>
          </m:sup>
        </m:sSubSup>
      </m:oMath>
      <w:r>
        <w:t xml:space="preserve"> </w:t>
      </w:r>
      <w:r>
        <w:t xml:space="preserve">from</w:t>
      </w:r>
      <w:r>
        <w:t xml:space="preserve"> </w:t>
      </w:r>
      <m:oMath>
        <m:sSubSup>
          <m:e>
            <m:r>
              <m:t>K</m:t>
            </m:r>
          </m:e>
          <m:sub>
            <m:r>
              <m:rPr>
                <m:scr m:val="sans-serif"/>
                <m:sty m:val="p"/>
              </m:rPr>
              <m:t>s</m:t>
            </m:r>
            <m:r>
              <m:rPr>
                <m:scr m:val="sans-serif"/>
                <m:sty m:val="p"/>
              </m:rPr>
              <m:t>e</m:t>
            </m:r>
            <m:r>
              <m:rPr>
                <m:scr m:val="sans-serif"/>
                <m:sty m:val="p"/>
              </m:rPr>
              <m:t>n</m:t>
            </m:r>
            <m:r>
              <m:rPr>
                <m:scr m:val="sans-serif"/>
                <m:sty m:val="p"/>
              </m:rPr>
              <m:t>d</m:t>
            </m:r>
          </m:sub>
          <m:sup>
            <m:r>
              <m:rPr>
                <m:sty m:val="p"/>
              </m:rPr>
              <m:t>(</m:t>
            </m:r>
            <m:r>
              <m:t>e</m:t>
            </m:r>
            <m:r>
              <m:rPr>
                <m:sty m:val="p"/>
              </m:rPr>
              <m:t>,</m:t>
            </m:r>
            <m:r>
              <m:t>j</m:t>
            </m:r>
            <m:r>
              <m:rPr>
                <m:sty m:val="p"/>
              </m:rPr>
              <m:t>+</m:t>
            </m:r>
            <m:r>
              <m:t>1</m:t>
            </m:r>
            <m:r>
              <m:rPr>
                <m:sty m:val="p"/>
              </m:rPr>
              <m:t>)</m:t>
            </m:r>
          </m:sup>
        </m:sSubSup>
      </m:oMath>
      <w:r>
        <w:t xml:space="preserve">.</w:t>
      </w:r>
    </w:p>
    <w:p>
      <w:pPr>
        <w:pStyle w:val="BodyText"/>
      </w:pPr>
      <w:r>
        <w:t xml:space="preserve">The one-epoch retention window means the adversary can decrypt messages from epoch</w:t>
      </w:r>
      <w:r>
        <w:t xml:space="preserve"> </w:t>
      </w:r>
      <m:oMath>
        <m:sSup>
          <m:e>
            <m:r>
              <m:t>e</m:t>
            </m:r>
          </m:e>
          <m:sup>
            <m:r>
              <m:rPr>
                <m:sty m:val="p"/>
              </m:rPr>
              <m:t>*</m:t>
            </m:r>
          </m:sup>
        </m:sSup>
        <m:r>
          <m:rPr>
            <m:sty m:val="p"/>
          </m:rPr>
          <m:t>−</m:t>
        </m:r>
        <m:r>
          <m:t>1</m:t>
        </m:r>
      </m:oMath>
      <w:r>
        <w:t xml:space="preserve"> </w:t>
      </w:r>
      <w:r>
        <w:t xml:space="preserve">if those keys have not yet been erased at the time of compromise. This is a deliberate trade-off: eliminating the retention window would cause decryption failures for reordered messages on unreliable channels. ◻</w:t>
      </w:r>
    </w:p>
    <w:bookmarkEnd w:id="59"/>
    <w:bookmarkStart w:id="60" w:name="key-compromise-impersonation-resistance"/>
    <w:p>
      <w:pPr>
        <w:pStyle w:val="Heading2"/>
      </w:pPr>
      <w:r>
        <w:t xml:space="preserve">Key Compromise Impersonation Resistance</w:t>
      </w:r>
    </w:p>
    <w:p>
      <w:pPr>
        <w:pStyle w:val="FirstParagraph"/>
      </w:pPr>
      <w:r>
        <w:t xml:space="preserve">The protocol provides KCI resistance through the use of ephemeral key exchanges. Even if the adversary compromises party</w:t>
      </w:r>
      <w:r>
        <w:t xml:space="preserve"> </w:t>
      </w:r>
      <m:oMath>
        <m:r>
          <m:t>A</m:t>
        </m:r>
      </m:oMath>
      <w:r>
        <w:t xml:space="preserve">’s long-term key, they cannot impersonate party</w:t>
      </w:r>
      <w:r>
        <w:t xml:space="preserve"> </w:t>
      </w:r>
      <m:oMath>
        <m:r>
          <m:t>B</m:t>
        </m:r>
      </m:oMath>
      <w:r>
        <w:t xml:space="preserve"> </w:t>
      </w:r>
      <w:r>
        <w:t xml:space="preserve">to</w:t>
      </w:r>
      <w:r>
        <w:t xml:space="preserve"> </w:t>
      </w:r>
      <m:oMath>
        <m:r>
          <m:t>A</m:t>
        </m:r>
      </m:oMath>
      <w:r>
        <w:t xml:space="preserve">, because:</w:t>
      </w:r>
    </w:p>
    <w:p>
      <w:pPr>
        <w:numPr>
          <w:ilvl w:val="0"/>
          <w:numId w:val="1010"/>
        </w:numPr>
      </w:pPr>
      <w:r>
        <w:t xml:space="preserve">Each epoch requires a fresh ML-KEM encapsulation to the peer’s ephemeral public key.</w:t>
      </w:r>
    </w:p>
    <w:p>
      <w:pPr>
        <w:numPr>
          <w:ilvl w:val="0"/>
          <w:numId w:val="1010"/>
        </w:numPr>
      </w:pPr>
      <w:r>
        <w:t xml:space="preserve">The adversary does not know</w:t>
      </w:r>
      <w:r>
        <w:t xml:space="preserve"> </w:t>
      </w:r>
      <m:oMath>
        <m:r>
          <m:t>B</m:t>
        </m:r>
      </m:oMath>
      <w:r>
        <w:t xml:space="preserve">’s ephemeral private key</w:t>
      </w:r>
      <w:r>
        <w:t xml:space="preserve"> </w:t>
      </w:r>
      <m:oMath>
        <m:r>
          <m:t>d</m:t>
        </m:r>
        <m:sSub>
          <m:e>
            <m:r>
              <m:t>k</m:t>
            </m:r>
          </m:e>
          <m:sub>
            <m:r>
              <m:t>B</m:t>
            </m:r>
          </m:sub>
        </m:sSub>
      </m:oMath>
      <w:r>
        <w:t xml:space="preserve">.</w:t>
      </w:r>
    </w:p>
    <w:p>
      <w:pPr>
        <w:numPr>
          <w:ilvl w:val="0"/>
          <w:numId w:val="1010"/>
        </w:numPr>
      </w:pPr>
      <w:r>
        <w:t xml:space="preserve">Without</w:t>
      </w:r>
      <w:r>
        <w:t xml:space="preserve"> </w:t>
      </w:r>
      <m:oMath>
        <m:r>
          <m:t>d</m:t>
        </m:r>
        <m:sSub>
          <m:e>
            <m:r>
              <m:t>k</m:t>
            </m:r>
          </m:e>
          <m:sub>
            <m:r>
              <m:t>B</m:t>
            </m:r>
          </m:sub>
        </m:sSub>
      </m:oMath>
      <w:r>
        <w:t xml:space="preserve">, the adversary cannot compute the shared secret from the encapsulation</w:t>
      </w:r>
      <w:r>
        <w:t xml:space="preserve"> </w:t>
      </w:r>
      <m:oMath>
        <m:r>
          <m:rPr>
            <m:scr m:val="sans-serif"/>
            <m:sty m:val="p"/>
          </m:rPr>
          <m:t>E</m:t>
        </m:r>
        <m:r>
          <m:rPr>
            <m:scr m:val="sans-serif"/>
            <m:sty m:val="p"/>
          </m:rPr>
          <m:t>n</m:t>
        </m:r>
        <m:r>
          <m:rPr>
            <m:scr m:val="sans-serif"/>
            <m:sty m:val="p"/>
          </m:rPr>
          <m:t>c</m:t>
        </m:r>
        <m:r>
          <m:rPr>
            <m:scr m:val="sans-serif"/>
            <m:sty m:val="p"/>
          </m:rPr>
          <m:t>a</m:t>
        </m:r>
        <m:r>
          <m:rPr>
            <m:scr m:val="sans-serif"/>
            <m:sty m:val="p"/>
          </m:rPr>
          <m:t>p</m:t>
        </m:r>
        <m:r>
          <m:rPr>
            <m:scr m:val="sans-serif"/>
            <m:sty m:val="p"/>
          </m:rPr>
          <m:t>s</m:t>
        </m:r>
        <m:r>
          <m:rPr>
            <m:sty m:val="p"/>
          </m:rPr>
          <m:t>(</m:t>
        </m:r>
        <m:r>
          <m:t>e</m:t>
        </m:r>
        <m:sSub>
          <m:e>
            <m:r>
              <m:t>k</m:t>
            </m:r>
          </m:e>
          <m:sub>
            <m:r>
              <m:t>B</m:t>
            </m:r>
          </m:sub>
        </m:sSub>
        <m:r>
          <m:rPr>
            <m:sty m:val="p"/>
          </m:rPr>
          <m:t>)</m:t>
        </m:r>
      </m:oMath>
      <w:r>
        <w:t xml:space="preserve">.</w:t>
      </w:r>
    </w:p>
    <w:p>
      <w:pPr>
        <w:pStyle w:val="FirstParagraph"/>
      </w:pPr>
      <w:r>
        <w:t xml:space="preserve">This holds under the IND-CCA2 security of ML-KEM-768, which is based on the Module-LWE problem at dimension</w:t>
      </w:r>
      <w:r>
        <w:t xml:space="preserve"> </w:t>
      </w:r>
      <m:oMath>
        <m:r>
          <m:t>k</m:t>
        </m:r>
        <m:r>
          <m:rPr>
            <m:sty m:val="p"/>
          </m:rPr>
          <m:t>=</m:t>
        </m:r>
        <m:r>
          <m:t>3</m:t>
        </m:r>
      </m:oMath>
      <w:r>
        <w:t xml:space="preserve">, believed to be hard for both classical and quantum adversaries </w:t>
      </w:r>
      <w:r>
        <w:t xml:space="preserve">(National Institute of Standards and Technology 2024b)</w:t>
      </w:r>
      <w:r>
        <w:t xml:space="preserve">.</w:t>
      </w:r>
    </w:p>
    <w:bookmarkEnd w:id="60"/>
    <w:bookmarkEnd w:id="61"/>
    <w:bookmarkStart w:id="62" w:name="sec:related"/>
    <w:p>
      <w:pPr>
        <w:pStyle w:val="Heading1"/>
      </w:pPr>
      <w:r>
        <w:t xml:space="preserve">Related Work</w:t>
      </w:r>
    </w:p>
    <w:p>
      <w:pPr>
        <w:pStyle w:val="FirstParagraph"/>
      </w:pPr>
      <w:r>
        <w:rPr>
          <w:b/>
          <w:bCs/>
        </w:rPr>
        <w:t xml:space="preserve">Aggregate Signatures.</w:t>
      </w:r>
      <w:r>
        <w:t xml:space="preserve"> </w:t>
      </w:r>
      <w:r>
        <w:t xml:space="preserve">Boneh et al. </w:t>
      </w:r>
      <w:r>
        <w:t xml:space="preserve">(Boneh et al. 2003)</w:t>
      </w:r>
      <w:r>
        <w:t xml:space="preserve"> </w:t>
      </w:r>
      <w:r>
        <w:t xml:space="preserve">introduced aggregate signatures from bilinear maps, enabling</w:t>
      </w:r>
      <w:r>
        <w:t xml:space="preserve"> </w:t>
      </w:r>
      <m:oMath>
        <m:r>
          <m:t>N</m:t>
        </m:r>
      </m:oMath>
      <w:r>
        <w:t xml:space="preserve"> </w:t>
      </w:r>
      <w:r>
        <w:t xml:space="preserve">signatures to be combined into a single short aggregate. However, their construction relies on pairing-based cryptography, which is not quantum-resistant. Eldridge et al. </w:t>
      </w:r>
      <w:r>
        <w:t xml:space="preserve">(Eldridge et al. 2023)</w:t>
      </w:r>
      <w:r>
        <w:t xml:space="preserve"> </w:t>
      </w:r>
      <w:r>
        <w:t xml:space="preserve">proposed hash-based aggregate signatures with post-quantum security, though their scheme targets general-purpose settings rather than bandwidth-constrained environments. Lu et al. </w:t>
      </w:r>
      <w:r>
        <w:t xml:space="preserve">(Lu et al. 2006)</w:t>
      </w:r>
      <w:r>
        <w:t xml:space="preserve"> </w:t>
      </w:r>
      <w:r>
        <w:t xml:space="preserve">studied sequential aggregate signatures without random oracles, and Chalkias et al. </w:t>
      </w:r>
      <w:r>
        <w:t xml:space="preserve">(Chalkias et al. 2021)</w:t>
      </w:r>
      <w:r>
        <w:t xml:space="preserve"> </w:t>
      </w:r>
      <w:r>
        <w:t xml:space="preserve">explored non-interactive half-aggregation for Schnorr-like signatures. Our Merkle tree construction differs by providing tunable compression via channel-specific truncation parameters and priority-aware aggregation for safety-critical message handling.</w:t>
      </w:r>
    </w:p>
    <w:p>
      <w:pPr>
        <w:pStyle w:val="BodyText"/>
      </w:pPr>
      <w:r>
        <w:rPr>
          <w:b/>
          <w:bCs/>
        </w:rPr>
        <w:t xml:space="preserve">Post-Quantum Aviation Security.</w:t>
      </w:r>
      <w:r>
        <w:t xml:space="preserve"> </w:t>
      </w:r>
      <w:r>
        <w:t xml:space="preserve">Mäurer et al. </w:t>
      </w:r>
      <w:r>
        <w:t xml:space="preserve">(Mäurer et al. 2021, 2022)</w:t>
      </w:r>
      <w:r>
        <w:t xml:space="preserve"> </w:t>
      </w:r>
      <w:r>
        <w:t xml:space="preserve">evaluated lattice-based key exchange for LDACS, demonstrating feasibility for next-generation datalinks but not addressing legacy constrained channels. Polák and Maeurer </w:t>
      </w:r>
      <w:r>
        <w:t xml:space="preserve">(Polák and Maeurer 2022)</w:t>
      </w:r>
      <w:r>
        <w:t xml:space="preserve"> </w:t>
      </w:r>
      <w:r>
        <w:t xml:space="preserve">surveyed cybersecurity challenges for digital aeronautical communication systems, identifying PQC migration as a critical open problem. Strohmeier et al. </w:t>
      </w:r>
      <w:r>
        <w:t xml:space="preserve">(Strohmeier et al. 2015)</w:t>
      </w:r>
      <w:r>
        <w:t xml:space="preserve"> </w:t>
      </w:r>
      <w:r>
        <w:t xml:space="preserve">and Schäfer et al. </w:t>
      </w:r>
      <w:r>
        <w:t xml:space="preserve">(Schäfer et al. 2014)</w:t>
      </w:r>
      <w:r>
        <w:t xml:space="preserve"> </w:t>
      </w:r>
      <w:r>
        <w:t xml:space="preserve">documented the security vulnerabilities of ADS-B and next-generation ATC protocols. Our work addresses the specific challenge of deploying PQC on legacy constrained channels that these works identify as problematic.</w:t>
      </w:r>
    </w:p>
    <w:p>
      <w:pPr>
        <w:pStyle w:val="BodyText"/>
      </w:pPr>
      <w:r>
        <w:rPr>
          <w:b/>
          <w:bCs/>
        </w:rPr>
        <w:t xml:space="preserve">Post-Quantum Forward Secrecy.</w:t>
      </w:r>
      <w:r>
        <w:t xml:space="preserve"> </w:t>
      </w:r>
      <w:r>
        <w:t xml:space="preserve">Brendel et al. </w:t>
      </w:r>
      <w:r>
        <w:t xml:space="preserve">(Brendel et al. 2020)</w:t>
      </w:r>
      <w:r>
        <w:t xml:space="preserve"> </w:t>
      </w:r>
      <w:r>
        <w:t xml:space="preserve">analyzed post-quantum security for Signal’s X3DH handshake, and Hashimoto et al. </w:t>
      </w:r>
      <w:r>
        <w:t xml:space="preserve">(Hashimoto et al. 2021)</w:t>
      </w:r>
      <w:r>
        <w:t xml:space="preserve"> </w:t>
      </w:r>
      <w:r>
        <w:t xml:space="preserve">proposed an efficient post-quantum construction for Signal’s handshake with state leakage security. Alwen et al. </w:t>
      </w:r>
      <w:r>
        <w:t xml:space="preserve">(Alwen et al. 2019)</w:t>
      </w:r>
      <w:r>
        <w:t xml:space="preserve"> </w:t>
      </w:r>
      <w:r>
        <w:t xml:space="preserve">provided formal security analysis of the double ratchet protocol. Our work adapts these concepts to the aviation domain with channel-specific epoch configurations and priority-aware key management.</w:t>
      </w:r>
    </w:p>
    <w:p>
      <w:pPr>
        <w:pStyle w:val="BodyText"/>
      </w:pPr>
      <w:r>
        <w:rPr>
          <w:b/>
          <w:bCs/>
        </w:rPr>
        <w:t xml:space="preserve">PQC in Constrained Environments.</w:t>
      </w:r>
      <w:r>
        <w:t xml:space="preserve"> </w:t>
      </w:r>
      <w:r>
        <w:t xml:space="preserve">Kampanakis and Stebila </w:t>
      </w:r>
      <w:r>
        <w:t xml:space="preserve">(Kampanakis and Stebila 2023)</w:t>
      </w:r>
      <w:r>
        <w:t xml:space="preserve"> </w:t>
      </w:r>
      <w:r>
        <w:t xml:space="preserve">analyzed the challenges of PQC signature sizes in transport layer protocols. Sikeridis et al. </w:t>
      </w:r>
      <w:r>
        <w:t xml:space="preserve">(Sikeridis et al. 2020)</w:t>
      </w:r>
      <w:r>
        <w:t xml:space="preserve"> </w:t>
      </w:r>
      <w:r>
        <w:t xml:space="preserve">studied PQC authentication performance in TLS 1.3. Schwabe et al. </w:t>
      </w:r>
      <w:r>
        <w:t xml:space="preserve">(Schwabe et al. 2020)</w:t>
      </w:r>
      <w:r>
        <w:t xml:space="preserve"> </w:t>
      </w:r>
      <w:r>
        <w:t xml:space="preserve">proposed TLS without handshake signatures to reduce PQC overhead. Our aggregate signature scheme complements these approaches by addressing the aggregation dimension specific to multi-party ATC scenarios.</w:t>
      </w:r>
    </w:p>
    <w:bookmarkEnd w:id="62"/>
    <w:bookmarkStart w:id="93" w:name="sec:conclusion"/>
    <w:p>
      <w:pPr>
        <w:pStyle w:val="Heading1"/>
      </w:pPr>
      <w:r>
        <w:t xml:space="preserve">Conclusion</w:t>
      </w:r>
    </w:p>
    <w:p>
      <w:pPr>
        <w:pStyle w:val="FirstParagraph"/>
      </w:pPr>
      <w:r>
        <w:t xml:space="preserve">This paper has presented two constructions that enable practical post-quantum cryptography deployment on bandwidth-constrained aviation datalinks. The Merkle tree aggregate signature scheme compresses</w:t>
      </w:r>
      <w:r>
        <w:t xml:space="preserve"> </w:t>
      </w:r>
      <m:oMath>
        <m:r>
          <m:t>N</m:t>
        </m:r>
      </m:oMath>
      <w:r>
        <w:t xml:space="preserve"> </w:t>
      </w:r>
      <w:r>
        <w:t xml:space="preserve">individual PQC signatures into compact aggregates, achieving 80–90% bandwidth reduction on the most constrained channels while preserving per-message accountability and priority-aware handling for safety-critical communications. The forward-secure double-ratchet channel protocol provides quantum-resistant forward secrecy with channel-specific epoch management, ensuring that compromise of current key material cannot decrypt past ATC sessions.</w:t>
      </w:r>
    </w:p>
    <w:p>
      <w:pPr>
        <w:pStyle w:val="BodyText"/>
      </w:pPr>
      <w:r>
        <w:t xml:space="preserve">Our evaluation demonstrates that both constructions are practical for real-world ATC deployment. Aggregate verification completes in under 6 ms for batches of 64 messages, and the forward-secure channel adds less than 48 bytes of per-message overhead in epoch-based ratcheting modes. The combined cryptographic overhead remains below 5% of available channel capacity on all evaluated profiles.</w:t>
      </w:r>
    </w:p>
    <w:p>
      <w:pPr>
        <w:pStyle w:val="BodyText"/>
      </w:pPr>
      <w:r>
        <w:t xml:space="preserve">Future work includes integration with the ICAO ATN/IPS protocol stack for standards-track deployment, evaluation on operational ATC testbeds with realistic traffic patterns, and extension to satellite-based ATC communications where propagation delays introduce additional challenges for epoch synchronization. We also plan to investigate the interaction between aggregate signatures and the forward-secure channel, exploring whether aggregate proofs can be used to amortize the authentication cost of epoch key exchanges.</w:t>
      </w:r>
    </w:p>
    <w:bookmarkStart w:id="92" w:name="refs"/>
    <w:bookmarkStart w:id="63" w:name="ref-alwen2020double"/>
    <w:p>
      <w:pPr>
        <w:pStyle w:val="Bibliography"/>
      </w:pPr>
      <w:r>
        <w:t xml:space="preserve">Alwen, Joël, Sandro Coretti, and Yevgeniy Dodis. 2019.</w:t>
      </w:r>
      <w:r>
        <w:t xml:space="preserve"> </w:t>
      </w:r>
      <w:r>
        <w:t xml:space="preserve">“The Double Ratchet: Security Notions, Proofs, and Modularization for the Signal Protocol.”</w:t>
      </w:r>
      <w:r>
        <w:t xml:space="preserve"> </w:t>
      </w:r>
      <w:r>
        <w:rPr>
          <w:i/>
          <w:iCs/>
        </w:rPr>
        <w:t xml:space="preserve">Advances in Cryptology – EUROCRYPT 2019</w:t>
      </w:r>
      <w:r>
        <w:t xml:space="preserve">, 129–58.</w:t>
      </w:r>
    </w:p>
    <w:bookmarkEnd w:id="63"/>
    <w:bookmarkStart w:id="64" w:name="ref-arinc823"/>
    <w:p>
      <w:pPr>
        <w:pStyle w:val="Bibliography"/>
      </w:pPr>
      <w:r>
        <w:t xml:space="preserve">ARINC. 2007.</w:t>
      </w:r>
      <w:r>
        <w:t xml:space="preserve"> </w:t>
      </w:r>
      <w:r>
        <w:rPr>
          <w:i/>
          <w:iCs/>
        </w:rPr>
        <w:t xml:space="preserve">ARINC Specification 823: Datalink Security</w:t>
      </w:r>
      <w:r>
        <w:t xml:space="preserve">. Aeronautical Radio, Inc.</w:t>
      </w:r>
    </w:p>
    <w:bookmarkEnd w:id="64"/>
    <w:bookmarkStart w:id="65" w:name="ref-boneh2003aggregate"/>
    <w:p>
      <w:pPr>
        <w:pStyle w:val="Bibliography"/>
      </w:pPr>
      <w:r>
        <w:t xml:space="preserve">Boneh, Dan, Craig Gentry, Ben Lynn, and Hovav Shacham. 2003.</w:t>
      </w:r>
      <w:r>
        <w:t xml:space="preserve"> </w:t>
      </w:r>
      <w:r>
        <w:t xml:space="preserve">“Aggregate and Verifiably Encrypted Signatures from Bilinear Maps.”</w:t>
      </w:r>
      <w:r>
        <w:t xml:space="preserve"> </w:t>
      </w:r>
      <w:r>
        <w:rPr>
          <w:i/>
          <w:iCs/>
        </w:rPr>
        <w:t xml:space="preserve">Advances in Cryptology – EUROCRYPT 2003</w:t>
      </w:r>
      <w:r>
        <w:t xml:space="preserve">, 416–32.</w:t>
      </w:r>
    </w:p>
    <w:bookmarkEnd w:id="65"/>
    <w:bookmarkStart w:id="66" w:name="ref-brendel2020pqsignal"/>
    <w:p>
      <w:pPr>
        <w:pStyle w:val="Bibliography"/>
      </w:pPr>
      <w:r>
        <w:t xml:space="preserve">Brendel, Jacqueline, Marc Fischlin, Felix Günther, Christian Janson, and Douglas Stebila. 2020.</w:t>
      </w:r>
      <w:r>
        <w:t xml:space="preserve"> </w:t>
      </w:r>
      <w:r>
        <w:t xml:space="preserve">“Towards Post-Quantum Security for Signal’s</w:t>
      </w:r>
      <w:r>
        <w:t xml:space="preserve"> </w:t>
      </w:r>
      <w:r>
        <w:t xml:space="preserve">X3DH</w:t>
      </w:r>
      <w:r>
        <w:t xml:space="preserve"> </w:t>
      </w:r>
      <w:r>
        <w:t xml:space="preserve">Handshake.”</w:t>
      </w:r>
      <w:r>
        <w:t xml:space="preserve"> </w:t>
      </w:r>
      <w:r>
        <w:rPr>
          <w:i/>
          <w:iCs/>
        </w:rPr>
        <w:t xml:space="preserve">Selected Areas in Cryptography</w:t>
      </w:r>
      <w:r>
        <w:t xml:space="preserve">, 404–30.</w:t>
      </w:r>
    </w:p>
    <w:bookmarkEnd w:id="66"/>
    <w:bookmarkStart w:id="67" w:name="ref-chalkias2021noninteractive"/>
    <w:p>
      <w:pPr>
        <w:pStyle w:val="Bibliography"/>
      </w:pPr>
      <w:r>
        <w:t xml:space="preserve">Chalkias, Konstantinos, François Garillot, Yashvanth Kondi, and Valeria Nikolaenko. 2021.</w:t>
      </w:r>
      <w:r>
        <w:t xml:space="preserve"> </w:t>
      </w:r>
      <w:r>
        <w:t xml:space="preserve">“Non-Interactive Half-Aggregation of</w:t>
      </w:r>
      <w:r>
        <w:t xml:space="preserve"> </w:t>
      </w:r>
      <w:r>
        <w:t xml:space="preserve">EdDSA</w:t>
      </w:r>
      <w:r>
        <w:t xml:space="preserve"> </w:t>
      </w:r>
      <w:r>
        <w:t xml:space="preserve">and Variants of</w:t>
      </w:r>
      <w:r>
        <w:t xml:space="preserve"> </w:t>
      </w:r>
      <w:r>
        <w:t xml:space="preserve">Schnorr</w:t>
      </w:r>
      <w:r>
        <w:t xml:space="preserve"> </w:t>
      </w:r>
      <w:r>
        <w:t xml:space="preserve">Signatures.”</w:t>
      </w:r>
      <w:r>
        <w:t xml:space="preserve"> </w:t>
      </w:r>
      <w:r>
        <w:rPr>
          <w:i/>
          <w:iCs/>
        </w:rPr>
        <w:t xml:space="preserve">CT-RSA 2021</w:t>
      </w:r>
      <w:r>
        <w:t xml:space="preserve">, 577–608.</w:t>
      </w:r>
    </w:p>
    <w:bookmarkEnd w:id="67"/>
    <w:bookmarkStart w:id="68" w:name="ref-cohn2020formal"/>
    <w:p>
      <w:pPr>
        <w:pStyle w:val="Bibliography"/>
      </w:pPr>
      <w:r>
        <w:t xml:space="preserve">Cohn-Gordon, Katriel, Cas Cremers, Benjamin Dowling, Luke Garratt, and Douglas Stebila. 2020.</w:t>
      </w:r>
      <w:r>
        <w:t xml:space="preserve"> </w:t>
      </w:r>
      <w:r>
        <w:t xml:space="preserve">“A Formal Security Analysis of the Signal Messaging Protocol.”</w:t>
      </w:r>
      <w:r>
        <w:t xml:space="preserve"> </w:t>
      </w:r>
      <w:r>
        <w:rPr>
          <w:i/>
          <w:iCs/>
        </w:rPr>
        <w:t xml:space="preserve">Journal of Cryptology</w:t>
      </w:r>
      <w:r>
        <w:t xml:space="preserve"> </w:t>
      </w:r>
      <w:r>
        <w:t xml:space="preserve">33: 1914–83.</w:t>
      </w:r>
    </w:p>
    <w:bookmarkEnd w:id="68"/>
    <w:bookmarkStart w:id="69" w:name="ref-zstd2021"/>
    <w:p>
      <w:pPr>
        <w:pStyle w:val="Bibliography"/>
      </w:pPr>
      <w:r>
        <w:t xml:space="preserve">Collet, Yann, and Murray Kucherawy. 2021.</w:t>
      </w:r>
      <w:r>
        <w:t xml:space="preserve"> </w:t>
      </w:r>
      <w:r>
        <w:rPr>
          <w:i/>
          <w:iCs/>
        </w:rPr>
        <w:t xml:space="preserve">Zstandard Compression and the ’application/zstd’ Media Type</w:t>
      </w:r>
      <w:r>
        <w:t xml:space="preserve">. RFC 8878.</w:t>
      </w:r>
    </w:p>
    <w:bookmarkEnd w:id="69"/>
    <w:bookmarkStart w:id="70" w:name="ref-costin2012ghost"/>
    <w:p>
      <w:pPr>
        <w:pStyle w:val="Bibliography"/>
      </w:pPr>
      <w:r>
        <w:t xml:space="preserve">Costin, Andrei, and Aurélien Francillon. 2012.</w:t>
      </w:r>
      <w:r>
        <w:t xml:space="preserve"> </w:t>
      </w:r>
      <w:r>
        <w:t xml:space="preserve">“Ghost in the Air(traffic): On Insecurity of</w:t>
      </w:r>
      <w:r>
        <w:t xml:space="preserve"> </w:t>
      </w:r>
      <w:r>
        <w:t xml:space="preserve">ADS-B</w:t>
      </w:r>
      <w:r>
        <w:t xml:space="preserve"> </w:t>
      </w:r>
      <w:r>
        <w:t xml:space="preserve">Protocol and Practical Attacks on</w:t>
      </w:r>
      <w:r>
        <w:t xml:space="preserve"> </w:t>
      </w:r>
      <w:r>
        <w:t xml:space="preserve">ADS-B</w:t>
      </w:r>
      <w:r>
        <w:t xml:space="preserve"> </w:t>
      </w:r>
      <w:r>
        <w:t xml:space="preserve">Devices.”</w:t>
      </w:r>
      <w:r>
        <w:t xml:space="preserve"> </w:t>
      </w:r>
      <w:r>
        <w:rPr>
          <w:i/>
          <w:iCs/>
        </w:rPr>
        <w:t xml:space="preserve">Black Hat USA</w:t>
      </w:r>
      <w:r>
        <w:t xml:space="preserve">.</w:t>
      </w:r>
    </w:p>
    <w:bookmarkEnd w:id="70"/>
    <w:bookmarkStart w:id="71" w:name="ref-eldridge2023hash"/>
    <w:p>
      <w:pPr>
        <w:pStyle w:val="Bibliography"/>
      </w:pPr>
      <w:r>
        <w:t xml:space="preserve">Eldridge, Harrison, Mohammad Hajiabadi, and Eyal Ronen. 2023.</w:t>
      </w:r>
      <w:r>
        <w:t xml:space="preserve"> </w:t>
      </w:r>
      <w:r>
        <w:t xml:space="preserve">“Hash-Based Aggregate Signatures for Post-Quantum Security.”</w:t>
      </w:r>
      <w:r>
        <w:t xml:space="preserve"> </w:t>
      </w:r>
      <w:r>
        <w:rPr>
          <w:i/>
          <w:iCs/>
        </w:rPr>
        <w:t xml:space="preserve">IACR Cryptology ePrint Archive</w:t>
      </w:r>
      <w:r>
        <w:t xml:space="preserve">.</w:t>
      </w:r>
    </w:p>
    <w:bookmarkEnd w:id="71"/>
    <w:bookmarkStart w:id="72" w:name="ref-ed154"/>
    <w:p>
      <w:pPr>
        <w:pStyle w:val="Bibliography"/>
      </w:pPr>
      <w:r>
        <w:t xml:space="preserve">EUROCAE. 2021.</w:t>
      </w:r>
      <w:r>
        <w:t xml:space="preserve"> </w:t>
      </w:r>
      <w:r>
        <w:rPr>
          <w:i/>
          <w:iCs/>
        </w:rPr>
        <w:t xml:space="preserve">LDACS Technical Specification</w:t>
      </w:r>
      <w:r>
        <w:t xml:space="preserve">. ED-154. European Organisation for Civil Aviation Equipment.</w:t>
      </w:r>
    </w:p>
    <w:bookmarkEnd w:id="72"/>
    <w:bookmarkStart w:id="73" w:name="ref-ed228"/>
    <w:p>
      <w:pPr>
        <w:pStyle w:val="Bibliography"/>
      </w:pPr>
      <w:r>
        <w:t xml:space="preserve">EUROCAE. 2022.</w:t>
      </w:r>
      <w:r>
        <w:t xml:space="preserve"> </w:t>
      </w:r>
      <w:r>
        <w:rPr>
          <w:i/>
          <w:iCs/>
        </w:rPr>
        <w:t xml:space="preserve">LDACS Air-Ground Data Link Security</w:t>
      </w:r>
      <w:r>
        <w:t xml:space="preserve">. ED-228. European Organisation for Civil Aviation Equipment.</w:t>
      </w:r>
    </w:p>
    <w:bookmarkEnd w:id="73"/>
    <w:bookmarkStart w:id="74" w:name="ref-hashimoto2021pqratchet"/>
    <w:p>
      <w:pPr>
        <w:pStyle w:val="Bibliography"/>
      </w:pPr>
      <w:r>
        <w:t xml:space="preserve">Hashimoto, Keitaro, Shuichi Katsumata, Kris Kwiatkowski, and Thomas Prest. 2021.</w:t>
      </w:r>
      <w:r>
        <w:t xml:space="preserve"> </w:t>
      </w:r>
      <w:r>
        <w:t xml:space="preserve">“An Efficient and Generic Construction for Signal’s Handshake (</w:t>
      </w:r>
      <w:r>
        <w:t xml:space="preserve">X3DH</w:t>
      </w:r>
      <w:r>
        <w:t xml:space="preserve">): Post-Quantum, State Leakage Secure, and Deniable.”</w:t>
      </w:r>
      <w:r>
        <w:t xml:space="preserve"> </w:t>
      </w:r>
      <w:r>
        <w:rPr>
          <w:i/>
          <w:iCs/>
        </w:rPr>
        <w:t xml:space="preserve">Public-Key Cryptography – PKC 2021</w:t>
      </w:r>
      <w:r>
        <w:t xml:space="preserve">, 410–40.</w:t>
      </w:r>
    </w:p>
    <w:bookmarkEnd w:id="74"/>
    <w:bookmarkStart w:id="75" w:name="ref-icao9896"/>
    <w:p>
      <w:pPr>
        <w:pStyle w:val="Bibliography"/>
      </w:pPr>
      <w:r>
        <w:t xml:space="preserve">International Civil Aviation Organization. 2015.</w:t>
      </w:r>
      <w:r>
        <w:t xml:space="preserve"> </w:t>
      </w:r>
      <w:r>
        <w:rPr>
          <w:i/>
          <w:iCs/>
        </w:rPr>
        <w:t xml:space="preserve">Manual on the Aeronautical Telecommunication Network (ATN) using IPS Standards and Protocols</w:t>
      </w:r>
      <w:r>
        <w:t xml:space="preserve">. Doc 9896. 2nd ed. ICAO.</w:t>
      </w:r>
    </w:p>
    <w:bookmarkEnd w:id="75"/>
    <w:bookmarkStart w:id="76" w:name="ref-kampanakis2023pqsize"/>
    <w:p>
      <w:pPr>
        <w:pStyle w:val="Bibliography"/>
      </w:pPr>
      <w:r>
        <w:t xml:space="preserve">Kampanakis, Panos, and Douglas Stebila. 2023.</w:t>
      </w:r>
      <w:r>
        <w:t xml:space="preserve"> </w:t>
      </w:r>
      <w:r>
        <w:t xml:space="preserve">“Post-Quantum Signatures in Transport Layer Protocols: Challenges and Opportunities.”</w:t>
      </w:r>
      <w:r>
        <w:t xml:space="preserve"> </w:t>
      </w:r>
      <w:r>
        <w:rPr>
          <w:i/>
          <w:iCs/>
        </w:rPr>
        <w:t xml:space="preserve">IEEE Security &amp; Privacy</w:t>
      </w:r>
      <w:r>
        <w:t xml:space="preserve"> </w:t>
      </w:r>
      <w:r>
        <w:t xml:space="preserve">21 (3): 62–71.</w:t>
      </w:r>
    </w:p>
    <w:bookmarkEnd w:id="76"/>
    <w:bookmarkStart w:id="77" w:name="ref-lu2006sequential"/>
    <w:p>
      <w:pPr>
        <w:pStyle w:val="Bibliography"/>
      </w:pPr>
      <w:r>
        <w:t xml:space="preserve">Lu, Steve, Rafail Ostrovsky, Amit Sahai, Hovav Shacham, and Brent Waters. 2006.</w:t>
      </w:r>
      <w:r>
        <w:t xml:space="preserve"> </w:t>
      </w:r>
      <w:r>
        <w:t xml:space="preserve">“Sequential Aggregate Signatures and Multisignatures Without Random Oracles.”</w:t>
      </w:r>
      <w:r>
        <w:t xml:space="preserve"> </w:t>
      </w:r>
      <w:r>
        <w:rPr>
          <w:i/>
          <w:iCs/>
        </w:rPr>
        <w:t xml:space="preserve">Advances in Cryptology – EUROCRYPT 2006</w:t>
      </w:r>
      <w:r>
        <w:t xml:space="preserve">, 465–85.</w:t>
      </w:r>
    </w:p>
    <w:bookmarkEnd w:id="77"/>
    <w:bookmarkStart w:id="78" w:name="ref-maeurer2021ldacs"/>
    <w:p>
      <w:pPr>
        <w:pStyle w:val="Bibliography"/>
      </w:pPr>
      <w:r>
        <w:t xml:space="preserve">Mäurer, Nils, Arne Bilzhause, Thomas Gräupl, and Corinna Schmitt. 2021.</w:t>
      </w:r>
      <w:r>
        <w:t xml:space="preserve"> </w:t>
      </w:r>
      <w:r>
        <w:t xml:space="preserve">“Cybersecurity for the</w:t>
      </w:r>
      <w:r>
        <w:t xml:space="preserve"> </w:t>
      </w:r>
      <w:r>
        <w:t xml:space="preserve">L-band Digital Aeronautical Communications System (LDACS)</w:t>
      </w:r>
      <w:r>
        <w:t xml:space="preserve">.”</w:t>
      </w:r>
      <w:r>
        <w:t xml:space="preserve"> </w:t>
      </w:r>
      <w:r>
        <w:rPr>
          <w:i/>
          <w:iCs/>
        </w:rPr>
        <w:t xml:space="preserve">IEEE/AIAA Digital Avionics Systems Conference</w:t>
      </w:r>
      <w:r>
        <w:t xml:space="preserve">, 1–10.</w:t>
      </w:r>
    </w:p>
    <w:bookmarkEnd w:id="78"/>
    <w:bookmarkStart w:id="79" w:name="ref-maeurer2022pqldacs"/>
    <w:p>
      <w:pPr>
        <w:pStyle w:val="Bibliography"/>
      </w:pPr>
      <w:r>
        <w:t xml:space="preserve">Mäurer, Nils, Thomas Gräupl, and Corinna Schmitt. 2022.</w:t>
      </w:r>
      <w:r>
        <w:t xml:space="preserve"> </w:t>
      </w:r>
      <w:r>
        <w:t xml:space="preserve">“Post-Quantum Cryptography in</w:t>
      </w:r>
      <w:r>
        <w:t xml:space="preserve"> </w:t>
      </w:r>
      <w:r>
        <w:t xml:space="preserve">LDACS</w:t>
      </w:r>
      <w:r>
        <w:t xml:space="preserve">: Evaluating Lattice-Based Key Exchange for Aeronautical Communications.”</w:t>
      </w:r>
      <w:r>
        <w:t xml:space="preserve"> </w:t>
      </w:r>
      <w:r>
        <w:rPr>
          <w:i/>
          <w:iCs/>
        </w:rPr>
        <w:t xml:space="preserve">IEEE Aerospace Conference</w:t>
      </w:r>
      <w:r>
        <w:t xml:space="preserve">, 1–12.</w:t>
      </w:r>
    </w:p>
    <w:bookmarkEnd w:id="79"/>
    <w:bookmarkStart w:id="80" w:name="ref-mosca2018cybersecurity"/>
    <w:p>
      <w:pPr>
        <w:pStyle w:val="Bibliography"/>
      </w:pPr>
      <w:r>
        <w:t xml:space="preserve">Mosca, Michele. 2018.</w:t>
      </w:r>
      <w:r>
        <w:t xml:space="preserve"> </w:t>
      </w:r>
      <w:r>
        <w:t xml:space="preserve">“Cybersecurity in an Era with Quantum Computers: Will We Be Ready?”</w:t>
      </w:r>
      <w:r>
        <w:t xml:space="preserve"> </w:t>
      </w:r>
      <w:r>
        <w:rPr>
          <w:i/>
          <w:iCs/>
        </w:rPr>
        <w:t xml:space="preserve">IEEE Security &amp; Privacy</w:t>
      </w:r>
      <w:r>
        <w:t xml:space="preserve"> </w:t>
      </w:r>
      <w:r>
        <w:t xml:space="preserve">16 (5): 38–41.</w:t>
      </w:r>
    </w:p>
    <w:bookmarkEnd w:id="80"/>
    <w:bookmarkStart w:id="81" w:name="ref-fips204"/>
    <w:p>
      <w:pPr>
        <w:pStyle w:val="Bibliography"/>
      </w:pPr>
      <w:r>
        <w:t xml:space="preserve">National Institute of Standards and Technology. 2024a.</w:t>
      </w:r>
      <w:r>
        <w:t xml:space="preserve"> </w:t>
      </w:r>
      <w:r>
        <w:rPr>
          <w:i/>
          <w:iCs/>
        </w:rPr>
        <w:t xml:space="preserve">Module-Lattice-Based Digital Signature Standard (ML-DSA)</w:t>
      </w:r>
      <w:r>
        <w:t xml:space="preserve">. FIPS 204. NIST.</w:t>
      </w:r>
    </w:p>
    <w:bookmarkEnd w:id="81"/>
    <w:bookmarkStart w:id="82" w:name="ref-fips203"/>
    <w:p>
      <w:pPr>
        <w:pStyle w:val="Bibliography"/>
      </w:pPr>
      <w:r>
        <w:t xml:space="preserve">National Institute of Standards and Technology. 2024b.</w:t>
      </w:r>
      <w:r>
        <w:t xml:space="preserve"> </w:t>
      </w:r>
      <w:r>
        <w:rPr>
          <w:i/>
          <w:iCs/>
        </w:rPr>
        <w:t xml:space="preserve">Module-Lattice-Based Key-Encapsulation Mechanism Standard (ML-KEM)</w:t>
      </w:r>
      <w:r>
        <w:t xml:space="preserve">. FIPS 203. NIST.</w:t>
      </w:r>
    </w:p>
    <w:bookmarkEnd w:id="82"/>
    <w:bookmarkStart w:id="83" w:name="ref-fips205"/>
    <w:p>
      <w:pPr>
        <w:pStyle w:val="Bibliography"/>
      </w:pPr>
      <w:r>
        <w:t xml:space="preserve">National Institute of Standards and Technology. 2024c.</w:t>
      </w:r>
      <w:r>
        <w:t xml:space="preserve"> </w:t>
      </w:r>
      <w:r>
        <w:rPr>
          <w:i/>
          <w:iCs/>
        </w:rPr>
        <w:t xml:space="preserve">Stateless Hash-Based Digital Signature Standard (SLH-DSA)</w:t>
      </w:r>
      <w:r>
        <w:t xml:space="preserve">. FIPS 205. NIST.</w:t>
      </w:r>
    </w:p>
    <w:bookmarkEnd w:id="83"/>
    <w:bookmarkStart w:id="84" w:name="ref-nsa2022cnsa2"/>
    <w:p>
      <w:pPr>
        <w:pStyle w:val="Bibliography"/>
      </w:pPr>
      <w:r>
        <w:t xml:space="preserve">National Security Agency. 2022.</w:t>
      </w:r>
      <w:r>
        <w:t xml:space="preserve"> </w:t>
      </w:r>
      <w:r>
        <w:rPr>
          <w:i/>
          <w:iCs/>
        </w:rPr>
        <w:t xml:space="preserve">Announcing the Commercial National Security Algorithm Suite 2.0</w:t>
      </w:r>
      <w:r>
        <w:t xml:space="preserve">. NSA Cybersecurity.</w:t>
      </w:r>
    </w:p>
    <w:bookmarkEnd w:id="84"/>
    <w:bookmarkStart w:id="85" w:name="ref-polak2022ldacssurvey"/>
    <w:p>
      <w:pPr>
        <w:pStyle w:val="Bibliography"/>
      </w:pPr>
      <w:r>
        <w:t xml:space="preserve">Polák, Lukáš, and Nils Maeurer. 2022.</w:t>
      </w:r>
      <w:r>
        <w:t xml:space="preserve"> </w:t>
      </w:r>
      <w:r>
        <w:t xml:space="preserve">“A Survey on Cybersecurity of Digital Aeronautical Communication Systems.”</w:t>
      </w:r>
      <w:r>
        <w:t xml:space="preserve"> </w:t>
      </w:r>
      <w:r>
        <w:rPr>
          <w:i/>
          <w:iCs/>
        </w:rPr>
        <w:t xml:space="preserve">IEEE Access</w:t>
      </w:r>
      <w:r>
        <w:t xml:space="preserve"> </w:t>
      </w:r>
      <w:r>
        <w:t xml:space="preserve">10: 29004–28.</w:t>
      </w:r>
    </w:p>
    <w:bookmarkEnd w:id="85"/>
    <w:bookmarkStart w:id="86" w:name="ref-do350a"/>
    <w:p>
      <w:pPr>
        <w:pStyle w:val="Bibliography"/>
      </w:pPr>
      <w:r>
        <w:t xml:space="preserve">RTCA. 2016.</w:t>
      </w:r>
      <w:r>
        <w:t xml:space="preserve"> </w:t>
      </w:r>
      <w:r>
        <w:rPr>
          <w:i/>
          <w:iCs/>
        </w:rPr>
        <w:t xml:space="preserve">Safety, Performance and Interoperability Requirements for ADS-B</w:t>
      </w:r>
      <w:r>
        <w:t xml:space="preserve">. DO-350A. RTCA Inc.</w:t>
      </w:r>
    </w:p>
    <w:bookmarkEnd w:id="86"/>
    <w:bookmarkStart w:id="87" w:name="ref-schafer2014experimental"/>
    <w:p>
      <w:pPr>
        <w:pStyle w:val="Bibliography"/>
      </w:pPr>
      <w:r>
        <w:t xml:space="preserve">Schäfer, Matthias, Vincent Lenders, and Ivan Martinovic. 2014.</w:t>
      </w:r>
      <w:r>
        <w:t xml:space="preserve"> </w:t>
      </w:r>
      <w:r>
        <w:t xml:space="preserve">“Experimental Analysis of Attacks on Next Generation Air Traffic Communication.”</w:t>
      </w:r>
      <w:r>
        <w:t xml:space="preserve"> </w:t>
      </w:r>
      <w:r>
        <w:rPr>
          <w:i/>
          <w:iCs/>
        </w:rPr>
        <w:t xml:space="preserve">Applied Cryptography and Network Security</w:t>
      </w:r>
      <w:r>
        <w:t xml:space="preserve">, 253–71.</w:t>
      </w:r>
    </w:p>
    <w:bookmarkEnd w:id="87"/>
    <w:bookmarkStart w:id="88" w:name="ref-schwabe2021pqembedded"/>
    <w:p>
      <w:pPr>
        <w:pStyle w:val="Bibliography"/>
      </w:pPr>
      <w:r>
        <w:t xml:space="preserve">Schwabe, Peter, Douglas Stebila, and Thom Wiggers. 2020.</w:t>
      </w:r>
      <w:r>
        <w:t xml:space="preserve"> </w:t>
      </w:r>
      <w:r>
        <w:t xml:space="preserve">“Post-Quantum</w:t>
      </w:r>
      <w:r>
        <w:t xml:space="preserve"> </w:t>
      </w:r>
      <w:r>
        <w:t xml:space="preserve">TLS</w:t>
      </w:r>
      <w:r>
        <w:t xml:space="preserve"> </w:t>
      </w:r>
      <w:r>
        <w:t xml:space="preserve">Without Handshake Signatures.”</w:t>
      </w:r>
      <w:r>
        <w:t xml:space="preserve"> </w:t>
      </w:r>
      <w:r>
        <w:rPr>
          <w:i/>
          <w:iCs/>
        </w:rPr>
        <w:t xml:space="preserve">ACM Conference on Computer and Communications Security (CCS)</w:t>
      </w:r>
      <w:r>
        <w:t xml:space="preserve">, 1461–80.</w:t>
      </w:r>
    </w:p>
    <w:bookmarkEnd w:id="88"/>
    <w:bookmarkStart w:id="89" w:name="ref-shor1997polynomial"/>
    <w:p>
      <w:pPr>
        <w:pStyle w:val="Bibliography"/>
      </w:pPr>
      <w:r>
        <w:t xml:space="preserve">Shor, Peter W. 1997.</w:t>
      </w:r>
      <w:r>
        <w:t xml:space="preserve"> </w:t>
      </w:r>
      <w:r>
        <w:t xml:space="preserve">“Polynomial-Time Algorithms for Prime Factorization and Discrete Logarithms on a Quantum Computer.”</w:t>
      </w:r>
      <w:r>
        <w:t xml:space="preserve"> </w:t>
      </w:r>
      <w:r>
        <w:rPr>
          <w:i/>
          <w:iCs/>
        </w:rPr>
        <w:t xml:space="preserve">SIAM Journal on Computing</w:t>
      </w:r>
      <w:r>
        <w:t xml:space="preserve"> </w:t>
      </w:r>
      <w:r>
        <w:t xml:space="preserve">26 (5): 1484–509.</w:t>
      </w:r>
    </w:p>
    <w:bookmarkEnd w:id="89"/>
    <w:bookmarkStart w:id="90" w:name="ref-sikeridis2020pqtls"/>
    <w:p>
      <w:pPr>
        <w:pStyle w:val="Bibliography"/>
      </w:pPr>
      <w:r>
        <w:t xml:space="preserve">Sikeridis, Dimitrios, Panos Kampanakis, and Michael Devetsikiotis. 2020.</w:t>
      </w:r>
      <w:r>
        <w:t xml:space="preserve"> </w:t>
      </w:r>
      <w:r>
        <w:t xml:space="preserve">“Post-Quantum Authentication in</w:t>
      </w:r>
      <w:r>
        <w:t xml:space="preserve"> </w:t>
      </w:r>
      <w:r>
        <w:t xml:space="preserve">TLS 1.3</w:t>
      </w:r>
      <w:r>
        <w:t xml:space="preserve">: A Performance Study.”</w:t>
      </w:r>
      <w:r>
        <w:t xml:space="preserve"> </w:t>
      </w:r>
      <w:r>
        <w:rPr>
          <w:i/>
          <w:iCs/>
        </w:rPr>
        <w:t xml:space="preserve">Network and Distributed Systems Security Symposium (NDSS)</w:t>
      </w:r>
      <w:r>
        <w:t xml:space="preserve">.</w:t>
      </w:r>
    </w:p>
    <w:bookmarkEnd w:id="90"/>
    <w:bookmarkStart w:id="91" w:name="ref-strohmeier2015security"/>
    <w:p>
      <w:pPr>
        <w:pStyle w:val="Bibliography"/>
      </w:pPr>
      <w:r>
        <w:t xml:space="preserve">Strohmeier, Martin, Vincent Lenders, and Ivan Martinovic. 2015.</w:t>
      </w:r>
      <w:r>
        <w:t xml:space="preserve"> </w:t>
      </w:r>
      <w:r>
        <w:t xml:space="preserve">“On the Security of the Automatic Dependent Surveillance-Broadcast Protocol.”</w:t>
      </w:r>
      <w:r>
        <w:t xml:space="preserve"> </w:t>
      </w:r>
      <w:r>
        <w:rPr>
          <w:i/>
          <w:iCs/>
        </w:rPr>
        <w:t xml:space="preserve">IEEE Symposium on Security and Privacy</w:t>
      </w:r>
      <w:r>
        <w:t xml:space="preserve">, 640–57.</w:t>
      </w:r>
    </w:p>
    <w:bookmarkEnd w:id="91"/>
    <w:bookmarkEnd w:id="92"/>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Post-Quantum Cryptography for Bandwidth-Constrained Aviation Datalinks: Aggregate Signatures and Forward-Secure Channels for ATC Communication</dc:title>
  <dc:creator/>
  <cp:keywords/>
  <dcterms:created xsi:type="dcterms:W3CDTF">2026-03-16T10:01:36Z</dcterms:created>
  <dcterms:modified xsi:type="dcterms:W3CDTF">2026-03-16T10:01:36Z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Air traffic control (ATC) communication systems operate under stringent bandwidth constraints that pose a fundamental challenge to the adoption of post-quantum cryptography (PQC). Current ATC datalinks—including VHF ACARS at 2.4 kbps, HF Datalink at 1.8 kbps, and classic SATCOM at 600 bps—cannot accommodate the significantly larger signature and key sizes of lattice-based schemes such as ML-DSA and Falcon, where individual signatures range from 666 bytes to 3.3 KB. At the same time, the “harvest now, decrypt later” (HNDL) threat model makes quantum-resistant security an urgent requirement for safety-critical aviation messages that may retain sensitivity for decades.This paper presents two complementary constructions that enable practical PQC deployment on bandwidth-constrained aviation datalinks. First, we introduce a Merkle tree aggregate signature scheme that compresses N individual PQC signatures into a single compact aggregate proof. By computing SHA3-256 leaf hashes of individual signatures, constructing a Merkle tree, and applying Zstd compression, the scheme achieves bandwidth reductions of 80–90% on the most constrained channels, reducing per-signature overhead to approximately 100–200 bytes. The scheme incorporates priority-aware handling where DISTRESS messages bypass aggregation to ensure zero additional latency for safety-critical communications. Second, we design a forward-secure double-ratchet channel protocol using ephemeral ML-KEM-768 key exchanges per epoch, with AES-256-GCM symmetric encryption and HKDF-SHA3-256 key derivation. The protocol supports four ratchet modes—per-message, per-epoch, per-exchange, and periodic—tailored to the operational profiles of ACARS, CPDLC, ADS-C, and LDACS channels. Key erasure is performed immediately at epoch boundaries with a one-interval retention window for message reordering. We provide detailed performance analysis across five channel profiles, demonstrating aggregate verification latency below 50 ms for batches of 64 messages and ratchet overhead compatible with real-time ATC operations. Security analysis establishes aggregate unforgeability under the collision resistance of SHA3-256 and forward secrecy under the IND-CCA2 security of ML-KEM-768.</vt:lpwstr>
  </property>
  <property fmtid="{D5CDD505-2E9C-101B-9397-08002B2CF9AE}" pid="3" name="bibliography">
    <vt:lpwstr>paper3_aviation_atc/references.bib</vt:lpwstr>
  </property>
</Properties>
</file>