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Post-Quantum Privacy-Preserving Cryptography for Healthcare: Proxy Re-Encryption, Homomorphic Vital Signs Analytics, and Verifiable Credentials for Electronic Health Records</w:t>
      </w:r>
    </w:p>
    <w:p>
      <w:pPr>
        <w:pStyle w:val="Author"/>
      </w:pPr>
    </w:p>
    <w:p>
      <w:pPr>
        <w:pStyle w:val="AbstractTitle"/>
      </w:pPr>
      <w:r>
        <w:t xml:space="preserve">Abstract</w:t>
      </w:r>
    </w:p>
    <w:p>
      <w:pPr>
        <w:pStyle w:val="Abstract"/>
      </w:pPr>
      <w:r>
        <w:t xml:space="preserve">The healthcare sector faces a dual challenge: protecting sensitive patient data under stringent regulations such as HIPAA and GDPR while preparing for the cryptographic disruption posed by large-scale quantum computers. Current electronic health record (EHR) systems rely on RSA and elliptic-curve primitives that Shor’s algorithm will render insecure, exposing decades of archived patient records to harvest-now-decrypt-later attacks. This paper presents four complementary post-quantum cryptographic constructions tailored to the healthcare domain. First, we introduce a</w:t>
      </w:r>
      <w:r>
        <w:t xml:space="preserve"> </w:t>
      </w:r>
      <w:r>
        <w:rPr>
          <w:i/>
          <w:iCs/>
        </w:rPr>
        <w:t xml:space="preserve">lattice-based proxy re-encryption</w:t>
      </w:r>
      <w:r>
        <w:t xml:space="preserve"> </w:t>
      </w:r>
      <w:r>
        <w:t xml:space="preserve">(PRE) scheme for EHR transfer built on</w:t>
      </w:r>
      <w:r>
        <w:t xml:space="preserve"> </w:t>
      </w:r>
      <w:r>
        <w:t xml:space="preserve">ML-KEM</w:t>
      </w:r>
      <w:r>
        <w:t xml:space="preserve">-768 (FIPS 203), enabling a semi-trusted proxy to transform ciphertext between providers without accessing plaintext. The re-encryption key is derived as</w:t>
      </w:r>
      <w:r>
        <w:t xml:space="preserve"> </w:t>
      </w:r>
      <m:oMath>
        <m:r>
          <m:rPr>
            <m:sty m:val="i"/>
          </m:rPr>
          <m:t>r</m:t>
        </m:r>
        <m:r>
          <m:rPr>
            <m:sty m:val="i"/>
          </m:rPr>
          <m:t>k</m:t>
        </m:r>
        <m:r>
          <m:rPr>
            <m:sty m:val="p"/>
          </m:rPr>
          <m:t>=</m:t>
        </m:r>
        <m:r>
          <m:rPr>
            <m:nor/>
            <m:scr m:val="sans-serif"/>
            <m:sty m:val="p"/>
          </m:rPr>
          <m:t>SHAKE256</m:t>
        </m:r>
        <m:r>
          <m:t>​</m:t>
        </m:r>
        <m:r>
          <m:rPr>
            <m:sty m:val="p"/>
          </m:rPr>
          <m:t>(</m:t>
        </m:r>
        <m:sSub>
          <m:e>
            <m:r>
              <m:rPr>
                <m:sty m:val="i"/>
              </m:rPr>
              <m:t>s</m:t>
            </m:r>
            <m:r>
              <m:rPr>
                <m:sty m:val="i"/>
              </m:rPr>
              <m:t>k</m:t>
            </m:r>
          </m:e>
          <m:sub>
            <m:r>
              <m:t>A</m:t>
            </m:r>
          </m:sub>
        </m:sSub>
        <m:r>
          <m:rPr>
            <m:sty m:val="p"/>
          </m:rPr>
          <m:t>∥</m:t>
        </m:r>
        <m:sSub>
          <m:e>
            <m:r>
              <m:rPr>
                <m:sty m:val="i"/>
              </m:rPr>
              <m:t>p</m:t>
            </m:r>
            <m:r>
              <m:rPr>
                <m:sty m:val="i"/>
              </m:rPr>
              <m:t>k</m:t>
            </m:r>
          </m:e>
          <m:sub>
            <m:r>
              <m:t>B</m:t>
            </m:r>
          </m:sub>
        </m:sSub>
        <m:r>
          <m:rPr>
            <m:sty m:val="p"/>
          </m:rPr>
          <m:t>∥</m:t>
        </m:r>
        <m:r>
          <m:rPr>
            <m:sty m:val="i"/>
          </m:rPr>
          <m:t>p</m:t>
        </m:r>
        <m:r>
          <m:rPr>
            <m:sty m:val="i"/>
          </m:rPr>
          <m:t>i</m:t>
        </m:r>
        <m:r>
          <m:rPr>
            <m:sty m:val="i"/>
          </m:rPr>
          <m:t>d</m:t>
        </m:r>
        <m:r>
          <m:rPr>
            <m:sty m:val="p"/>
          </m:rPr>
          <m:t>)</m:t>
        </m:r>
      </m:oMath>
      <w:r>
        <w:t xml:space="preserve"> </w:t>
      </w:r>
      <w:r>
        <w:t xml:space="preserve">and supports six consent types—full access, category-restricted, time-limited, emergency, research, and one-time—covering standard and restricted record categories including mental health (42 CFR Part 2), genetic data (GINA), and reproductive health. Second, we present a</w:t>
      </w:r>
      <w:r>
        <w:t xml:space="preserve"> </w:t>
      </w:r>
      <w:r>
        <w:rPr>
          <w:i/>
          <w:iCs/>
        </w:rPr>
        <w:t xml:space="preserve">Paillier-like additively homomorphic encryption</w:t>
      </w:r>
      <w:r>
        <w:t xml:space="preserve"> </w:t>
      </w:r>
      <w:r>
        <w:t xml:space="preserve">scheme under lattice assumptions for privacy-preserving vital signs analytics, supporting encrypted summation</w:t>
      </w:r>
      <w:r>
        <w:t xml:space="preserve"> </w:t>
      </w:r>
      <m:oMath>
        <m:r>
          <m:rPr>
            <m:scr m:val="sans-serif"/>
            <m:sty m:val="p"/>
          </m:rPr>
          <m:t>E</m:t>
        </m:r>
        <m:r>
          <m:rPr>
            <m:scr m:val="sans-serif"/>
            <m:sty m:val="p"/>
          </m:rPr>
          <m:t>n</m:t>
        </m:r>
        <m:r>
          <m:rPr>
            <m:scr m:val="sans-serif"/>
            <m:sty m:val="p"/>
          </m:rPr>
          <m:t>c</m:t>
        </m:r>
        <m:r>
          <m:rPr>
            <m:sty m:val="p"/>
          </m:rPr>
          <m:t>(</m:t>
        </m:r>
        <m:sSub>
          <m:e>
            <m:r>
              <m:t>m</m:t>
            </m:r>
          </m:e>
          <m:sub>
            <m:r>
              <m:t>1</m:t>
            </m:r>
          </m:sub>
        </m:sSub>
        <m:r>
          <m:rPr>
            <m:sty m:val="p"/>
          </m:rPr>
          <m:t>)</m:t>
        </m:r>
        <m:r>
          <m:rPr>
            <m:sty m:val="p"/>
          </m:rPr>
          <m:t>⋅</m:t>
        </m:r>
        <m:r>
          <m:rPr>
            <m:scr m:val="sans-serif"/>
            <m:sty m:val="p"/>
          </m:rPr>
          <m:t>E</m:t>
        </m:r>
        <m:r>
          <m:rPr>
            <m:scr m:val="sans-serif"/>
            <m:sty m:val="p"/>
          </m:rPr>
          <m:t>n</m:t>
        </m:r>
        <m:r>
          <m:rPr>
            <m:scr m:val="sans-serif"/>
            <m:sty m:val="p"/>
          </m:rPr>
          <m:t>c</m:t>
        </m:r>
        <m:r>
          <m:rPr>
            <m:sty m:val="p"/>
          </m:rPr>
          <m:t>(</m:t>
        </m:r>
        <m:sSub>
          <m:e>
            <m:r>
              <m:t>m</m:t>
            </m:r>
          </m:e>
          <m:sub>
            <m:r>
              <m:t>2</m:t>
            </m:r>
          </m:sub>
        </m:sSub>
        <m:r>
          <m:rPr>
            <m:sty m:val="p"/>
          </m:rPr>
          <m:t>)</m:t>
        </m:r>
        <m:r>
          <m:rPr>
            <m:sty m:val="p"/>
          </m:rPr>
          <m:t>=</m:t>
        </m:r>
        <m:r>
          <m:rPr>
            <m:scr m:val="sans-serif"/>
            <m:sty m:val="p"/>
          </m:rPr>
          <m:t>E</m:t>
        </m:r>
        <m:r>
          <m:rPr>
            <m:scr m:val="sans-serif"/>
            <m:sty m:val="p"/>
          </m:rPr>
          <m:t>n</m:t>
        </m:r>
        <m:r>
          <m:rPr>
            <m:scr m:val="sans-serif"/>
            <m:sty m:val="p"/>
          </m:rPr>
          <m:t>c</m:t>
        </m:r>
        <m:r>
          <m:rPr>
            <m:sty m:val="p"/>
          </m:rPr>
          <m:t>(</m:t>
        </m:r>
        <m:sSub>
          <m:e>
            <m:r>
              <m:t>m</m:t>
            </m:r>
          </m:e>
          <m:sub>
            <m:r>
              <m:t>1</m:t>
            </m:r>
          </m:sub>
        </m:sSub>
        <m:r>
          <m:rPr>
            <m:sty m:val="p"/>
          </m:rPr>
          <m:t>+</m:t>
        </m:r>
        <m:sSub>
          <m:e>
            <m:r>
              <m:t>m</m:t>
            </m:r>
          </m:e>
          <m:sub>
            <m:r>
              <m:t>2</m:t>
            </m:r>
          </m:sub>
        </m:sSub>
        <m:r>
          <m:rPr>
            <m:sty m:val="p"/>
          </m:rPr>
          <m:t>)</m:t>
        </m:r>
      </m:oMath>
      <w:r>
        <w:t xml:space="preserve">, scalar multiplication</w:t>
      </w:r>
      <w:r>
        <w:t xml:space="preserve"> </w:t>
      </w:r>
      <m:oMath>
        <m:r>
          <m:rPr>
            <m:scr m:val="sans-serif"/>
            <m:sty m:val="p"/>
          </m:rPr>
          <m:t>E</m:t>
        </m:r>
        <m:r>
          <m:rPr>
            <m:scr m:val="sans-serif"/>
            <m:sty m:val="p"/>
          </m:rPr>
          <m:t>n</m:t>
        </m:r>
        <m:r>
          <m:rPr>
            <m:scr m:val="sans-serif"/>
            <m:sty m:val="p"/>
          </m:rPr>
          <m:t>c</m:t>
        </m:r>
        <m:r>
          <m:rPr>
            <m:sty m:val="p"/>
          </m:rPr>
          <m:t>(</m:t>
        </m:r>
        <m:r>
          <m:t>m</m:t>
        </m:r>
        <m:sSup>
          <m:e>
            <m:r>
              <m:rPr>
                <m:sty m:val="p"/>
              </m:rPr>
              <m:t>)</m:t>
            </m:r>
          </m:e>
          <m:sup>
            <m:r>
              <m:t>k</m:t>
            </m:r>
          </m:sup>
        </m:sSup>
        <m:r>
          <m:rPr>
            <m:sty m:val="p"/>
          </m:rPr>
          <m:t>=</m:t>
        </m:r>
        <m:r>
          <m:rPr>
            <m:scr m:val="sans-serif"/>
            <m:sty m:val="p"/>
          </m:rPr>
          <m:t>E</m:t>
        </m:r>
        <m:r>
          <m:rPr>
            <m:scr m:val="sans-serif"/>
            <m:sty m:val="p"/>
          </m:rPr>
          <m:t>n</m:t>
        </m:r>
        <m:r>
          <m:rPr>
            <m:scr m:val="sans-serif"/>
            <m:sty m:val="p"/>
          </m:rPr>
          <m:t>c</m:t>
        </m:r>
        <m:r>
          <m:rPr>
            <m:sty m:val="p"/>
          </m:rPr>
          <m:t>(</m:t>
        </m:r>
        <m:r>
          <m:t>k</m:t>
        </m:r>
        <m:r>
          <m:rPr>
            <m:sty m:val="p"/>
          </m:rPr>
          <m:t>⋅</m:t>
        </m:r>
        <m:r>
          <m:t>m</m:t>
        </m:r>
        <m:r>
          <m:rPr>
            <m:sty m:val="p"/>
          </m:rPr>
          <m:t>)</m:t>
        </m:r>
      </m:oMath>
      <w:r>
        <w:t xml:space="preserve">, and integrated Laplace-mechanism differential privacy with</w:t>
      </w:r>
      <w:r>
        <w:t xml:space="preserve"> </w:t>
      </w:r>
      <m:oMath>
        <m:r>
          <m:t>ε</m:t>
        </m:r>
        <m:r>
          <m:rPr>
            <m:sty m:val="p"/>
          </m:rPr>
          <m:t>=</m:t>
        </m:r>
        <m:r>
          <m:t>1.0</m:t>
        </m:r>
      </m:oMath>
      <w:r>
        <w:t xml:space="preserve">. Seven vital types—heart rate, systolic and diastolic blood pressure, SpO</w:t>
      </w:r>
      <w:r>
        <w:rPr>
          <w:vertAlign w:val="subscript"/>
        </w:rPr>
        <w:t xml:space="preserve">2</w:t>
      </w:r>
      <w:r>
        <w:t xml:space="preserve">, temperature, respiratory rate, and glucose—are encrypted at the device with a scale factor of 100 for fixed-point representation. Third, we design</w:t>
      </w:r>
      <w:r>
        <w:t xml:space="preserve"> </w:t>
      </w:r>
      <w:r>
        <w:rPr>
          <w:i/>
          <w:iCs/>
        </w:rPr>
        <w:t xml:space="preserve">post-quantum verifiable credentials</w:t>
      </w:r>
      <w:r>
        <w:t xml:space="preserve"> </w:t>
      </w:r>
      <w:r>
        <w:t xml:space="preserve">conforming to the W3C VC 2.0 data model, signed with</w:t>
      </w:r>
      <w:r>
        <w:t xml:space="preserve"> </w:t>
      </w:r>
      <w:r>
        <w:t xml:space="preserve">ML-DSA</w:t>
      </w:r>
      <w:r>
        <w:t xml:space="preserve">-65 (FIPS 204) and featuring Merkle-tree selective disclosure, zero-knowledge predicate proofs, and accumulator-based</w:t>
      </w:r>
      <w:r>
        <w:t xml:space="preserve"> </w:t>
      </w:r>
      <m:oMath>
        <m:r>
          <m:t>O</m:t>
        </m:r>
        <m:r>
          <m:rPr>
            <m:sty m:val="p"/>
          </m:rPr>
          <m:t>(</m:t>
        </m:r>
        <m:r>
          <m:t>1</m:t>
        </m:r>
        <m:r>
          <m:rPr>
            <m:sty m:val="p"/>
          </m:rPr>
          <m:t>)</m:t>
        </m:r>
      </m:oMath>
      <w:r>
        <w:t xml:space="preserve"> </w:t>
      </w:r>
      <w:r>
        <w:t xml:space="preserve">revocation. Seven credential types—vaccination, lab result, prescription, allergy, insurance eligibility, disability attestation, and provider license—are supported with a default 365-day validity. Fourth, we propose a</w:t>
      </w:r>
      <w:r>
        <w:t xml:space="preserve"> </w:t>
      </w:r>
      <w:r>
        <w:rPr>
          <w:i/>
          <w:iCs/>
        </w:rPr>
        <w:t xml:space="preserve">lightweight PQC framework</w:t>
      </w:r>
      <w:r>
        <w:t xml:space="preserve"> </w:t>
      </w:r>
      <w:r>
        <w:t xml:space="preserve">for constrained medical devices, defining four memory tiers from ultra-constrained (</w:t>
      </w:r>
      <m:oMath>
        <m:r>
          <m:rPr>
            <m:sty m:val="p"/>
          </m:rPr>
          <m:t>&lt;</m:t>
        </m:r>
      </m:oMath>
      <w:r>
        <w:t xml:space="preserve">32 KB) to standard (</w:t>
      </w:r>
      <m:oMath>
        <m:r>
          <m:rPr>
            <m:sty m:val="p"/>
          </m:rPr>
          <m:t>&gt;</m:t>
        </m:r>
      </m:oMath>
      <w:r>
        <w:t xml:space="preserve">256 KB) with device-specific profiles for pacemakers, insulin pumps, and implantable cardioverter defibrillators. Strategies include pre-computation of key material during device programming, session key caching, and deferred verification. Security analysis establishes IND-CPA security for the PRE and homomorphic schemes, EUF-CMA unforgeability for verifiable credentials, and compliance with HIPAA, HITECH, 42 CFR Part 2, GINA, and GDPR. Performance evaluation demonstrates encryption latency of 1–10 ms per vital sign,</w:t>
      </w:r>
      <w:r>
        <w:t xml:space="preserve"> </w:t>
      </w:r>
      <m:oMath>
        <m:r>
          <m:t>O</m:t>
        </m:r>
        <m:r>
          <m:rPr>
            <m:sty m:val="p"/>
          </m:rPr>
          <m:t>(</m:t>
        </m:r>
        <m:r>
          <m:t>N</m:t>
        </m:r>
        <m:r>
          <m:rPr>
            <m:sty m:val="p"/>
          </m:rPr>
          <m:t>)</m:t>
        </m:r>
      </m:oMath>
      <w:r>
        <w:t xml:space="preserve"> </w:t>
      </w:r>
      <w:r>
        <w:t xml:space="preserve">homomorphic aggregation, issuer signature sizes of 3</w:t>
      </w:r>
      <w:r>
        <w:t xml:space="preserve">,</w:t>
      </w:r>
      <w:r>
        <w:t xml:space="preserve">293 bytes, and Merkle roots of 32 bytes, confirming practical deployability across the healthcare ecosystem.</w:t>
      </w:r>
    </w:p>
    <w:p>
      <w:pPr>
        <w:pStyle w:val="FirstParagraph"/>
      </w:pPr>
      <w:r>
        <w:t xml:space="preserve">Post-quantum cryptography, healthcare privacy, proxy re-encryption, homomorphic encryption, verifiable credentials, electronic health records, HIPAA, medical devices, ML-KEM, ML-DSA</w:t>
      </w:r>
    </w:p>
    <w:bookmarkStart w:id="11" w:name="introduction"/>
    <w:p>
      <w:pPr>
        <w:pStyle w:val="Heading1"/>
      </w:pPr>
      <w:r>
        <w:t xml:space="preserve">Introduction</w:t>
      </w:r>
    </w:p>
    <w:p>
      <w:pPr>
        <w:pStyle w:val="FirstParagraph"/>
      </w:pPr>
      <w:r>
        <w:t xml:space="preserve">Healthcare information systems manage some of the most sensitive data in modern society. A single electronic health record (EHR) contains demographics, diagnoses, medications, lab results, imaging studies, and behavioral health information whose unauthorized disclosure can cause irreparable harm. In the United States alone, the Department of Health and Human Services reported over 700 major data breaches affecting more than 170 million records in the two-year period 2022–2024. The regulatory landscape—spanning HIPAA </w:t>
      </w:r>
      <w:r>
        <w:t xml:space="preserve">(U.S. Congress 1996)</w:t>
      </w:r>
      <w:r>
        <w:t xml:space="preserve">, HITECH </w:t>
      </w:r>
      <w:r>
        <w:t xml:space="preserve">(U.S. Department of Health and Human Services 2009)</w:t>
      </w:r>
      <w:r>
        <w:t xml:space="preserve">, 42 CFR Part 2 </w:t>
      </w:r>
      <w:r>
        <w:t xml:space="preserve">(Substance Abuse and Mental Health Services Administration 2020)</w:t>
      </w:r>
      <w:r>
        <w:t xml:space="preserve">, GINA </w:t>
      </w:r>
      <w:r>
        <w:t xml:space="preserve">(U.S. Congress 2008)</w:t>
      </w:r>
      <w:r>
        <w:t xml:space="preserve">, and the European GDPR </w:t>
      </w:r>
      <w:r>
        <w:t xml:space="preserve">(European Parliament 2016)</w:t>
      </w:r>
      <w:r>
        <w:t xml:space="preserve">—imposes strict requirements on the confidentiality, integrity, and availability of protected health information (PHI).</w:t>
      </w:r>
    </w:p>
    <w:p>
      <w:pPr>
        <w:pStyle w:val="BodyText"/>
      </w:pPr>
      <w:r>
        <w:t xml:space="preserve">Simultaneously, the cryptographic foundations underpinning healthcare IT are under existential threat. Shor’s algorithm, when executed on a sufficiently powerful quantum computer, will break RSA, Diffie–Hellman, and elliptic-curve cryptography in polynomial time. While estimates for fault-tolerant quantum computers vary, the</w:t>
      </w:r>
      <w:r>
        <w:t xml:space="preserve"> </w:t>
      </w:r>
      <w:r>
        <w:t xml:space="preserve">“harvest-now, decrypt-later”</w:t>
      </w:r>
      <w:r>
        <w:t xml:space="preserve"> </w:t>
      </w:r>
      <w:r>
        <w:t xml:space="preserve">attack model is already relevant: adversaries can intercept and store encrypted health records today, decrypting them when quantum hardware matures. Given that health records retain sensitivity for decades—genetic information is immutable, and mental health histories carry lifelong consequences—the window for migration to quantum-resistant cryptography is closing.</w:t>
      </w:r>
    </w:p>
    <w:p>
      <w:pPr>
        <w:pStyle w:val="BodyText"/>
      </w:pPr>
      <w:r>
        <w:t xml:space="preserve">The finalization of NIST post-quantum cryptographic standards in 2024—</w:t>
      </w:r>
      <w:r>
        <w:t xml:space="preserve">ML-KEM</w:t>
      </w:r>
      <w:r>
        <w:t xml:space="preserve"> </w:t>
      </w:r>
      <w:r>
        <w:t xml:space="preserve">(FIPS 203) </w:t>
      </w:r>
      <w:r>
        <w:t xml:space="preserve">(National Institute of Standards and Technology 2024b)</w:t>
      </w:r>
      <w:r>
        <w:t xml:space="preserve"> </w:t>
      </w:r>
      <w:r>
        <w:t xml:space="preserve">for key encapsulation and</w:t>
      </w:r>
      <w:r>
        <w:t xml:space="preserve"> </w:t>
      </w:r>
      <w:r>
        <w:t xml:space="preserve">ML-DSA</w:t>
      </w:r>
      <w:r>
        <w:t xml:space="preserve"> </w:t>
      </w:r>
      <w:r>
        <w:t xml:space="preserve">(FIPS 204) </w:t>
      </w:r>
      <w:r>
        <w:t xml:space="preserve">(National Institute of Standards and Technology 2024a)</w:t>
      </w:r>
      <w:r>
        <w:t xml:space="preserve"> </w:t>
      </w:r>
      <w:r>
        <w:t xml:space="preserve">for digital signatures—provides the algorithmic building blocks for this transition. However, the healthcare domain imposes requirements that extend far beyond basic encryption and signing:</w:t>
      </w:r>
    </w:p>
    <w:p>
      <w:pPr>
        <w:numPr>
          <w:ilvl w:val="0"/>
          <w:numId w:val="1001"/>
        </w:numPr>
      </w:pPr>
      <w:r>
        <w:rPr>
          <w:b/>
          <w:bCs/>
        </w:rPr>
        <w:t xml:space="preserve">Delegated access.</w:t>
      </w:r>
      <w:r>
        <w:t xml:space="preserve"> </w:t>
      </w:r>
      <w:r>
        <w:t xml:space="preserve">EHR transfer between providers, specialist referrals, and insurance claims require ciphertext transformation without exposing plaintext to intermediaries.</w:t>
      </w:r>
    </w:p>
    <w:p>
      <w:pPr>
        <w:numPr>
          <w:ilvl w:val="0"/>
          <w:numId w:val="1001"/>
        </w:numPr>
      </w:pPr>
      <w:r>
        <w:rPr>
          <w:b/>
          <w:bCs/>
        </w:rPr>
        <w:t xml:space="preserve">Computation on encrypted data.</w:t>
      </w:r>
      <w:r>
        <w:t xml:space="preserve"> </w:t>
      </w:r>
      <w:r>
        <w:t xml:space="preserve">Population health analytics, clinical trials, and real-time vital sign monitoring demand statistical computation without decrypting individual patient data.</w:t>
      </w:r>
    </w:p>
    <w:p>
      <w:pPr>
        <w:numPr>
          <w:ilvl w:val="0"/>
          <w:numId w:val="1001"/>
        </w:numPr>
      </w:pPr>
      <w:r>
        <w:rPr>
          <w:b/>
          <w:bCs/>
        </w:rPr>
        <w:t xml:space="preserve">Selective disclosure.</w:t>
      </w:r>
      <w:r>
        <w:t xml:space="preserve"> </w:t>
      </w:r>
      <w:r>
        <w:t xml:space="preserve">Patients must present verifiable health attestations—vaccination records, lab results, prescriptions—while revealing only the minimum necessary information.</w:t>
      </w:r>
    </w:p>
    <w:p>
      <w:pPr>
        <w:numPr>
          <w:ilvl w:val="0"/>
          <w:numId w:val="1001"/>
        </w:numPr>
      </w:pPr>
      <w:r>
        <w:rPr>
          <w:b/>
          <w:bCs/>
        </w:rPr>
        <w:t xml:space="preserve">Device constraints.</w:t>
      </w:r>
      <w:r>
        <w:t xml:space="preserve"> </w:t>
      </w:r>
      <w:r>
        <w:t xml:space="preserve">Implantable medical devices such as pacemakers and insulin pumps operate with as little as 32–64 KB of RAM and decade-long battery requirements, precluding standard PQC implementations.</w:t>
      </w:r>
    </w:p>
    <w:bookmarkStart w:id="9" w:name="contributions"/>
    <w:p>
      <w:pPr>
        <w:pStyle w:val="Heading2"/>
      </w:pPr>
      <w:r>
        <w:t xml:space="preserve">Contributions</w:t>
      </w:r>
    </w:p>
    <w:p>
      <w:pPr>
        <w:pStyle w:val="FirstParagraph"/>
      </w:pPr>
      <w:r>
        <w:t xml:space="preserve">This paper makes the following contributions:</w:t>
      </w:r>
    </w:p>
    <w:p>
      <w:pPr>
        <w:numPr>
          <w:ilvl w:val="0"/>
          <w:numId w:val="1002"/>
        </w:numPr>
      </w:pPr>
      <w:r>
        <w:t xml:space="preserve">We design a</w:t>
      </w:r>
      <w:r>
        <w:t xml:space="preserve"> </w:t>
      </w:r>
      <w:r>
        <w:rPr>
          <w:b/>
          <w:bCs/>
        </w:rPr>
        <w:t xml:space="preserve">lattice-based proxy re-encryption scheme</w:t>
      </w:r>
      <w:r>
        <w:t xml:space="preserve"> </w:t>
      </w:r>
      <w:r>
        <w:t xml:space="preserve">for EHR transfer using</w:t>
      </w:r>
      <w:r>
        <w:t xml:space="preserve"> </w:t>
      </w:r>
      <w:r>
        <w:t xml:space="preserve">ML-KEM</w:t>
      </w:r>
      <w:r>
        <w:t xml:space="preserve">-768, supporting six consent types, category-specific access control for 12 record categories (including restricted categories under 42 CFR Part 2 and GINA), and a HIPAA-compliant cryptographic audit trail.</w:t>
      </w:r>
    </w:p>
    <w:p>
      <w:pPr>
        <w:numPr>
          <w:ilvl w:val="0"/>
          <w:numId w:val="1002"/>
        </w:numPr>
      </w:pPr>
      <w:r>
        <w:t xml:space="preserve">We present a</w:t>
      </w:r>
      <w:r>
        <w:t xml:space="preserve"> </w:t>
      </w:r>
      <w:r>
        <w:rPr>
          <w:b/>
          <w:bCs/>
        </w:rPr>
        <w:t xml:space="preserve">Paillier-like additively homomorphic encryption scheme</w:t>
      </w:r>
      <w:r>
        <w:t xml:space="preserve"> </w:t>
      </w:r>
      <w:r>
        <w:t xml:space="preserve">under lattice assumptions for vital signs analytics, supporting encrypted summation, scalar multiplication, and integrated Laplace-mechanism differential privacy for seven vital sign types with configurable privacy budget</w:t>
      </w:r>
      <w:r>
        <w:t xml:space="preserve"> </w:t>
      </w:r>
      <m:oMath>
        <m:r>
          <m:t>ε</m:t>
        </m:r>
      </m:oMath>
      <w:r>
        <w:t xml:space="preserve">.</w:t>
      </w:r>
    </w:p>
    <w:p>
      <w:pPr>
        <w:numPr>
          <w:ilvl w:val="0"/>
          <w:numId w:val="1002"/>
        </w:numPr>
      </w:pPr>
      <w:r>
        <w:t xml:space="preserve">We construct</w:t>
      </w:r>
      <w:r>
        <w:t xml:space="preserve"> </w:t>
      </w:r>
      <w:r>
        <w:rPr>
          <w:b/>
          <w:bCs/>
        </w:rPr>
        <w:t xml:space="preserve">post-quantum verifiable health credentials</w:t>
      </w:r>
      <w:r>
        <w:t xml:space="preserve"> </w:t>
      </w:r>
      <w:r>
        <w:t xml:space="preserve">conforming to the W3C VC 2.0 data model with</w:t>
      </w:r>
      <w:r>
        <w:t xml:space="preserve"> </w:t>
      </w:r>
      <w:r>
        <w:t xml:space="preserve">ML-DSA</w:t>
      </w:r>
      <w:r>
        <w:t xml:space="preserve">-65 issuer signatures, Merkle-tree selective disclosure, zero-knowledge predicate proofs, and accumulator-based</w:t>
      </w:r>
      <w:r>
        <w:t xml:space="preserve"> </w:t>
      </w:r>
      <m:oMath>
        <m:r>
          <m:t>O</m:t>
        </m:r>
        <m:r>
          <m:rPr>
            <m:sty m:val="p"/>
          </m:rPr>
          <m:t>(</m:t>
        </m:r>
        <m:r>
          <m:t>1</m:t>
        </m:r>
        <m:r>
          <m:rPr>
            <m:sty m:val="p"/>
          </m:rPr>
          <m:t>)</m:t>
        </m:r>
      </m:oMath>
      <w:r>
        <w:t xml:space="preserve"> </w:t>
      </w:r>
      <w:r>
        <w:t xml:space="preserve">revocation for seven credential types.</w:t>
      </w:r>
    </w:p>
    <w:p>
      <w:pPr>
        <w:numPr>
          <w:ilvl w:val="0"/>
          <w:numId w:val="1002"/>
        </w:numPr>
      </w:pPr>
      <w:r>
        <w:t xml:space="preserve">We develop a</w:t>
      </w:r>
      <w:r>
        <w:t xml:space="preserve"> </w:t>
      </w:r>
      <w:r>
        <w:rPr>
          <w:b/>
          <w:bCs/>
        </w:rPr>
        <w:t xml:space="preserve">lightweight PQC framework</w:t>
      </w:r>
      <w:r>
        <w:t xml:space="preserve"> </w:t>
      </w:r>
      <w:r>
        <w:t xml:space="preserve">for constrained medical devices, defining four memory tiers with device-specific profiles and optimization strategies including pre-computation, session key caching, and deferred verification.</w:t>
      </w:r>
    </w:p>
    <w:p>
      <w:pPr>
        <w:numPr>
          <w:ilvl w:val="0"/>
          <w:numId w:val="1002"/>
        </w:numPr>
      </w:pPr>
      <w:r>
        <w:t xml:space="preserve">We provide</w:t>
      </w:r>
      <w:r>
        <w:t xml:space="preserve"> </w:t>
      </w:r>
      <w:r>
        <w:rPr>
          <w:b/>
          <w:bCs/>
        </w:rPr>
        <w:t xml:space="preserve">formal security analysis</w:t>
      </w:r>
      <w:r>
        <w:t xml:space="preserve"> </w:t>
      </w:r>
      <w:r>
        <w:t xml:space="preserve">reducing to standard lattice assumptions and</w:t>
      </w:r>
      <w:r>
        <w:t xml:space="preserve"> </w:t>
      </w:r>
      <w:r>
        <w:rPr>
          <w:b/>
          <w:bCs/>
        </w:rPr>
        <w:t xml:space="preserve">comprehensive performance benchmarks</w:t>
      </w:r>
      <w:r>
        <w:t xml:space="preserve"> </w:t>
      </w:r>
      <w:r>
        <w:t xml:space="preserve">demonstrating practical deployability.</w:t>
      </w:r>
    </w:p>
    <w:bookmarkEnd w:id="9"/>
    <w:bookmarkStart w:id="10" w:name="paper-organization"/>
    <w:p>
      <w:pPr>
        <w:pStyle w:val="Heading2"/>
      </w:pPr>
      <w:r>
        <w:t xml:space="preserve">Paper Organization</w:t>
      </w:r>
    </w:p>
    <w:p>
      <w:pPr>
        <w:pStyle w:val="FirstParagraph"/>
      </w:pPr>
      <w:r>
        <w:t xml:space="preserve">Section </w:t>
      </w:r>
      <w:hyperlink w:anchor="sec:background">
        <w:r>
          <w:rPr>
            <w:rStyle w:val="Hyperlink"/>
          </w:rPr>
          <w:t xml:space="preserve">2</w:t>
        </w:r>
      </w:hyperlink>
      <w:r>
        <w:t xml:space="preserve"> </w:t>
      </w:r>
      <w:r>
        <w:t xml:space="preserve">reviews regulatory frameworks, healthcare interoperability standards, and cryptographic prerequisites. Section </w:t>
      </w:r>
      <w:hyperlink w:anchor="sec:system_model">
        <w:r>
          <w:rPr>
            <w:rStyle w:val="Hyperlink"/>
          </w:rPr>
          <w:t xml:space="preserve">3</w:t>
        </w:r>
      </w:hyperlink>
      <w:r>
        <w:t xml:space="preserve"> </w:t>
      </w:r>
      <w:r>
        <w:t xml:space="preserve">defines the system model and threat model. Sections </w:t>
      </w:r>
      <w:hyperlink w:anchor="sec:pre">
        <w:r>
          <w:rPr>
            <w:rStyle w:val="Hyperlink"/>
          </w:rPr>
          <w:t xml:space="preserve">4</w:t>
        </w:r>
      </w:hyperlink>
      <w:r>
        <w:t xml:space="preserve">–</w:t>
      </w:r>
      <w:hyperlink w:anchor="sec:lightweight">
        <w:r>
          <w:rPr>
            <w:rStyle w:val="Hyperlink"/>
          </w:rPr>
          <w:t xml:space="preserve">7</w:t>
        </w:r>
      </w:hyperlink>
      <w:r>
        <w:t xml:space="preserve"> </w:t>
      </w:r>
      <w:r>
        <w:t xml:space="preserve">present the four constructions. Section </w:t>
      </w:r>
      <w:hyperlink w:anchor="sec:security">
        <w:r>
          <w:rPr>
            <w:rStyle w:val="Hyperlink"/>
          </w:rPr>
          <w:t xml:space="preserve">8</w:t>
        </w:r>
      </w:hyperlink>
      <w:r>
        <w:t xml:space="preserve"> </w:t>
      </w:r>
      <w:r>
        <w:t xml:space="preserve">provides formal security analysis. Section </w:t>
      </w:r>
      <w:hyperlink w:anchor="sec:performance">
        <w:r>
          <w:rPr>
            <w:rStyle w:val="Hyperlink"/>
          </w:rPr>
          <w:t xml:space="preserve">9</w:t>
        </w:r>
      </w:hyperlink>
      <w:r>
        <w:t xml:space="preserve"> </w:t>
      </w:r>
      <w:r>
        <w:t xml:space="preserve">reports performance evaluation. Section </w:t>
      </w:r>
      <w:hyperlink w:anchor="sec:related">
        <w:r>
          <w:rPr>
            <w:rStyle w:val="Hyperlink"/>
          </w:rPr>
          <w:t xml:space="preserve">10</w:t>
        </w:r>
      </w:hyperlink>
      <w:r>
        <w:t xml:space="preserve"> </w:t>
      </w:r>
      <w:r>
        <w:t xml:space="preserve">surveys related work, and Section </w:t>
      </w:r>
      <w:hyperlink w:anchor="sec:conclusion">
        <w:r>
          <w:rPr>
            <w:rStyle w:val="Hyperlink"/>
          </w:rPr>
          <w:t xml:space="preserve">11</w:t>
        </w:r>
      </w:hyperlink>
      <w:r>
        <w:t xml:space="preserve"> </w:t>
      </w:r>
      <w:r>
        <w:t xml:space="preserve">concludes.</w:t>
      </w:r>
    </w:p>
    <w:bookmarkEnd w:id="10"/>
    <w:bookmarkEnd w:id="11"/>
    <w:bookmarkStart w:id="18" w:name="sec:background"/>
    <w:p>
      <w:pPr>
        <w:pStyle w:val="Heading1"/>
      </w:pPr>
      <w:r>
        <w:t xml:space="preserve">Background</w:t>
      </w:r>
    </w:p>
    <w:bookmarkStart w:id="12" w:name="healthcare-regulatory-landscape"/>
    <w:p>
      <w:pPr>
        <w:pStyle w:val="Heading2"/>
      </w:pPr>
      <w:r>
        <w:t xml:space="preserve">Healthcare Regulatory Landscape</w:t>
      </w:r>
    </w:p>
    <w:p>
      <w:pPr>
        <w:pStyle w:val="FirstParagraph"/>
      </w:pPr>
      <w:r>
        <w:t xml:space="preserve">The Health Insurance Portability and Accountability Act (HIPAA) </w:t>
      </w:r>
      <w:r>
        <w:t xml:space="preserve">(U.S. Congress 1996)</w:t>
      </w:r>
      <w:r>
        <w:t xml:space="preserve"> </w:t>
      </w:r>
      <w:r>
        <w:t xml:space="preserve">establishes the Privacy Rule and Security Rule governing the use and disclosure of protected health information (PHI). The Security Rule mandates administrative, physical, and technical safeguards, including encryption of PHI both at rest and in transit. The HITECH Act </w:t>
      </w:r>
      <w:r>
        <w:t xml:space="preserve">(U.S. Department of Health and Human Services 2009)</w:t>
      </w:r>
      <w:r>
        <w:t xml:space="preserve"> </w:t>
      </w:r>
      <w:r>
        <w:t xml:space="preserve">strengthened HIPAA with breach notification requirements and meaningful-use incentives that accelerated EHR adoption.</w:t>
      </w:r>
    </w:p>
    <w:p>
      <w:pPr>
        <w:pStyle w:val="BodyText"/>
      </w:pPr>
      <w:r>
        <w:t xml:space="preserve">Certain categories of health information receive heightened protection. Substance abuse treatment records are governed by 42 CFR Part 2 </w:t>
      </w:r>
      <w:r>
        <w:t xml:space="preserve">(Substance Abuse and Mental Health Services Administration 2020)</w:t>
      </w:r>
      <w:r>
        <w:t xml:space="preserve">, which restricts disclosure even for treatment purposes without explicit patient consent. Genetic information is protected under the Genetic Information Nondiscrimination Act (GINA) </w:t>
      </w:r>
      <w:r>
        <w:t xml:space="preserve">(U.S. Congress 2008)</w:t>
      </w:r>
      <w:r>
        <w:t xml:space="preserve">, which prohibits discrimination based on genetic data in insurance and employment. The European GDPR </w:t>
      </w:r>
      <w:r>
        <w:t xml:space="preserve">(European Parliament 2016)</w:t>
      </w:r>
      <w:r>
        <w:t xml:space="preserve"> </w:t>
      </w:r>
      <w:r>
        <w:t xml:space="preserve">classifies health data as</w:t>
      </w:r>
      <w:r>
        <w:t xml:space="preserve"> </w:t>
      </w:r>
      <w:r>
        <w:t xml:space="preserve">“special category”</w:t>
      </w:r>
      <w:r>
        <w:t xml:space="preserve"> </w:t>
      </w:r>
      <w:r>
        <w:t xml:space="preserve">data requiring explicit consent, data minimization, and the right to data portability (Article 20).</w:t>
      </w:r>
    </w:p>
    <w:bookmarkEnd w:id="12"/>
    <w:bookmarkStart w:id="13" w:name="health-it-interoperability"/>
    <w:p>
      <w:pPr>
        <w:pStyle w:val="Heading2"/>
      </w:pPr>
      <w:r>
        <w:t xml:space="preserve">Health IT Interoperability</w:t>
      </w:r>
    </w:p>
    <w:p>
      <w:pPr>
        <w:pStyle w:val="FirstParagraph"/>
      </w:pPr>
      <w:r>
        <w:t xml:space="preserve">The HL7 Fast Healthcare Interoperability Resources (FHIR) </w:t>
      </w:r>
      <w:r>
        <w:t xml:space="preserve">(HL7 International 2019)</w:t>
      </w:r>
      <w:r>
        <w:t xml:space="preserve"> </w:t>
      </w:r>
      <w:r>
        <w:t xml:space="preserve">standard defines RESTful APIs for exchanging clinical data between systems. FHIR resources such as</w:t>
      </w:r>
      <w:r>
        <w:t xml:space="preserve"> </w:t>
      </w:r>
      <w:r>
        <w:rPr>
          <w:rStyle w:val="VerbatimChar"/>
        </w:rPr>
        <w:t xml:space="preserve">Patient</w:t>
      </w:r>
      <w:r>
        <w:t xml:space="preserve">,</w:t>
      </w:r>
      <w:r>
        <w:t xml:space="preserve"> </w:t>
      </w:r>
      <w:r>
        <w:rPr>
          <w:rStyle w:val="VerbatimChar"/>
        </w:rPr>
        <w:t xml:space="preserve">Observation</w:t>
      </w:r>
      <w:r>
        <w:t xml:space="preserve"> </w:t>
      </w:r>
      <w:r>
        <w:t xml:space="preserve">(vital signs),</w:t>
      </w:r>
      <w:r>
        <w:t xml:space="preserve"> </w:t>
      </w:r>
      <w:r>
        <w:rPr>
          <w:rStyle w:val="VerbatimChar"/>
        </w:rPr>
        <w:t xml:space="preserve">DiagnosticReport</w:t>
      </w:r>
      <w:r>
        <w:t xml:space="preserve">, and</w:t>
      </w:r>
      <w:r>
        <w:t xml:space="preserve"> </w:t>
      </w:r>
      <w:r>
        <w:rPr>
          <w:rStyle w:val="VerbatimChar"/>
        </w:rPr>
        <w:t xml:space="preserve">ImmunizationRecord</w:t>
      </w:r>
      <w:r>
        <w:t xml:space="preserve"> </w:t>
      </w:r>
      <w:r>
        <w:t xml:space="preserve">provide the structural framework for the data objects encrypted in our constructions. The SMART Health Cards (SHC) </w:t>
      </w:r>
      <w:r>
        <w:t xml:space="preserve">(VCI Consortium 2021)</w:t>
      </w:r>
      <w:r>
        <w:t xml:space="preserve"> </w:t>
      </w:r>
      <w:r>
        <w:t xml:space="preserve">framework builds on FHIR to enable verifiable clinical documents.</w:t>
      </w:r>
    </w:p>
    <w:bookmarkEnd w:id="13"/>
    <w:bookmarkStart w:id="14" w:name="proxy-re-encryption"/>
    <w:p>
      <w:pPr>
        <w:pStyle w:val="Heading2"/>
      </w:pPr>
      <w:r>
        <w:t xml:space="preserve">Proxy Re-Encryption</w:t>
      </w:r>
    </w:p>
    <w:p>
      <w:pPr>
        <w:pStyle w:val="FirstParagraph"/>
      </w:pPr>
      <w:r>
        <w:t xml:space="preserve">Proxy re-encryption (PRE) was introduced by Blaze, Bleumer, and Strauss </w:t>
      </w:r>
      <w:r>
        <w:t xml:space="preserve">(Blaze et al. 1998)</w:t>
      </w:r>
      <w:r>
        <w:t xml:space="preserve"> </w:t>
      </w:r>
      <w:r>
        <w:t xml:space="preserve">and substantially improved by Ateniese et al. </w:t>
      </w:r>
      <w:r>
        <w:t xml:space="preserve">(Ateniese et al. 2006)</w:t>
      </w:r>
      <w:r>
        <w:t xml:space="preserve">. A PRE scheme enables a semi-trusted proxy to transform ciphertext encrypted under key </w:t>
      </w:r>
      <m:oMath>
        <m:r>
          <m:t>A</m:t>
        </m:r>
      </m:oMath>
      <w:r>
        <w:t xml:space="preserve"> </w:t>
      </w:r>
      <w:r>
        <w:t xml:space="preserve">into ciphertext decryptable by key </w:t>
      </w:r>
      <m:oMath>
        <m:r>
          <m:t>B</m:t>
        </m:r>
      </m:oMath>
      <w:r>
        <w:t xml:space="preserve"> </w:t>
      </w:r>
      <w:r>
        <w:t xml:space="preserve">without the proxy learning the underlying plaintext. This property is uniquely suited to healthcare, where EHR transfer between providers must not expose records to the health information exchange (HIE) infrastructure.</w:t>
      </w:r>
    </w:p>
    <w:p>
      <w:pPr>
        <w:pStyle w:val="BodyText"/>
      </w:pPr>
      <w:r>
        <w:t xml:space="preserve">Post-quantum PRE constructions have been explored using NTRU </w:t>
      </w:r>
      <w:r>
        <w:t xml:space="preserve">(Nuñez et al. 2015)</w:t>
      </w:r>
      <w:r>
        <w:t xml:space="preserve"> </w:t>
      </w:r>
      <w:r>
        <w:t xml:space="preserve">and general lattice-based assumptions </w:t>
      </w:r>
      <w:r>
        <w:t xml:space="preserve">(Singh et al. 2020; Polyakov et al. 2017)</w:t>
      </w:r>
      <w:r>
        <w:t xml:space="preserve">. Our construction instantiates PRE from</w:t>
      </w:r>
      <w:r>
        <w:t xml:space="preserve"> </w:t>
      </w:r>
      <w:r>
        <w:t xml:space="preserve">ML-KEM</w:t>
      </w:r>
      <w:r>
        <w:t xml:space="preserve">-768 with</w:t>
      </w:r>
      <w:r>
        <w:t xml:space="preserve"> </w:t>
      </w:r>
      <w:r>
        <w:t xml:space="preserve">SHAKE256</w:t>
      </w:r>
      <w:r>
        <w:t xml:space="preserve">-based key derivation, achieving a practical scheme compatible with FIPS 203 and FIPS 140-3 validation requirements.</w:t>
      </w:r>
    </w:p>
    <w:bookmarkEnd w:id="14"/>
    <w:bookmarkStart w:id="15" w:name="homomorphic-encryption"/>
    <w:p>
      <w:pPr>
        <w:pStyle w:val="Heading2"/>
      </w:pPr>
      <w:r>
        <w:t xml:space="preserve">Homomorphic Encryption</w:t>
      </w:r>
    </w:p>
    <w:p>
      <w:pPr>
        <w:pStyle w:val="FirstParagraph"/>
      </w:pPr>
      <w:r>
        <w:t xml:space="preserve">Additively homomorphic encryption, exemplified by the Paillier cryptosystem </w:t>
      </w:r>
      <w:r>
        <w:t xml:space="preserve">(Paillier 1999)</w:t>
      </w:r>
      <w:r>
        <w:t xml:space="preserve">, supports operations</w:t>
      </w:r>
      <w:r>
        <w:t xml:space="preserve"> </w:t>
      </w:r>
      <m:oMath>
        <m:r>
          <m:rPr>
            <m:scr m:val="sans-serif"/>
            <m:sty m:val="p"/>
          </m:rPr>
          <m:t>E</m:t>
        </m:r>
        <m:r>
          <m:rPr>
            <m:scr m:val="sans-serif"/>
            <m:sty m:val="p"/>
          </m:rPr>
          <m:t>n</m:t>
        </m:r>
        <m:r>
          <m:rPr>
            <m:scr m:val="sans-serif"/>
            <m:sty m:val="p"/>
          </m:rPr>
          <m:t>c</m:t>
        </m:r>
        <m:r>
          <m:rPr>
            <m:sty m:val="p"/>
          </m:rPr>
          <m:t>(</m:t>
        </m:r>
        <m:sSub>
          <m:e>
            <m:r>
              <m:t>m</m:t>
            </m:r>
          </m:e>
          <m:sub>
            <m:r>
              <m:t>1</m:t>
            </m:r>
          </m:sub>
        </m:sSub>
        <m:r>
          <m:rPr>
            <m:sty m:val="p"/>
          </m:rPr>
          <m:t>)</m:t>
        </m:r>
        <m:r>
          <m:rPr>
            <m:sty m:val="p"/>
          </m:rPr>
          <m:t>⋅</m:t>
        </m:r>
        <m:r>
          <m:rPr>
            <m:scr m:val="sans-serif"/>
            <m:sty m:val="p"/>
          </m:rPr>
          <m:t>E</m:t>
        </m:r>
        <m:r>
          <m:rPr>
            <m:scr m:val="sans-serif"/>
            <m:sty m:val="p"/>
          </m:rPr>
          <m:t>n</m:t>
        </m:r>
        <m:r>
          <m:rPr>
            <m:scr m:val="sans-serif"/>
            <m:sty m:val="p"/>
          </m:rPr>
          <m:t>c</m:t>
        </m:r>
        <m:r>
          <m:rPr>
            <m:sty m:val="p"/>
          </m:rPr>
          <m:t>(</m:t>
        </m:r>
        <m:sSub>
          <m:e>
            <m:r>
              <m:t>m</m:t>
            </m:r>
          </m:e>
          <m:sub>
            <m:r>
              <m:t>2</m:t>
            </m:r>
          </m:sub>
        </m:sSub>
        <m:r>
          <m:rPr>
            <m:sty m:val="p"/>
          </m:rPr>
          <m:t>)</m:t>
        </m:r>
        <m:r>
          <m:rPr>
            <m:sty m:val="p"/>
          </m:rPr>
          <m:t>=</m:t>
        </m:r>
        <m:r>
          <m:rPr>
            <m:scr m:val="sans-serif"/>
            <m:sty m:val="p"/>
          </m:rPr>
          <m:t>E</m:t>
        </m:r>
        <m:r>
          <m:rPr>
            <m:scr m:val="sans-serif"/>
            <m:sty m:val="p"/>
          </m:rPr>
          <m:t>n</m:t>
        </m:r>
        <m:r>
          <m:rPr>
            <m:scr m:val="sans-serif"/>
            <m:sty m:val="p"/>
          </m:rPr>
          <m:t>c</m:t>
        </m:r>
        <m:r>
          <m:rPr>
            <m:sty m:val="p"/>
          </m:rPr>
          <m:t>(</m:t>
        </m:r>
        <m:sSub>
          <m:e>
            <m:r>
              <m:t>m</m:t>
            </m:r>
          </m:e>
          <m:sub>
            <m:r>
              <m:t>1</m:t>
            </m:r>
          </m:sub>
        </m:sSub>
        <m:r>
          <m:rPr>
            <m:sty m:val="p"/>
          </m:rPr>
          <m:t>+</m:t>
        </m:r>
        <m:sSub>
          <m:e>
            <m:r>
              <m:t>m</m:t>
            </m:r>
          </m:e>
          <m:sub>
            <m:r>
              <m:t>2</m:t>
            </m:r>
          </m:sub>
        </m:sSub>
        <m:r>
          <m:rPr>
            <m:sty m:val="p"/>
          </m:rPr>
          <m:t>)</m:t>
        </m:r>
      </m:oMath>
      <w:r>
        <w:t xml:space="preserve"> </w:t>
      </w:r>
      <w:r>
        <w:t xml:space="preserve">and</w:t>
      </w:r>
      <w:r>
        <w:t xml:space="preserve"> </w:t>
      </w:r>
      <m:oMath>
        <m:r>
          <m:rPr>
            <m:scr m:val="sans-serif"/>
            <m:sty m:val="p"/>
          </m:rPr>
          <m:t>E</m:t>
        </m:r>
        <m:r>
          <m:rPr>
            <m:scr m:val="sans-serif"/>
            <m:sty m:val="p"/>
          </m:rPr>
          <m:t>n</m:t>
        </m:r>
        <m:r>
          <m:rPr>
            <m:scr m:val="sans-serif"/>
            <m:sty m:val="p"/>
          </m:rPr>
          <m:t>c</m:t>
        </m:r>
        <m:r>
          <m:rPr>
            <m:sty m:val="p"/>
          </m:rPr>
          <m:t>(</m:t>
        </m:r>
        <m:r>
          <m:t>m</m:t>
        </m:r>
        <m:sSup>
          <m:e>
            <m:r>
              <m:rPr>
                <m:sty m:val="p"/>
              </m:rPr>
              <m:t>)</m:t>
            </m:r>
          </m:e>
          <m:sup>
            <m:r>
              <m:t>k</m:t>
            </m:r>
          </m:sup>
        </m:sSup>
        <m:r>
          <m:rPr>
            <m:sty m:val="p"/>
          </m:rPr>
          <m:t>=</m:t>
        </m:r>
        <m:r>
          <m:rPr>
            <m:scr m:val="sans-serif"/>
            <m:sty m:val="p"/>
          </m:rPr>
          <m:t>E</m:t>
        </m:r>
        <m:r>
          <m:rPr>
            <m:scr m:val="sans-serif"/>
            <m:sty m:val="p"/>
          </m:rPr>
          <m:t>n</m:t>
        </m:r>
        <m:r>
          <m:rPr>
            <m:scr m:val="sans-serif"/>
            <m:sty m:val="p"/>
          </m:rPr>
          <m:t>c</m:t>
        </m:r>
        <m:r>
          <m:rPr>
            <m:sty m:val="p"/>
          </m:rPr>
          <m:t>(</m:t>
        </m:r>
        <m:r>
          <m:t>k</m:t>
        </m:r>
        <m:r>
          <m:rPr>
            <m:sty m:val="p"/>
          </m:rPr>
          <m:t>⋅</m:t>
        </m:r>
        <m:r>
          <m:t>m</m:t>
        </m:r>
        <m:r>
          <m:rPr>
            <m:sty m:val="p"/>
          </m:rPr>
          <m:t>)</m:t>
        </m:r>
      </m:oMath>
      <w:r>
        <w:t xml:space="preserve"> </w:t>
      </w:r>
      <w:r>
        <w:t xml:space="preserve">without decryption. While fully homomorphic encryption (FHE) </w:t>
      </w:r>
      <w:r>
        <w:t xml:space="preserve">(Gentry 2009)</w:t>
      </w:r>
      <w:r>
        <w:t xml:space="preserve"> </w:t>
      </w:r>
      <w:r>
        <w:t xml:space="preserve">supports arbitrary computations, its overhead remains prohibitive for real-time medical device telemetry. The CKKS scheme </w:t>
      </w:r>
      <w:r>
        <w:t xml:space="preserve">(Cheon et al. 2017)</w:t>
      </w:r>
      <w:r>
        <w:t xml:space="preserve"> </w:t>
      </w:r>
      <w:r>
        <w:t xml:space="preserve">enables approximate arithmetic on encrypted data and has been applied to genomic analysis </w:t>
      </w:r>
      <w:r>
        <w:t xml:space="preserve">(Kim et al. 2020)</w:t>
      </w:r>
      <w:r>
        <w:t xml:space="preserve">. Our vital signs analytics engine employs a Paillier-like scheme with 2048-bit keys, providing a practical trade-off between expressiveness and efficiency for the aggregation workloads characteristic of population health monitoring.</w:t>
      </w:r>
    </w:p>
    <w:bookmarkEnd w:id="15"/>
    <w:bookmarkStart w:id="16" w:name="X3d26e4b3a9ad9f122b2754d16e3a16f4bc468b9"/>
    <w:p>
      <w:pPr>
        <w:pStyle w:val="Heading2"/>
      </w:pPr>
      <w:r>
        <w:t xml:space="preserve">Verifiable Credentials and Selective Disclosure</w:t>
      </w:r>
    </w:p>
    <w:p>
      <w:pPr>
        <w:pStyle w:val="FirstParagraph"/>
      </w:pPr>
      <w:r>
        <w:t xml:space="preserve">The W3C Verifiable Credentials Data Model </w:t>
      </w:r>
      <w:r>
        <w:t xml:space="preserve">(W3C 2024)</w:t>
      </w:r>
      <w:r>
        <w:t xml:space="preserve"> </w:t>
      </w:r>
      <w:r>
        <w:t xml:space="preserve">defines a standard format for cryptographically verifiable claims. A credential consists of an issuer, a subject, and a set of claims signed by the issuer. The holder can present a subset of claims to a verifier via a Verifiable Presentation. Decentralized Identifiers (DIDs) </w:t>
      </w:r>
      <w:r>
        <w:t xml:space="preserve">(W3C 2022)</w:t>
      </w:r>
      <w:r>
        <w:t xml:space="preserve"> </w:t>
      </w:r>
      <w:r>
        <w:t xml:space="preserve">provide the identity layer.</w:t>
      </w:r>
    </w:p>
    <w:p>
      <w:pPr>
        <w:pStyle w:val="BodyText"/>
      </w:pPr>
      <w:r>
        <w:t xml:space="preserve">Selective disclosure—revealing only specific claims without exposing the full credential—is achieved through Merkle trees </w:t>
      </w:r>
      <w:r>
        <w:t xml:space="preserve">(Merkle 1989)</w:t>
      </w:r>
      <w:r>
        <w:t xml:space="preserve">. Each claim is hashed as a leaf, and the Merkle root is signed by the issuer. To disclose a claim, the holder provides the claim value and its Merkle inclusion proof. Predicate proofs enable zero-knowledge assertions such as</w:t>
      </w:r>
      <w:r>
        <w:t xml:space="preserve"> </w:t>
      </w:r>
      <w:r>
        <w:t xml:space="preserve">“age</w:t>
      </w:r>
      <w:r>
        <w:t xml:space="preserve"> </w:t>
      </w:r>
      <m:oMath>
        <m:r>
          <m:rPr>
            <m:sty m:val="p"/>
          </m:rPr>
          <m:t>&gt;</m:t>
        </m:r>
      </m:oMath>
      <w:r>
        <w:t xml:space="preserve"> </w:t>
      </w:r>
      <w:r>
        <w:t xml:space="preserve">18”</w:t>
      </w:r>
      <w:r>
        <w:t xml:space="preserve"> </w:t>
      </w:r>
      <w:r>
        <w:t xml:space="preserve">without revealing the exact age, using lattice-based zero-knowledge arguments </w:t>
      </w:r>
      <w:r>
        <w:t xml:space="preserve">(Bootle et al. 2016; Yang et al. 2022)</w:t>
      </w:r>
      <w:r>
        <w:t xml:space="preserve">.</w:t>
      </w:r>
    </w:p>
    <w:bookmarkEnd w:id="16"/>
    <w:bookmarkStart w:id="17" w:name="constrained-device-cryptography"/>
    <w:p>
      <w:pPr>
        <w:pStyle w:val="Heading2"/>
      </w:pPr>
      <w:r>
        <w:t xml:space="preserve">Constrained Device Cryptography</w:t>
      </w:r>
    </w:p>
    <w:p>
      <w:pPr>
        <w:pStyle w:val="FirstParagraph"/>
      </w:pPr>
      <w:r>
        <w:t xml:space="preserve">Medical implantable devices present extreme resource constraints. Halperin et al. </w:t>
      </w:r>
      <w:r>
        <w:t xml:space="preserve">(Halperin et al. 2008)</w:t>
      </w:r>
      <w:r>
        <w:t xml:space="preserve"> </w:t>
      </w:r>
      <w:r>
        <w:t xml:space="preserve">demonstrated radio-based attacks on implantable cardiac defibrillators with only 8 KB of SRAM. Rushanan et al. </w:t>
      </w:r>
      <w:r>
        <w:t xml:space="preserve">(Rushanan et al. 2014)</w:t>
      </w:r>
      <w:r>
        <w:t xml:space="preserve"> </w:t>
      </w:r>
      <w:r>
        <w:t xml:space="preserve">systematically surveyed security and privacy challenges in implantable devices and body area networks. Zheng et al. </w:t>
      </w:r>
      <w:r>
        <w:t xml:space="preserve">(Zheng et al. 2017)</w:t>
      </w:r>
      <w:r>
        <w:t xml:space="preserve"> </w:t>
      </w:r>
      <w:r>
        <w:t xml:space="preserve">analyzed the security requirements of medical IoT ecosystems. These studies motivate our lightweight PQC framework, which adapts algorithm selection and optimization strategies to four memory constraint levels from ultra-constrained (</w:t>
      </w:r>
      <m:oMath>
        <m:r>
          <m:rPr>
            <m:sty m:val="p"/>
          </m:rPr>
          <m:t>&lt;</m:t>
        </m:r>
      </m:oMath>
      <w:r>
        <w:t xml:space="preserve">32 KB) to standard (</w:t>
      </w:r>
      <m:oMath>
        <m:r>
          <m:rPr>
            <m:sty m:val="p"/>
          </m:rPr>
          <m:t>&gt;</m:t>
        </m:r>
      </m:oMath>
      <w:r>
        <w:t xml:space="preserve">256 KB).</w:t>
      </w:r>
    </w:p>
    <w:bookmarkEnd w:id="17"/>
    <w:bookmarkEnd w:id="18"/>
    <w:bookmarkStart w:id="22" w:name="sec:system_model"/>
    <w:p>
      <w:pPr>
        <w:pStyle w:val="Heading1"/>
      </w:pPr>
      <w:r>
        <w:t xml:space="preserve">System Model and Threat Model</w:t>
      </w:r>
    </w:p>
    <w:bookmarkStart w:id="19" w:name="healthcare-ecosystem"/>
    <w:p>
      <w:pPr>
        <w:pStyle w:val="Heading2"/>
      </w:pPr>
      <w:r>
        <w:t xml:space="preserve">Healthcare Ecosystem</w:t>
      </w:r>
    </w:p>
    <w:p>
      <w:pPr>
        <w:pStyle w:val="FirstParagraph"/>
      </w:pPr>
      <w:r>
        <w:t xml:space="preserve">We model the healthcare ecosystem as comprising the following entities:</w:t>
      </w:r>
    </w:p>
    <w:p>
      <w:pPr>
        <w:numPr>
          <w:ilvl w:val="0"/>
          <w:numId w:val="1003"/>
        </w:numPr>
      </w:pPr>
      <w:r>
        <w:rPr>
          <w:b/>
          <w:bCs/>
        </w:rPr>
        <w:t xml:space="preserve">Healthcare providers</w:t>
      </w:r>
      <w:r>
        <w:t xml:space="preserve"> </w:t>
      </w:r>
      <w:r>
        <w:t xml:space="preserve">(</w:t>
      </w:r>
      <m:oMath>
        <m:sSub>
          <m:e>
            <m:r>
              <m:t>P</m:t>
            </m:r>
          </m:e>
          <m:sub>
            <m:r>
              <m:t>1</m:t>
            </m:r>
          </m:sub>
        </m:sSub>
        <m:r>
          <m:rPr>
            <m:sty m:val="p"/>
          </m:rPr>
          <m:t>,</m:t>
        </m:r>
        <m:r>
          <m:rPr>
            <m:sty m:val="p"/>
          </m:rPr>
          <m:t>…</m:t>
        </m:r>
        <m:r>
          <m:rPr>
            <m:sty m:val="p"/>
          </m:rPr>
          <m:t>,</m:t>
        </m:r>
        <m:sSub>
          <m:e>
            <m:r>
              <m:t>P</m:t>
            </m:r>
          </m:e>
          <m:sub>
            <m:r>
              <m:t>n</m:t>
            </m:r>
          </m:sub>
        </m:sSub>
      </m:oMath>
      <w:r>
        <w:t xml:space="preserve">): Hospitals, clinics, and specialist practices that generate, store, and exchange EHRs. Each provider holds a</w:t>
      </w:r>
      <w:r>
        <w:t xml:space="preserve"> </w:t>
      </w:r>
      <w:r>
        <w:t xml:space="preserve">ML-KEM</w:t>
      </w:r>
      <w:r>
        <w:t xml:space="preserve">-768 key pair for encryption and receives re-encryption keys for authorized transfers.</w:t>
      </w:r>
    </w:p>
    <w:p>
      <w:pPr>
        <w:numPr>
          <w:ilvl w:val="0"/>
          <w:numId w:val="1003"/>
        </w:numPr>
      </w:pPr>
      <w:r>
        <w:rPr>
          <w:b/>
          <w:bCs/>
        </w:rPr>
        <w:t xml:space="preserve">Patients</w:t>
      </w:r>
      <w:r>
        <w:t xml:space="preserve"> </w:t>
      </w:r>
      <w:r>
        <w:t xml:space="preserve">(</w:t>
      </w:r>
      <m:oMath>
        <m:r>
          <m:rPr>
            <m:scr m:val="script"/>
            <m:sty m:val="p"/>
          </m:rPr>
          <m:t>U</m:t>
        </m:r>
      </m:oMath>
      <w:r>
        <w:t xml:space="preserve">): Individuals whose health records are protected. Patients grant consent for EHR sharing via consent tokens mapped to one of six consent types.</w:t>
      </w:r>
    </w:p>
    <w:p>
      <w:pPr>
        <w:numPr>
          <w:ilvl w:val="0"/>
          <w:numId w:val="1003"/>
        </w:numPr>
      </w:pPr>
      <w:r>
        <w:rPr>
          <w:b/>
          <w:bCs/>
        </w:rPr>
        <w:t xml:space="preserve">Health Information Exchange (HIE)</w:t>
      </w:r>
      <w:r>
        <w:t xml:space="preserve"> </w:t>
      </w:r>
      <w:r>
        <w:t xml:space="preserve">(</w:t>
      </w:r>
      <m:oMath>
        <m:r>
          <m:rPr>
            <m:scr m:val="script"/>
            <m:sty m:val="p"/>
          </m:rPr>
          <m:t>H</m:t>
        </m:r>
      </m:oMath>
      <w:r>
        <w:t xml:space="preserve">): A semi-trusted intermediary that routes encrypted EHRs between providers. In our PRE construction, the HIE serves as the proxy.</w:t>
      </w:r>
    </w:p>
    <w:p>
      <w:pPr>
        <w:numPr>
          <w:ilvl w:val="0"/>
          <w:numId w:val="1003"/>
        </w:numPr>
      </w:pPr>
      <w:r>
        <w:rPr>
          <w:b/>
          <w:bCs/>
        </w:rPr>
        <w:t xml:space="preserve">Analytics servers</w:t>
      </w:r>
      <w:r>
        <w:t xml:space="preserve"> </w:t>
      </w:r>
      <w:r>
        <w:t xml:space="preserve">(</w:t>
      </w:r>
      <m:oMath>
        <m:r>
          <m:rPr>
            <m:scr m:val="script"/>
            <m:sty m:val="p"/>
          </m:rPr>
          <m:t>A</m:t>
        </m:r>
      </m:oMath>
      <w:r>
        <w:t xml:space="preserve">): Population health analytics platforms that compute aggregates over encrypted vital signs. Analytics servers never hold decryption keys.</w:t>
      </w:r>
    </w:p>
    <w:p>
      <w:pPr>
        <w:numPr>
          <w:ilvl w:val="0"/>
          <w:numId w:val="1003"/>
        </w:numPr>
      </w:pPr>
      <w:r>
        <w:rPr>
          <w:b/>
          <w:bCs/>
        </w:rPr>
        <w:t xml:space="preserve">Credential issuers</w:t>
      </w:r>
      <w:r>
        <w:t xml:space="preserve"> </w:t>
      </w:r>
      <w:r>
        <w:t xml:space="preserve">(</w:t>
      </w:r>
      <m:oMath>
        <m:r>
          <m:rPr>
            <m:scr m:val="script"/>
            <m:sty m:val="p"/>
          </m:rPr>
          <m:t>I</m:t>
        </m:r>
      </m:oMath>
      <w:r>
        <w:t xml:space="preserve">): Healthcare organizations (hospitals, laboratories, pharmacies) that issue verifiable health credentials signed with</w:t>
      </w:r>
      <w:r>
        <w:t xml:space="preserve"> </w:t>
      </w:r>
      <w:r>
        <w:t xml:space="preserve">ML-DSA</w:t>
      </w:r>
      <w:r>
        <w:t xml:space="preserve">-65.</w:t>
      </w:r>
    </w:p>
    <w:p>
      <w:pPr>
        <w:numPr>
          <w:ilvl w:val="0"/>
          <w:numId w:val="1003"/>
        </w:numPr>
      </w:pPr>
      <w:r>
        <w:rPr>
          <w:b/>
          <w:bCs/>
        </w:rPr>
        <w:t xml:space="preserve">Verifiers</w:t>
      </w:r>
      <w:r>
        <w:t xml:space="preserve"> </w:t>
      </w:r>
      <w:r>
        <w:t xml:space="preserve">(</w:t>
      </w:r>
      <m:oMath>
        <m:r>
          <m:rPr>
            <m:scr m:val="script"/>
            <m:sty m:val="p"/>
          </m:rPr>
          <m:t>V</m:t>
        </m:r>
      </m:oMath>
      <w:r>
        <w:t xml:space="preserve">): Entities (employers, travel authorities, pharmacies) that verify presented health credentials.</w:t>
      </w:r>
    </w:p>
    <w:p>
      <w:pPr>
        <w:numPr>
          <w:ilvl w:val="0"/>
          <w:numId w:val="1003"/>
        </w:numPr>
      </w:pPr>
      <w:r>
        <w:rPr>
          <w:b/>
          <w:bCs/>
        </w:rPr>
        <w:t xml:space="preserve">Medical devices</w:t>
      </w:r>
      <w:r>
        <w:t xml:space="preserve"> </w:t>
      </w:r>
      <w:r>
        <w:t xml:space="preserve">(</w:t>
      </w:r>
      <m:oMath>
        <m:r>
          <m:rPr>
            <m:scr m:val="script"/>
            <m:sty m:val="p"/>
          </m:rPr>
          <m:t>D</m:t>
        </m:r>
      </m:oMath>
      <w:r>
        <w:t xml:space="preserve">): Implantable and wearable devices that generate vital sign telemetry under severe resource constraints.</w:t>
      </w:r>
    </w:p>
    <w:bookmarkEnd w:id="19"/>
    <w:bookmarkStart w:id="20" w:name="threat-model"/>
    <w:p>
      <w:pPr>
        <w:pStyle w:val="Heading2"/>
      </w:pPr>
      <w:r>
        <w:t xml:space="preserve">Threat Model</w:t>
      </w:r>
    </w:p>
    <w:p>
      <w:pPr>
        <w:pStyle w:val="FirstParagraph"/>
      </w:pPr>
      <w:r>
        <w:t xml:space="preserve">We consider the following adversary:</w:t>
      </w:r>
    </w:p>
    <w:p>
      <w:pPr>
        <w:numPr>
          <w:ilvl w:val="0"/>
          <w:numId w:val="1004"/>
        </w:numPr>
      </w:pPr>
      <w:r>
        <w:rPr>
          <w:b/>
          <w:bCs/>
        </w:rPr>
        <w:t xml:space="preserve">Quantum-capable eavesdropper.</w:t>
      </w:r>
      <w:r>
        <w:t xml:space="preserve"> </w:t>
      </w:r>
      <w:r>
        <w:t xml:space="preserve">The adversary has access to a cryptographically relevant quantum computer (CRQC) and can break all pre-quantum public-key cryptography. This models the harvest-now-decrypt-later threat.</w:t>
      </w:r>
    </w:p>
    <w:p>
      <w:pPr>
        <w:numPr>
          <w:ilvl w:val="0"/>
          <w:numId w:val="1004"/>
        </w:numPr>
      </w:pPr>
      <w:r>
        <w:rPr>
          <w:b/>
          <w:bCs/>
        </w:rPr>
        <w:t xml:space="preserve">Honest-but-curious proxy.</w:t>
      </w:r>
      <w:r>
        <w:t xml:space="preserve"> </w:t>
      </w:r>
      <w:r>
        <w:t xml:space="preserve">The HIE follows the protocol but attempts to learn plaintext from the re-encryption material and ciphertexts it processes.</w:t>
      </w:r>
    </w:p>
    <w:p>
      <w:pPr>
        <w:numPr>
          <w:ilvl w:val="0"/>
          <w:numId w:val="1004"/>
        </w:numPr>
      </w:pPr>
      <w:r>
        <w:rPr>
          <w:b/>
          <w:bCs/>
        </w:rPr>
        <w:t xml:space="preserve">Colluding analytics server.</w:t>
      </w:r>
      <w:r>
        <w:t xml:space="preserve"> </w:t>
      </w:r>
      <w:r>
        <w:t xml:space="preserve">The analytics server may attempt to infer individual patient values from encrypted aggregates.</w:t>
      </w:r>
    </w:p>
    <w:p>
      <w:pPr>
        <w:numPr>
          <w:ilvl w:val="0"/>
          <w:numId w:val="1004"/>
        </w:numPr>
      </w:pPr>
      <w:r>
        <w:rPr>
          <w:b/>
          <w:bCs/>
        </w:rPr>
        <w:t xml:space="preserve">Malicious verifier.</w:t>
      </w:r>
      <w:r>
        <w:t xml:space="preserve"> </w:t>
      </w:r>
      <w:r>
        <w:t xml:space="preserve">A verifier may attempt to extract undisclosed claims from a verifiable presentation.</w:t>
      </w:r>
    </w:p>
    <w:p>
      <w:pPr>
        <w:numPr>
          <w:ilvl w:val="0"/>
          <w:numId w:val="1004"/>
        </w:numPr>
      </w:pPr>
      <w:r>
        <w:rPr>
          <w:b/>
          <w:bCs/>
        </w:rPr>
        <w:t xml:space="preserve">Compromised device.</w:t>
      </w:r>
      <w:r>
        <w:t xml:space="preserve"> </w:t>
      </w:r>
      <w:r>
        <w:t xml:space="preserve">An adversary may intercept wireless communications from medical devices.</w:t>
      </w:r>
    </w:p>
    <w:bookmarkEnd w:id="20"/>
    <w:bookmarkStart w:id="21" w:name="compliance-requirements"/>
    <w:p>
      <w:pPr>
        <w:pStyle w:val="Heading2"/>
      </w:pPr>
      <w:r>
        <w:t xml:space="preserve">Compliance Requirements</w:t>
      </w:r>
    </w:p>
    <w:p>
      <w:pPr>
        <w:pStyle w:val="FirstParagraph"/>
      </w:pPr>
      <w:r>
        <w:t xml:space="preserve">All constructions are designed to satisfy the following regulatory properties:</w:t>
      </w:r>
    </w:p>
    <w:p>
      <w:pPr>
        <w:numPr>
          <w:ilvl w:val="0"/>
          <w:numId w:val="1005"/>
        </w:numPr>
      </w:pPr>
      <w:r>
        <w:rPr>
          <w:b/>
          <w:bCs/>
        </w:rPr>
        <w:t xml:space="preserve">HIPAA Safe Harbor:</w:t>
      </w:r>
      <w:r>
        <w:t xml:space="preserve"> </w:t>
      </w:r>
      <w:r>
        <w:t xml:space="preserve">The proxy never accesses plaintext, satisfying the Safe Harbor provision for de-identification.</w:t>
      </w:r>
    </w:p>
    <w:p>
      <w:pPr>
        <w:numPr>
          <w:ilvl w:val="0"/>
          <w:numId w:val="1005"/>
        </w:numPr>
      </w:pPr>
      <w:r>
        <w:rPr>
          <w:b/>
          <w:bCs/>
        </w:rPr>
        <w:t xml:space="preserve">HITECH Audit:</w:t>
      </w:r>
      <w:r>
        <w:t xml:space="preserve"> </w:t>
      </w:r>
      <w:r>
        <w:t xml:space="preserve">Every re-encryption operation generates an immutable audit trail entry recording the delegator, delegatee, patient ID hash, record category, consent reference, timestamp, and outcome.</w:t>
      </w:r>
    </w:p>
    <w:p>
      <w:pPr>
        <w:numPr>
          <w:ilvl w:val="0"/>
          <w:numId w:val="1005"/>
        </w:numPr>
      </w:pPr>
      <w:r>
        <w:rPr>
          <w:b/>
          <w:bCs/>
        </w:rPr>
        <w:t xml:space="preserve">42 CFR Part 2:</w:t>
      </w:r>
      <w:r>
        <w:t xml:space="preserve"> </w:t>
      </w:r>
      <w:r>
        <w:t xml:space="preserve">Substance abuse and mental health records require FULL_ACCESS or EMERGENCY consent for re-encryption; CATEGORY_RESTRICTED consent alone is insufficient.</w:t>
      </w:r>
    </w:p>
    <w:p>
      <w:pPr>
        <w:numPr>
          <w:ilvl w:val="0"/>
          <w:numId w:val="1005"/>
        </w:numPr>
      </w:pPr>
      <w:r>
        <w:rPr>
          <w:b/>
          <w:bCs/>
        </w:rPr>
        <w:t xml:space="preserve">GINA:</w:t>
      </w:r>
      <w:r>
        <w:t xml:space="preserve"> </w:t>
      </w:r>
      <w:r>
        <w:t xml:space="preserve">Genetic data access is tracked separately with enhanced audit logging.</w:t>
      </w:r>
    </w:p>
    <w:p>
      <w:pPr>
        <w:numPr>
          <w:ilvl w:val="0"/>
          <w:numId w:val="1005"/>
        </w:numPr>
      </w:pPr>
      <w:r>
        <w:rPr>
          <w:b/>
          <w:bCs/>
        </w:rPr>
        <w:t xml:space="preserve">GDPR Art. 20:</w:t>
      </w:r>
      <w:r>
        <w:t xml:space="preserve"> </w:t>
      </w:r>
      <w:r>
        <w:t xml:space="preserve">Data portability is enabled via PRE without requiring the originating provider to decrypt and re-encrypt.</w:t>
      </w:r>
    </w:p>
    <w:p>
      <w:pPr>
        <w:numPr>
          <w:ilvl w:val="0"/>
          <w:numId w:val="1005"/>
        </w:numPr>
      </w:pPr>
      <w:r>
        <w:rPr>
          <w:b/>
          <w:bCs/>
        </w:rPr>
        <w:t xml:space="preserve">Minimum necessary:</w:t>
      </w:r>
      <w:r>
        <w:t xml:space="preserve"> </w:t>
      </w:r>
      <w:r>
        <w:t xml:space="preserve">Selective disclosure in verifiable credentials enforces the minimum necessary standard for information release.</w:t>
      </w:r>
    </w:p>
    <w:bookmarkEnd w:id="21"/>
    <w:bookmarkEnd w:id="22"/>
    <w:bookmarkStart w:id="29" w:name="sec:pre"/>
    <w:p>
      <w:pPr>
        <w:pStyle w:val="Heading1"/>
      </w:pPr>
      <w:r>
        <w:t xml:space="preserve">EHR Proxy Re-Encryption</w:t>
      </w:r>
    </w:p>
    <w:bookmarkStart w:id="23" w:name="construction-overview"/>
    <w:p>
      <w:pPr>
        <w:pStyle w:val="Heading2"/>
      </w:pPr>
      <w:r>
        <w:t xml:space="preserve">Construction Overview</w:t>
      </w:r>
    </w:p>
    <w:p>
      <w:pPr>
        <w:pStyle w:val="FirstParagraph"/>
      </w:pPr>
      <w:r>
        <w:t xml:space="preserve">Our proxy re-encryption scheme enables encrypted EHR transfer between healthcare providers through a semi-trusted Health Information Exchange (HIE). The construction is built on</w:t>
      </w:r>
      <w:r>
        <w:t xml:space="preserve"> </w:t>
      </w:r>
      <w:r>
        <w:t xml:space="preserve">ML-KEM</w:t>
      </w:r>
      <w:r>
        <w:t xml:space="preserve">-768 for key encapsulation and uses</w:t>
      </w:r>
      <w:r>
        <w:t xml:space="preserve"> </w:t>
      </w:r>
      <w:r>
        <w:t xml:space="preserve">AES-256-GCM</w:t>
      </w:r>
      <w:r>
        <w:t xml:space="preserve"> </w:t>
      </w:r>
      <w:r>
        <w:t xml:space="preserve">for symmetric encryption of record payloads.</w:t>
      </w:r>
    </w:p>
    <w:p>
      <w:pPr>
        <w:pStyle w:val="BodyText"/>
      </w:pPr>
      <w:r>
        <w:t xml:space="preserve">The EHR proxy re-encryption scheme consists of five algorithms:</w:t>
      </w:r>
    </w:p>
    <w:p>
      <w:pPr>
        <w:numPr>
          <w:ilvl w:val="0"/>
          <w:numId w:val="1006"/>
        </w:numPr>
      </w:pP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r>
          <m:rPr>
            <m:sty m:val="p"/>
          </m:rPr>
          <m:t>→</m:t>
        </m:r>
        <m:r>
          <m:rPr>
            <m:sty m:val="p"/>
          </m:rPr>
          <m:t>(</m:t>
        </m:r>
        <m:r>
          <m:rPr>
            <m:sty m:val="i"/>
          </m:rPr>
          <m:t>p</m:t>
        </m:r>
        <m:r>
          <m:rPr>
            <m:sty m:val="i"/>
          </m:rPr>
          <m:t>k</m:t>
        </m:r>
        <m:r>
          <m:rPr>
            <m:sty m:val="p"/>
          </m:rPr>
          <m:t>,</m:t>
        </m:r>
        <m:r>
          <m:rPr>
            <m:sty m:val="i"/>
          </m:rPr>
          <m:t>s</m:t>
        </m:r>
        <m:r>
          <m:rPr>
            <m:sty m:val="i"/>
          </m:rPr>
          <m:t>k</m:t>
        </m:r>
        <m:r>
          <m:rPr>
            <m:sty m:val="p"/>
          </m:rPr>
          <m:t>)</m:t>
        </m:r>
      </m:oMath>
      <w:r>
        <w:t xml:space="preserve">: Invokes</w:t>
      </w:r>
      <w:r>
        <w:t xml:space="preserve"> </w:t>
      </w:r>
      <w:r>
        <w:t xml:space="preserve">ML-KEM</w:t>
      </w:r>
      <w:r>
        <w:t xml:space="preserve">-768 key generation to produce a provider key pair.</w:t>
      </w:r>
    </w:p>
    <w:p>
      <w:pPr>
        <w:numPr>
          <w:ilvl w:val="0"/>
          <w:numId w:val="1006"/>
        </w:numPr>
      </w:pPr>
      <m:oMath>
        <m:r>
          <m:rPr>
            <m:scr m:val="sans-serif"/>
            <m:sty m:val="p"/>
          </m:rPr>
          <m:t>E</m:t>
        </m:r>
        <m:r>
          <m:rPr>
            <m:scr m:val="sans-serif"/>
            <m:sty m:val="p"/>
          </m:rPr>
          <m:t>n</m:t>
        </m:r>
        <m:r>
          <m:rPr>
            <m:scr m:val="sans-serif"/>
            <m:sty m:val="p"/>
          </m:rPr>
          <m:t>c</m:t>
        </m:r>
        <m:r>
          <m:rPr>
            <m:sty m:val="p"/>
          </m:rPr>
          <m:t>(</m:t>
        </m:r>
        <m:r>
          <m:rPr>
            <m:sty m:val="i"/>
          </m:rPr>
          <m:t>p</m:t>
        </m:r>
        <m:r>
          <m:rPr>
            <m:sty m:val="i"/>
          </m:rPr>
          <m:t>k</m:t>
        </m:r>
        <m:r>
          <m:rPr>
            <m:sty m:val="p"/>
          </m:rPr>
          <m:t>,</m:t>
        </m:r>
        <m:r>
          <m:t>m</m:t>
        </m:r>
        <m:r>
          <m:rPr>
            <m:sty m:val="p"/>
          </m:rPr>
          <m:t>,</m:t>
        </m:r>
        <m:r>
          <m:t>c</m:t>
        </m:r>
        <m:r>
          <m:rPr>
            <m:sty m:val="p"/>
          </m:rPr>
          <m:t>)</m:t>
        </m:r>
        <m:r>
          <m:rPr>
            <m:sty m:val="p"/>
          </m:rPr>
          <m:t>→</m:t>
        </m:r>
        <m:r>
          <m:rPr>
            <m:sty m:val="i"/>
          </m:rPr>
          <m:t>c</m:t>
        </m:r>
        <m:r>
          <m:rPr>
            <m:sty m:val="i"/>
          </m:rPr>
          <m:t>t</m:t>
        </m:r>
      </m:oMath>
      <w:r>
        <w:t xml:space="preserve">: Encapsulates a symmetric key via</w:t>
      </w:r>
      <w:r>
        <w:t xml:space="preserve"> </w:t>
      </w:r>
      <w:r>
        <w:t xml:space="preserve">ML-KEM</w:t>
      </w:r>
      <w:r>
        <w:t xml:space="preserve">, encrypts the record</w:t>
      </w:r>
      <w:r>
        <w:t xml:space="preserve"> </w:t>
      </w:r>
      <m:oMath>
        <m:r>
          <m:t>m</m:t>
        </m:r>
      </m:oMath>
      <w:r>
        <w:t xml:space="preserve"> </w:t>
      </w:r>
      <w:r>
        <w:t xml:space="preserve">of category</w:t>
      </w:r>
      <w:r>
        <w:t xml:space="preserve"> </w:t>
      </w:r>
      <m:oMath>
        <m:r>
          <m:t>c</m:t>
        </m:r>
      </m:oMath>
      <w:r>
        <w:t xml:space="preserve"> </w:t>
      </w:r>
      <w:r>
        <w:t xml:space="preserve">with</w:t>
      </w:r>
      <w:r>
        <w:t xml:space="preserve"> </w:t>
      </w:r>
      <w:r>
        <w:t xml:space="preserve">AES-256-GCM</w:t>
      </w:r>
      <w:r>
        <w:t xml:space="preserve">, and outputs the ciphertext.</w:t>
      </w:r>
    </w:p>
    <w:p>
      <w:pPr>
        <w:numPr>
          <w:ilvl w:val="0"/>
          <w:numId w:val="1006"/>
        </w:numPr>
      </w:pPr>
      <m:oMath>
        <m:r>
          <m:rPr>
            <m:scr m:val="sans-serif"/>
            <m:sty m:val="p"/>
          </m:rPr>
          <m:t>R</m:t>
        </m:r>
        <m:r>
          <m:rPr>
            <m:scr m:val="sans-serif"/>
            <m:sty m:val="p"/>
          </m:rPr>
          <m:t>e</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b>
          <m:e>
            <m:r>
              <m:rPr>
                <m:sty m:val="i"/>
              </m:rPr>
              <m:t>s</m:t>
            </m:r>
            <m:r>
              <m:rPr>
                <m:sty m:val="i"/>
              </m:rPr>
              <m:t>k</m:t>
            </m:r>
          </m:e>
          <m:sub>
            <m:r>
              <m:t>A</m:t>
            </m:r>
          </m:sub>
        </m:sSub>
        <m:r>
          <m:rPr>
            <m:sty m:val="p"/>
          </m:rPr>
          <m:t>,</m:t>
        </m:r>
        <m:sSub>
          <m:e>
            <m:r>
              <m:rPr>
                <m:sty m:val="i"/>
              </m:rPr>
              <m:t>p</m:t>
            </m:r>
            <m:r>
              <m:rPr>
                <m:sty m:val="i"/>
              </m:rPr>
              <m:t>k</m:t>
            </m:r>
          </m:e>
          <m:sub>
            <m:r>
              <m:t>B</m:t>
            </m:r>
          </m:sub>
        </m:sSub>
        <m:r>
          <m:rPr>
            <m:sty m:val="p"/>
          </m:rPr>
          <m:t>,</m:t>
        </m:r>
        <m:r>
          <m:rPr>
            <m:sty m:val="i"/>
          </m:rPr>
          <m:t>p</m:t>
        </m:r>
        <m:r>
          <m:rPr>
            <m:sty m:val="i"/>
          </m:rPr>
          <m:t>i</m:t>
        </m:r>
        <m:r>
          <m:rPr>
            <m:sty m:val="i"/>
          </m:rPr>
          <m:t>d</m:t>
        </m:r>
        <m:r>
          <m:rPr>
            <m:sty m:val="p"/>
          </m:rPr>
          <m:t>,</m:t>
        </m:r>
        <m:r>
          <m:t>τ</m:t>
        </m:r>
        <m:r>
          <m:rPr>
            <m:sty m:val="p"/>
          </m:rPr>
          <m:t>)</m:t>
        </m:r>
        <m:r>
          <m:rPr>
            <m:sty m:val="p"/>
          </m:rPr>
          <m:t>→</m:t>
        </m:r>
        <m:sSub>
          <m:e>
            <m:r>
              <m:rPr>
                <m:sty m:val="i"/>
              </m:rPr>
              <m:t>r</m:t>
            </m:r>
            <m:r>
              <m:rPr>
                <m:sty m:val="i"/>
              </m:rPr>
              <m:t>k</m:t>
            </m:r>
          </m:e>
          <m:sub>
            <m:r>
              <m:t>A</m:t>
            </m:r>
            <m:r>
              <m:rPr>
                <m:sty m:val="p"/>
              </m:rPr>
              <m:t>→</m:t>
            </m:r>
            <m:r>
              <m:t>B</m:t>
            </m:r>
          </m:sub>
        </m:sSub>
      </m:oMath>
      <w:r>
        <w:t xml:space="preserve">: Derives a re-encryption key incorporating the patient identifier and consent type.</w:t>
      </w:r>
    </w:p>
    <w:p>
      <w:pPr>
        <w:numPr>
          <w:ilvl w:val="0"/>
          <w:numId w:val="1006"/>
        </w:numPr>
      </w:pPr>
      <m:oMath>
        <m:r>
          <m:rPr>
            <m:scr m:val="sans-serif"/>
            <m:sty m:val="p"/>
          </m:rPr>
          <m:t>R</m:t>
        </m:r>
        <m:r>
          <m:rPr>
            <m:scr m:val="sans-serif"/>
            <m:sty m:val="p"/>
          </m:rPr>
          <m:t>e</m:t>
        </m:r>
        <m:r>
          <m:rPr>
            <m:scr m:val="sans-serif"/>
            <m:sty m:val="p"/>
          </m:rPr>
          <m:t>E</m:t>
        </m:r>
        <m:r>
          <m:rPr>
            <m:scr m:val="sans-serif"/>
            <m:sty m:val="p"/>
          </m:rPr>
          <m:t>n</m:t>
        </m:r>
        <m:r>
          <m:rPr>
            <m:scr m:val="sans-serif"/>
            <m:sty m:val="p"/>
          </m:rPr>
          <m:t>c</m:t>
        </m:r>
        <m:r>
          <m:rPr>
            <m:sty m:val="p"/>
          </m:rPr>
          <m:t>(</m:t>
        </m:r>
        <m:sSub>
          <m:e>
            <m:r>
              <m:rPr>
                <m:sty m:val="i"/>
              </m:rPr>
              <m:t>c</m:t>
            </m:r>
            <m:r>
              <m:rPr>
                <m:sty m:val="i"/>
              </m:rPr>
              <m:t>t</m:t>
            </m:r>
          </m:e>
          <m:sub>
            <m:r>
              <m:t>A</m:t>
            </m:r>
          </m:sub>
        </m:sSub>
        <m:r>
          <m:rPr>
            <m:sty m:val="p"/>
          </m:rPr>
          <m:t>,</m:t>
        </m:r>
        <m:sSub>
          <m:e>
            <m:r>
              <m:rPr>
                <m:sty m:val="i"/>
              </m:rPr>
              <m:t>r</m:t>
            </m:r>
            <m:r>
              <m:rPr>
                <m:sty m:val="i"/>
              </m:rPr>
              <m:t>k</m:t>
            </m:r>
          </m:e>
          <m:sub>
            <m:r>
              <m:t>A</m:t>
            </m:r>
            <m:r>
              <m:rPr>
                <m:sty m:val="p"/>
              </m:rPr>
              <m:t>→</m:t>
            </m:r>
            <m:r>
              <m:t>B</m:t>
            </m:r>
          </m:sub>
        </m:sSub>
        <m:r>
          <m:rPr>
            <m:sty m:val="p"/>
          </m:rPr>
          <m:t>)</m:t>
        </m:r>
        <m:r>
          <m:rPr>
            <m:sty m:val="p"/>
          </m:rPr>
          <m:t>→</m:t>
        </m:r>
        <m:sSub>
          <m:e>
            <m:r>
              <m:rPr>
                <m:sty m:val="i"/>
              </m:rPr>
              <m:t>c</m:t>
            </m:r>
            <m:r>
              <m:rPr>
                <m:sty m:val="i"/>
              </m:rPr>
              <m:t>t</m:t>
            </m:r>
          </m:e>
          <m:sub>
            <m:r>
              <m:t>B</m:t>
            </m:r>
          </m:sub>
        </m:sSub>
      </m:oMath>
      <w:r>
        <w:t xml:space="preserve">: Transforms the ciphertext using the re-encryption key.</w:t>
      </w:r>
    </w:p>
    <w:p>
      <w:pPr>
        <w:numPr>
          <w:ilvl w:val="0"/>
          <w:numId w:val="1006"/>
        </w:numPr>
      </w:pPr>
      <m:oMath>
        <m:r>
          <m:rPr>
            <m:scr m:val="sans-serif"/>
            <m:sty m:val="p"/>
          </m:rPr>
          <m:t>D</m:t>
        </m:r>
        <m:r>
          <m:rPr>
            <m:scr m:val="sans-serif"/>
            <m:sty m:val="p"/>
          </m:rPr>
          <m:t>e</m:t>
        </m:r>
        <m:r>
          <m:rPr>
            <m:scr m:val="sans-serif"/>
            <m:sty m:val="p"/>
          </m:rPr>
          <m:t>c</m:t>
        </m:r>
        <m:r>
          <m:rPr>
            <m:sty m:val="p"/>
          </m:rPr>
          <m:t>(</m:t>
        </m:r>
        <m:sSub>
          <m:e>
            <m:r>
              <m:rPr>
                <m:sty m:val="i"/>
              </m:rPr>
              <m:t>s</m:t>
            </m:r>
            <m:r>
              <m:rPr>
                <m:sty m:val="i"/>
              </m:rPr>
              <m:t>k</m:t>
            </m:r>
          </m:e>
          <m:sub>
            <m:r>
              <m:t>B</m:t>
            </m:r>
          </m:sub>
        </m:sSub>
        <m:r>
          <m:rPr>
            <m:sty m:val="p"/>
          </m:rPr>
          <m:t>,</m:t>
        </m:r>
        <m:sSub>
          <m:e>
            <m:r>
              <m:rPr>
                <m:sty m:val="i"/>
              </m:rPr>
              <m:t>c</m:t>
            </m:r>
            <m:r>
              <m:rPr>
                <m:sty m:val="i"/>
              </m:rPr>
              <m:t>t</m:t>
            </m:r>
          </m:e>
          <m:sub>
            <m:r>
              <m:t>B</m:t>
            </m:r>
          </m:sub>
        </m:sSub>
        <m:r>
          <m:rPr>
            <m:sty m:val="p"/>
          </m:rPr>
          <m:t>)</m:t>
        </m:r>
        <m:r>
          <m:rPr>
            <m:sty m:val="p"/>
          </m:rPr>
          <m:t>→</m:t>
        </m:r>
        <m:r>
          <m:t>m</m:t>
        </m:r>
      </m:oMath>
      <w:r>
        <w:t xml:space="preserve">: Decrypts the re-encrypted ciphertext using the delegatee’s private key.</w:t>
      </w:r>
    </w:p>
    <w:bookmarkEnd w:id="23"/>
    <w:bookmarkStart w:id="24" w:name="re-encryption-key-derivation"/>
    <w:p>
      <w:pPr>
        <w:pStyle w:val="Heading2"/>
      </w:pPr>
      <w:r>
        <w:t xml:space="preserve">Re-Encryption Key Derivation</w:t>
      </w:r>
    </w:p>
    <w:p>
      <w:pPr>
        <w:pStyle w:val="FirstParagraph"/>
      </w:pPr>
      <w:r>
        <w:t xml:space="preserve">The re-encryption key is derived using</w:t>
      </w:r>
      <w:r>
        <w:t xml:space="preserve"> </w:t>
      </w:r>
      <w:r>
        <w:t xml:space="preserve">SHAKE256</w:t>
      </w:r>
      <w:r>
        <w:t xml:space="preserve"> </w:t>
      </w:r>
      <w:r>
        <w:t xml:space="preserve">with domain separation:</w:t>
      </w:r>
    </w:p>
    <w:p>
      <w:pPr>
        <w:pStyle w:val="BodyText"/>
      </w:pPr>
      <m:oMathPara>
        <m:oMathParaPr>
          <m:jc m:val="center"/>
        </m:oMathParaPr>
        <m:oMath>
          <m:sSub>
            <m:e>
              <m:r>
                <m:rPr>
                  <m:sty m:val="i"/>
                </m:rPr>
                <m:t>r</m:t>
              </m:r>
              <m:r>
                <m:rPr>
                  <m:sty m:val="i"/>
                </m:rPr>
                <m:t>k</m:t>
              </m:r>
            </m:e>
            <m:sub>
              <m:r>
                <m:t>A</m:t>
              </m:r>
              <m:r>
                <m:rPr>
                  <m:sty m:val="p"/>
                </m:rPr>
                <m:t>→</m:t>
              </m:r>
              <m:r>
                <m:t>B</m:t>
              </m:r>
            </m:sub>
          </m:sSub>
          <m:r>
            <m:rPr>
              <m:sty m:val="p"/>
            </m:rPr>
            <m:t>=</m:t>
          </m:r>
          <m:r>
            <m:rPr>
              <m:nor/>
              <m:scr m:val="sans-serif"/>
              <m:sty m:val="p"/>
            </m:rPr>
            <m:t>SHAKE256</m:t>
          </m:r>
          <m:r>
            <m:t>​</m:t>
          </m:r>
          <m:r>
            <m:rPr>
              <m:sty m:val="p"/>
            </m:rPr>
            <m:t>(</m:t>
          </m:r>
          <m:sSub>
            <m:e>
              <m:r>
                <m:rPr>
                  <m:sty m:val="i"/>
                </m:rPr>
                <m:t>s</m:t>
              </m:r>
              <m:r>
                <m:rPr>
                  <m:sty m:val="i"/>
                </m:rPr>
                <m:t>k</m:t>
              </m:r>
            </m:e>
            <m:sub>
              <m:r>
                <m:t>A</m:t>
              </m:r>
            </m:sub>
          </m:sSub>
          <m:r>
            <m:rPr>
              <m:sty m:val="p"/>
            </m:rPr>
            <m:t>[</m:t>
          </m:r>
          <m:r>
            <m:t>0</m:t>
          </m:r>
          <m:r>
            <m:rPr>
              <m:sty m:val="p"/>
            </m:rPr>
            <m:t>:</m:t>
          </m:r>
          <m:r>
            <m:t>64</m:t>
          </m:r>
          <m:r>
            <m:rPr>
              <m:sty m:val="p"/>
            </m:rPr>
            <m:t>]</m:t>
          </m:r>
          <m:r>
            <m:rPr>
              <m:sty m:val="p"/>
            </m:rPr>
            <m:t>∥</m:t>
          </m:r>
          <m:sSub>
            <m:e>
              <m:r>
                <m:rPr>
                  <m:sty m:val="i"/>
                </m:rPr>
                <m:t>p</m:t>
              </m:r>
              <m:r>
                <m:rPr>
                  <m:sty m:val="i"/>
                </m:rPr>
                <m:t>k</m:t>
              </m:r>
            </m:e>
            <m:sub>
              <m:r>
                <m:t>B</m:t>
              </m:r>
            </m:sub>
          </m:sSub>
          <m:r>
            <m:rPr>
              <m:sty m:val="p"/>
            </m:rPr>
            <m:t>[</m:t>
          </m:r>
          <m:r>
            <m:t>0</m:t>
          </m:r>
          <m:r>
            <m:rPr>
              <m:sty m:val="p"/>
            </m:rPr>
            <m:t>:</m:t>
          </m:r>
          <m:r>
            <m:t>64</m:t>
          </m:r>
          <m:r>
            <m:rPr>
              <m:sty m:val="p"/>
            </m:rPr>
            <m:t>]</m:t>
          </m:r>
          <m:r>
            <m:rPr>
              <m:sty m:val="p"/>
            </m:rPr>
            <m:t>∥</m:t>
          </m:r>
          <m:sSub>
            <m:e>
              <m:r>
                <m:t>h</m:t>
              </m:r>
            </m:e>
            <m:sub>
              <m:r>
                <m:rPr>
                  <m:sty m:val="i"/>
                </m:rPr>
                <m:t>p</m:t>
              </m:r>
              <m:r>
                <m:rPr>
                  <m:sty m:val="i"/>
                </m:rPr>
                <m:t>i</m:t>
              </m:r>
              <m:r>
                <m:rPr>
                  <m:sty m:val="i"/>
                </m:rPr>
                <m:t>d</m:t>
              </m:r>
            </m:sub>
          </m:sSub>
          <m:r>
            <m:rPr>
              <m:sty m:val="p"/>
            </m:rPr>
            <m:t>∥</m:t>
          </m:r>
          <m:r>
            <m:rPr>
              <m:nor/>
              <m:scr m:val="monospace"/>
              <m:sty m:val="p"/>
            </m:rPr>
            <m:t>"ehr-proxy-reenc-v1"</m:t>
          </m:r>
          <m:r>
            <m:rPr>
              <m:sty m:val="p"/>
            </m:rPr>
            <m:t>)</m:t>
          </m:r>
        </m:oMath>
      </m:oMathPara>
    </w:p>
    <w:p>
      <w:pPr>
        <w:pStyle w:val="FirstParagraph"/>
      </w:pPr>
      <w:r>
        <w:t xml:space="preserve">where</w:t>
      </w:r>
      <w:r>
        <w:t xml:space="preserve"> </w:t>
      </w:r>
      <m:oMath>
        <m:sSub>
          <m:e>
            <m:r>
              <m:t>h</m:t>
            </m:r>
          </m:e>
          <m:sub>
            <m:r>
              <m:rPr>
                <m:sty m:val="i"/>
              </m:rPr>
              <m:t>p</m:t>
            </m:r>
            <m:r>
              <m:rPr>
                <m:sty m:val="i"/>
              </m:rPr>
              <m:t>i</m:t>
            </m:r>
            <m:r>
              <m:rPr>
                <m:sty m:val="i"/>
              </m:rPr>
              <m:t>d</m:t>
            </m:r>
          </m:sub>
        </m:sSub>
        <m:r>
          <m:rPr>
            <m:sty m:val="p"/>
          </m:rPr>
          <m:t>=</m:t>
        </m:r>
        <m:r>
          <m:rPr>
            <m:nor/>
            <m:scr m:val="sans-serif"/>
            <m:sty m:val="p"/>
          </m:rPr>
          <m:t>SHA3-256</m:t>
        </m:r>
        <m:r>
          <m:t>​</m:t>
        </m:r>
        <m:r>
          <m:rPr>
            <m:sty m:val="p"/>
          </m:rPr>
          <m:t>(</m:t>
        </m:r>
        <m:r>
          <m:rPr>
            <m:sty m:val="i"/>
          </m:rPr>
          <m:t>p</m:t>
        </m:r>
        <m:r>
          <m:rPr>
            <m:sty m:val="i"/>
          </m:rPr>
          <m:t>i</m:t>
        </m:r>
        <m:r>
          <m:rPr>
            <m:sty m:val="i"/>
          </m:rPr>
          <m:t>d</m:t>
        </m:r>
        <m:r>
          <m:rPr>
            <m:sty m:val="p"/>
          </m:rPr>
          <m:t>)</m:t>
        </m:r>
      </m:oMath>
      <w:r>
        <w:t xml:space="preserve"> </w:t>
      </w:r>
      <w:r>
        <w:t xml:space="preserve">is the SHA3-256 hash of the patient identifier, and the output length is 64 bytes. The domain separation tag</w:t>
      </w:r>
      <w:r>
        <w:t xml:space="preserve"> </w:t>
      </w:r>
      <w:r>
        <w:rPr>
          <w:rStyle w:val="VerbatimChar"/>
        </w:rPr>
        <w:t xml:space="preserve">"ehr-proxy-reenc-v1"</w:t>
      </w:r>
      <w:r>
        <w:t xml:space="preserve"> </w:t>
      </w:r>
      <w:r>
        <w:t xml:space="preserve">prevents cross-protocol attacks. The key ID is a 16-byte random token, and the delegatee ID is derived as</w:t>
      </w:r>
      <w:r>
        <w:t xml:space="preserve"> </w:t>
      </w:r>
      <m:oMath>
        <m:r>
          <m:rPr>
            <m:nor/>
            <m:scr m:val="sans-serif"/>
            <m:sty m:val="p"/>
          </m:rPr>
          <m:t>SHA3-256</m:t>
        </m:r>
        <m:r>
          <m:t>​</m:t>
        </m:r>
        <m:r>
          <m:rPr>
            <m:sty m:val="p"/>
          </m:rPr>
          <m:t>(</m:t>
        </m:r>
        <m:sSub>
          <m:e>
            <m:r>
              <m:rPr>
                <m:sty m:val="i"/>
              </m:rPr>
              <m:t>p</m:t>
            </m:r>
            <m:r>
              <m:rPr>
                <m:sty m:val="i"/>
              </m:rPr>
              <m:t>k</m:t>
            </m:r>
          </m:e>
          <m:sub>
            <m:r>
              <m:t>B</m:t>
            </m:r>
          </m:sub>
        </m:sSub>
        <m:r>
          <m:rPr>
            <m:sty m:val="p"/>
          </m:rPr>
          <m:t>[</m:t>
        </m:r>
        <m:r>
          <m:t>0</m:t>
        </m:r>
        <m:r>
          <m:rPr>
            <m:sty m:val="p"/>
          </m:rPr>
          <m:t>:</m:t>
        </m:r>
        <m:r>
          <m:t>32</m:t>
        </m:r>
        <m:r>
          <m:rPr>
            <m:sty m:val="p"/>
          </m:rPr>
          <m:t>]</m:t>
        </m:r>
        <m:r>
          <m:rPr>
            <m:sty m:val="p"/>
          </m:rPr>
          <m:t>)</m:t>
        </m:r>
        <m:r>
          <m:rPr>
            <m:sty m:val="p"/>
          </m:rPr>
          <m:t>[</m:t>
        </m:r>
        <m:r>
          <m:t>0</m:t>
        </m:r>
        <m:r>
          <m:rPr>
            <m:sty m:val="p"/>
          </m:rPr>
          <m:t>:</m:t>
        </m:r>
        <m:r>
          <m:t>8</m:t>
        </m:r>
        <m:r>
          <m:rPr>
            <m:sty m:val="p"/>
          </m:rPr>
          <m:t>]</m:t>
        </m:r>
      </m:oMath>
      <w:r>
        <w:t xml:space="preserve">.</w:t>
      </w:r>
    </w:p>
    <w:bookmarkEnd w:id="24"/>
    <w:bookmarkStart w:id="26" w:name="Xb4e002a6ec63bc68e68caa8f115bd273d177e35"/>
    <w:p>
      <w:pPr>
        <w:pStyle w:val="Heading2"/>
      </w:pPr>
      <w:r>
        <w:t xml:space="preserve">Consent Types and Category-Specific Access</w:t>
      </w:r>
    </w:p>
    <w:p>
      <w:pPr>
        <w:pStyle w:val="FirstParagraph"/>
      </w:pPr>
      <w:r>
        <w:t xml:space="preserve">The scheme enforces six consent types, each defining the scope of authorized re-encryption:</w:t>
      </w:r>
    </w:p>
    <w:bookmarkStart w:id="25" w:name="tab:consent"/>
    <w:p>
      <w:pPr>
        <w:pStyle w:val="TableCaption"/>
      </w:pPr>
      <w:r>
        <w:t xml:space="preserve">Consent Types and Access Scope</w:t>
      </w:r>
    </w:p>
    <w:tbl>
      <w:tblPr>
        <w:tblStyle w:val="Table"/>
        <w:tblW w:type="auto" w:w="0"/>
        <w:tblLook w:firstRow="1" w:lastRow="0" w:firstColumn="0" w:lastColumn="0" w:noHBand="0" w:noVBand="0" w:val="0020"/>
        <w:tblCaption w:val="Consent Types and Access Scope"/>
      </w:tblPr>
      <w:tblGrid>
        <w:gridCol w:w="3960"/>
        <w:gridCol w:w="3960"/>
      </w:tblGrid>
      <w:tr>
        <w:trPr>
          <w:tblHeader w:val="on"/>
        </w:trPr>
        <w:tc>
          <w:tcPr/>
          <w:p>
            <w:pPr>
              <w:pStyle w:val="Compact"/>
              <w:jc w:val="left"/>
            </w:pPr>
            <w:r>
              <w:rPr>
                <w:b/>
                <w:bCs/>
              </w:rPr>
              <w:t xml:space="preserve">Consent Type</w:t>
            </w:r>
          </w:p>
        </w:tc>
        <w:tc>
          <w:tcPr/>
          <w:p>
            <w:pPr>
              <w:pStyle w:val="Compact"/>
              <w:jc w:val="left"/>
            </w:pPr>
            <w:r>
              <w:rPr>
                <w:b/>
                <w:bCs/>
              </w:rPr>
              <w:t xml:space="preserve">Scope</w:t>
            </w:r>
          </w:p>
        </w:tc>
      </w:tr>
      <w:tr>
        <w:tc>
          <w:tcPr/>
          <w:p>
            <w:pPr>
              <w:pStyle w:val="Compact"/>
              <w:jc w:val="left"/>
            </w:pPr>
            <w:r>
              <w:t xml:space="preserve">FULL_ACCESS</w:t>
            </w:r>
          </w:p>
        </w:tc>
        <w:tc>
          <w:tcPr/>
          <w:p>
            <w:pPr>
              <w:pStyle w:val="Compact"/>
              <w:jc w:val="left"/>
            </w:pPr>
            <w:r>
              <w:t xml:space="preserve">All 12 record categories including restricted</w:t>
            </w:r>
          </w:p>
        </w:tc>
      </w:tr>
      <w:tr>
        <w:tc>
          <w:tcPr/>
          <w:p>
            <w:pPr>
              <w:pStyle w:val="Compact"/>
              <w:jc w:val="left"/>
            </w:pPr>
            <w:r>
              <w:t xml:space="preserve">CATEGORY_RESTRICTED</w:t>
            </w:r>
          </w:p>
        </w:tc>
        <w:tc>
          <w:tcPr/>
          <w:p>
            <w:pPr>
              <w:pStyle w:val="Compact"/>
              <w:jc w:val="left"/>
            </w:pPr>
            <w:r>
              <w:t xml:space="preserve">Specified subset of standard categories only</w:t>
            </w:r>
          </w:p>
        </w:tc>
      </w:tr>
      <w:tr>
        <w:tc>
          <w:tcPr/>
          <w:p>
            <w:pPr>
              <w:pStyle w:val="Compact"/>
              <w:jc w:val="left"/>
            </w:pPr>
            <w:r>
              <w:t xml:space="preserve">TIME_LIMITED</w:t>
            </w:r>
          </w:p>
        </w:tc>
        <w:tc>
          <w:tcPr/>
          <w:p>
            <w:pPr>
              <w:pStyle w:val="Compact"/>
              <w:jc w:val="left"/>
            </w:pPr>
            <w:r>
              <w:t xml:space="preserve">Expires after configured validity period</w:t>
            </w:r>
          </w:p>
        </w:tc>
      </w:tr>
      <w:tr>
        <w:tc>
          <w:tcPr/>
          <w:p>
            <w:pPr>
              <w:pStyle w:val="Compact"/>
              <w:jc w:val="left"/>
            </w:pPr>
            <w:r>
              <w:t xml:space="preserve">EMERGENCY</w:t>
            </w:r>
          </w:p>
        </w:tc>
        <w:tc>
          <w:tcPr/>
          <w:p>
            <w:pPr>
              <w:pStyle w:val="Compact"/>
              <w:jc w:val="left"/>
            </w:pPr>
            <w:r>
              <w:t xml:space="preserve">Break-glass access with mandatory audit</w:t>
            </w:r>
          </w:p>
        </w:tc>
      </w:tr>
      <w:tr>
        <w:tc>
          <w:tcPr/>
          <w:p>
            <w:pPr>
              <w:pStyle w:val="Compact"/>
              <w:jc w:val="left"/>
            </w:pPr>
            <w:r>
              <w:t xml:space="preserve">RESEARCH</w:t>
            </w:r>
          </w:p>
        </w:tc>
        <w:tc>
          <w:tcPr/>
          <w:p>
            <w:pPr>
              <w:pStyle w:val="Compact"/>
              <w:jc w:val="left"/>
            </w:pPr>
            <w:r>
              <w:t xml:space="preserve">De-identified access for research purposes</w:t>
            </w:r>
          </w:p>
        </w:tc>
      </w:tr>
      <w:tr>
        <w:tc>
          <w:tcPr/>
          <w:p>
            <w:pPr>
              <w:pStyle w:val="Compact"/>
              <w:jc w:val="left"/>
            </w:pPr>
            <w:r>
              <w:t xml:space="preserve">ONE_TIME</w:t>
            </w:r>
          </w:p>
        </w:tc>
        <w:tc>
          <w:tcPr/>
          <w:p>
            <w:pPr>
              <w:pStyle w:val="Compact"/>
              <w:jc w:val="left"/>
            </w:pPr>
            <w:r>
              <w:t xml:space="preserve">Single use; auto-revoked after first access</w:t>
            </w:r>
          </w:p>
        </w:tc>
      </w:tr>
    </w:tbl>
    <w:bookmarkEnd w:id="25"/>
    <w:p>
      <w:pPr>
        <w:pStyle w:val="BodyText"/>
      </w:pPr>
      <w:r>
        <w:t xml:space="preserve">Record categories are divided into standard and restricted classes. The seven</w:t>
      </w:r>
      <w:r>
        <w:t xml:space="preserve"> </w:t>
      </w:r>
      <w:r>
        <w:rPr>
          <w:i/>
          <w:iCs/>
        </w:rPr>
        <w:t xml:space="preserve">standard</w:t>
      </w:r>
      <w:r>
        <w:t xml:space="preserve"> </w:t>
      </w:r>
      <w:r>
        <w:t xml:space="preserve">categories—Demographics, Vital Signs, Lab Results, Medications, Diagnoses, Procedures, and Imaging—may be authorized under any consent type. The four</w:t>
      </w:r>
      <w:r>
        <w:t xml:space="preserve"> </w:t>
      </w:r>
      <w:r>
        <w:rPr>
          <w:i/>
          <w:iCs/>
        </w:rPr>
        <w:t xml:space="preserve">restricted</w:t>
      </w:r>
      <w:r>
        <w:t xml:space="preserve"> </w:t>
      </w:r>
      <w:r>
        <w:t xml:space="preserve">categories—Mental Health, Substance Abuse, Genetic Data, and Reproductive Health—require either FULL_ACCESS or EMERGENCY consent, enforcing 42 CFR Part 2 and GINA compliance at the cryptographic layer.</w:t>
      </w:r>
    </w:p>
    <w:p>
      <w:pPr>
        <w:pStyle w:val="BodyText"/>
      </w:pPr>
      <w:r>
        <w:t xml:space="preserve">Encrypted record</w:t>
      </w:r>
      <w:r>
        <w:t xml:space="preserve"> </w:t>
      </w:r>
      <m:oMath>
        <m:sSub>
          <m:e>
            <m:r>
              <m:rPr>
                <m:sty m:val="i"/>
              </m:rPr>
              <m:t>c</m:t>
            </m:r>
            <m:r>
              <m:rPr>
                <m:sty m:val="i"/>
              </m:rPr>
              <m:t>t</m:t>
            </m:r>
          </m:e>
          <m:sub>
            <m:r>
              <m:t>A</m:t>
            </m:r>
          </m:sub>
        </m:sSub>
      </m:oMath>
      <w:r>
        <w:t xml:space="preserve"> </w:t>
      </w:r>
      <w:r>
        <w:t xml:space="preserve">with category</w:t>
      </w:r>
      <w:r>
        <w:t xml:space="preserve"> </w:t>
      </w:r>
      <m:oMath>
        <m:r>
          <m:t>c</m:t>
        </m:r>
      </m:oMath>
      <w:r>
        <w:t xml:space="preserve">; re-encryption key</w:t>
      </w:r>
      <w:r>
        <w:t xml:space="preserve"> </w:t>
      </w:r>
      <m:oMath>
        <m:r>
          <m:rPr>
            <m:sty m:val="i"/>
          </m:rPr>
          <m:t>r</m:t>
        </m:r>
        <m:r>
          <m:rPr>
            <m:sty m:val="i"/>
          </m:rPr>
          <m:t>k</m:t>
        </m:r>
      </m:oMath>
      <w:r>
        <w:t xml:space="preserve"> </w:t>
      </w:r>
      <w:r>
        <w:t xml:space="preserve">Re-encrypted record</w:t>
      </w:r>
      <w:r>
        <w:t xml:space="preserve"> </w:t>
      </w:r>
      <m:oMath>
        <m:sSub>
          <m:e>
            <m:r>
              <m:rPr>
                <m:sty m:val="i"/>
              </m:rPr>
              <m:t>c</m:t>
            </m:r>
            <m:r>
              <m:rPr>
                <m:sty m:val="i"/>
              </m:rPr>
              <m:t>t</m:t>
            </m:r>
          </m:e>
          <m:sub>
            <m:r>
              <m:t>B</m:t>
            </m:r>
          </m:sub>
        </m:sSub>
      </m:oMath>
      <w:r>
        <w:t xml:space="preserve"> </w:t>
      </w:r>
      <w:r>
        <w:t xml:space="preserve">or denial</w:t>
      </w:r>
      <w:r>
        <w:t xml:space="preserve"> </w:t>
      </w:r>
      <w:r>
        <w:rPr>
          <w:b/>
          <w:bCs/>
        </w:rPr>
        <w:t xml:space="preserve">deny:</w:t>
      </w:r>
      <w:r>
        <w:t xml:space="preserve"> </w:t>
      </w:r>
      <w:r>
        <w:t xml:space="preserve">“key revoked”</w:t>
      </w:r>
      <w:r>
        <w:t xml:space="preserve"> </w:t>
      </w:r>
      <w:r>
        <w:rPr>
          <w:b/>
          <w:bCs/>
        </w:rPr>
        <w:t xml:space="preserve">deny:</w:t>
      </w:r>
      <w:r>
        <w:t xml:space="preserve"> </w:t>
      </w:r>
      <w:r>
        <w:t xml:space="preserve">“key expired or exhausted”</w:t>
      </w:r>
      <w:r>
        <w:t xml:space="preserve"> </w:t>
      </w:r>
      <w:r>
        <w:t xml:space="preserve">Log audit: category</w:t>
      </w:r>
      <w:r>
        <w:t xml:space="preserve"> </w:t>
      </w:r>
      <m:oMath>
        <m:r>
          <m:t>c</m:t>
        </m:r>
      </m:oMath>
      <w:r>
        <w:t xml:space="preserve"> </w:t>
      </w:r>
      <w:r>
        <w:t xml:space="preserve">not authorized</w:t>
      </w:r>
      <w:r>
        <w:t xml:space="preserve"> </w:t>
      </w:r>
      <w:r>
        <w:rPr>
          <w:b/>
          <w:bCs/>
        </w:rPr>
        <w:t xml:space="preserve">deny:</w:t>
      </w:r>
      <w:r>
        <w:t xml:space="preserve"> </w:t>
      </w:r>
      <w:r>
        <w:t xml:space="preserve">“category not authorized”</w:t>
      </w:r>
      <w:r>
        <w:t xml:space="preserve"> </w:t>
      </w:r>
      <m:oMath>
        <m:r>
          <m:rPr>
            <m:sty m:val="i"/>
          </m:rPr>
          <m:t>t</m:t>
        </m:r>
        <m:r>
          <m:rPr>
            <m:sty m:val="i"/>
          </m:rPr>
          <m:t>k</m:t>
        </m:r>
        <m:r>
          <m:rPr>
            <m:sty m:val="p"/>
          </m:rPr>
          <m:t>←</m:t>
        </m:r>
        <m:r>
          <m:rPr>
            <m:nor/>
            <m:scr m:val="sans-serif"/>
            <m:sty m:val="p"/>
          </m:rPr>
          <m:t>SHAKE256</m:t>
        </m:r>
        <m:r>
          <m:t>​</m:t>
        </m:r>
        <m:r>
          <m:rPr>
            <m:sty m:val="p"/>
          </m:rPr>
          <m:t>(</m:t>
        </m:r>
        <m:sSub>
          <m:e>
            <m:r>
              <m:rPr>
                <m:sty m:val="i"/>
              </m:rPr>
              <m:t>c</m:t>
            </m:r>
            <m:r>
              <m:rPr>
                <m:sty m:val="i"/>
              </m:rPr>
              <m:t>t</m:t>
            </m:r>
          </m:e>
          <m:sub>
            <m:r>
              <m:t>A</m:t>
            </m:r>
          </m:sub>
        </m:sSub>
        <m:r>
          <m:rPr>
            <m:sty m:val="p"/>
          </m:rPr>
          <m:t>.</m:t>
        </m:r>
        <m:r>
          <m:rPr>
            <m:sty m:val="i"/>
          </m:rPr>
          <m:t>e</m:t>
        </m:r>
        <m:r>
          <m:rPr>
            <m:sty m:val="i"/>
          </m:rPr>
          <m:t>n</m:t>
        </m:r>
        <m:r>
          <m:rPr>
            <m:sty m:val="i"/>
          </m:rPr>
          <m:t>c</m:t>
        </m:r>
        <m:r>
          <m:rPr>
            <m:sty m:val="i"/>
          </m:rPr>
          <m:t>a</m:t>
        </m:r>
        <m:r>
          <m:rPr>
            <m:sty m:val="i"/>
          </m:rPr>
          <m:t>p</m:t>
        </m:r>
        <m:r>
          <m:rPr>
            <m:sty m:val="i"/>
          </m:rPr>
          <m:t>_</m:t>
        </m:r>
        <m:r>
          <m:rPr>
            <m:sty m:val="i"/>
          </m:rPr>
          <m:t>k</m:t>
        </m:r>
        <m:r>
          <m:rPr>
            <m:sty m:val="i"/>
          </m:rPr>
          <m:t>e</m:t>
        </m:r>
        <m:r>
          <m:rPr>
            <m:sty m:val="i"/>
          </m:rPr>
          <m:t>y</m:t>
        </m:r>
        <m:r>
          <m:rPr>
            <m:sty m:val="p"/>
          </m:rPr>
          <m:t>∥</m:t>
        </m:r>
        <m:r>
          <m:rPr>
            <m:sty m:val="i"/>
          </m:rPr>
          <m:t>r</m:t>
        </m:r>
        <m:r>
          <m:rPr>
            <m:sty m:val="i"/>
          </m:rPr>
          <m:t>k</m:t>
        </m:r>
        <m:r>
          <m:rPr>
            <m:sty m:val="p"/>
          </m:rPr>
          <m:t>.</m:t>
        </m:r>
        <m:r>
          <m:rPr>
            <m:sty m:val="i"/>
          </m:rPr>
          <m:t>m</m:t>
        </m:r>
        <m:r>
          <m:rPr>
            <m:sty m:val="i"/>
          </m:rPr>
          <m:t>a</m:t>
        </m:r>
        <m:r>
          <m:rPr>
            <m:sty m:val="i"/>
          </m:rPr>
          <m:t>t</m:t>
        </m:r>
        <m:r>
          <m:rPr>
            <m:sty m:val="i"/>
          </m:rPr>
          <m:t>e</m:t>
        </m:r>
        <m:r>
          <m:rPr>
            <m:sty m:val="i"/>
          </m:rPr>
          <m:t>r</m:t>
        </m:r>
        <m:r>
          <m:rPr>
            <m:sty m:val="i"/>
          </m:rPr>
          <m:t>i</m:t>
        </m:r>
        <m:r>
          <m:rPr>
            <m:sty m:val="i"/>
          </m:rPr>
          <m:t>a</m:t>
        </m:r>
        <m:r>
          <m:rPr>
            <m:sty m:val="i"/>
          </m:rPr>
          <m:t>l</m:t>
        </m:r>
        <m:r>
          <m:rPr>
            <m:sty m:val="p"/>
          </m:rPr>
          <m:t>∥</m:t>
        </m:r>
        <m:r>
          <m:rPr>
            <m:nor/>
            <m:scr m:val="monospace"/>
            <m:sty m:val="p"/>
          </m:rPr>
          <m:t>"ehr-pre-transform"</m:t>
        </m:r>
        <m:r>
          <m:rPr>
            <m:sty m:val="p"/>
          </m:rPr>
          <m:t>)</m:t>
        </m:r>
      </m:oMath>
      <w:r>
        <w:t xml:space="preserve"> </w:t>
      </w:r>
      <m:oMath>
        <m:sSup>
          <m:e>
            <m:r>
              <m:rPr>
                <m:sty m:val="i"/>
              </m:rPr>
              <m:t>n</m:t>
            </m:r>
            <m:r>
              <m:rPr>
                <m:sty m:val="i"/>
              </m:rPr>
              <m:t>o</m:t>
            </m:r>
            <m:r>
              <m:rPr>
                <m:sty m:val="i"/>
              </m:rPr>
              <m:t>n</m:t>
            </m:r>
            <m:r>
              <m:rPr>
                <m:sty m:val="i"/>
              </m:rPr>
              <m:t>c</m:t>
            </m:r>
            <m:r>
              <m:rPr>
                <m:sty m:val="i"/>
              </m:rPr>
              <m:t>e</m:t>
            </m:r>
          </m:e>
          <m:sup>
            <m:r>
              <m:rPr>
                <m:sty m:val="p"/>
              </m:rPr>
              <m:t>′</m:t>
            </m:r>
          </m:sup>
        </m:sSup>
        <m:r>
          <m:rPr>
            <m:sty m:val="p"/>
          </m:rPr>
          <m:t>←</m:t>
        </m:r>
        <m:sSup>
          <m:e>
            <m:r>
              <m:rPr>
                <m:sty m:val="p"/>
              </m:rPr>
              <m:t>$</m:t>
            </m:r>
          </m:e>
          <m:sup>
            <m:r>
              <m:t>96</m:t>
            </m:r>
          </m:sup>
        </m:sSup>
      </m:oMath>
      <w:r>
        <w:t xml:space="preserve"> </w:t>
      </w:r>
      <m:oMath>
        <m:sSub>
          <m:e>
            <m:r>
              <m:rPr>
                <m:sty m:val="i"/>
              </m:rPr>
              <m:t>c</m:t>
            </m:r>
            <m:r>
              <m:rPr>
                <m:sty m:val="i"/>
              </m:rPr>
              <m:t>t</m:t>
            </m:r>
          </m:e>
          <m:sub>
            <m:r>
              <m:t>B</m:t>
            </m:r>
          </m:sub>
        </m:sSub>
        <m:r>
          <m:rPr>
            <m:sty m:val="p"/>
          </m:rPr>
          <m:t>.</m:t>
        </m:r>
        <m:r>
          <m:rPr>
            <m:sty m:val="i"/>
          </m:rPr>
          <m:t>d</m:t>
        </m:r>
        <m:r>
          <m:rPr>
            <m:sty m:val="i"/>
          </m:rPr>
          <m:t>a</m:t>
        </m:r>
        <m:r>
          <m:rPr>
            <m:sty m:val="i"/>
          </m:rPr>
          <m:t>t</m:t>
        </m:r>
        <m:r>
          <m:rPr>
            <m:sty m:val="i"/>
          </m:rPr>
          <m:t>a</m:t>
        </m:r>
        <m:r>
          <m:rPr>
            <m:sty m:val="p"/>
          </m:rPr>
          <m:t>←</m:t>
        </m:r>
        <m:r>
          <m:rPr>
            <m:scr m:val="sans-serif"/>
            <m:sty m:val="p"/>
          </m:rPr>
          <m:t>T</m:t>
        </m:r>
        <m:r>
          <m:rPr>
            <m:scr m:val="sans-serif"/>
            <m:sty m:val="p"/>
          </m:rPr>
          <m:t>r</m:t>
        </m:r>
        <m:r>
          <m:rPr>
            <m:scr m:val="sans-serif"/>
            <m:sty m:val="p"/>
          </m:rPr>
          <m:t>a</m:t>
        </m:r>
        <m:r>
          <m:rPr>
            <m:scr m:val="sans-serif"/>
            <m:sty m:val="p"/>
          </m:rPr>
          <m:t>n</m:t>
        </m:r>
        <m:r>
          <m:rPr>
            <m:scr m:val="sans-serif"/>
            <m:sty m:val="p"/>
          </m:rPr>
          <m:t>s</m:t>
        </m:r>
        <m:r>
          <m:rPr>
            <m:scr m:val="sans-serif"/>
            <m:sty m:val="p"/>
          </m:rPr>
          <m:t>f</m:t>
        </m:r>
        <m:r>
          <m:rPr>
            <m:scr m:val="sans-serif"/>
            <m:sty m:val="p"/>
          </m:rPr>
          <m:t>o</m:t>
        </m:r>
        <m:r>
          <m:rPr>
            <m:scr m:val="sans-serif"/>
            <m:sty m:val="p"/>
          </m:rPr>
          <m:t>r</m:t>
        </m:r>
        <m:r>
          <m:rPr>
            <m:scr m:val="sans-serif"/>
            <m:sty m:val="p"/>
          </m:rPr>
          <m:t>m</m:t>
        </m:r>
        <m:r>
          <m:rPr>
            <m:scr m:val="sans-serif"/>
            <m:sty m:val="p"/>
          </m:rPr>
          <m:t>S</m:t>
        </m:r>
        <m:r>
          <m:rPr>
            <m:scr m:val="sans-serif"/>
            <m:sty m:val="p"/>
          </m:rPr>
          <m:t>y</m:t>
        </m:r>
        <m:r>
          <m:rPr>
            <m:scr m:val="sans-serif"/>
            <m:sty m:val="p"/>
          </m:rPr>
          <m:t>m</m:t>
        </m:r>
        <m:r>
          <m:rPr>
            <m:scr m:val="sans-serif"/>
            <m:sty m:val="p"/>
          </m:rPr>
          <m:t>m</m:t>
        </m:r>
        <m:r>
          <m:rPr>
            <m:scr m:val="sans-serif"/>
            <m:sty m:val="p"/>
          </m:rPr>
          <m:t>e</m:t>
        </m:r>
        <m:r>
          <m:rPr>
            <m:scr m:val="sans-serif"/>
            <m:sty m:val="p"/>
          </m:rPr>
          <m:t>t</m:t>
        </m:r>
        <m:r>
          <m:rPr>
            <m:scr m:val="sans-serif"/>
            <m:sty m:val="p"/>
          </m:rPr>
          <m:t>r</m:t>
        </m:r>
        <m:r>
          <m:rPr>
            <m:scr m:val="sans-serif"/>
            <m:sty m:val="p"/>
          </m:rPr>
          <m:t>i</m:t>
        </m:r>
        <m:r>
          <m:rPr>
            <m:scr m:val="sans-serif"/>
            <m:sty m:val="p"/>
          </m:rPr>
          <m:t>c</m:t>
        </m:r>
        <m:r>
          <m:rPr>
            <m:sty m:val="p"/>
          </m:rPr>
          <m:t>(</m:t>
        </m:r>
        <m:sSub>
          <m:e>
            <m:r>
              <m:rPr>
                <m:sty m:val="i"/>
              </m:rPr>
              <m:t>c</m:t>
            </m:r>
            <m:r>
              <m:rPr>
                <m:sty m:val="i"/>
              </m:rPr>
              <m:t>t</m:t>
            </m:r>
          </m:e>
          <m:sub>
            <m:r>
              <m:t>A</m:t>
            </m:r>
          </m:sub>
        </m:sSub>
        <m:r>
          <m:rPr>
            <m:sty m:val="p"/>
          </m:rPr>
          <m:t>.</m:t>
        </m:r>
        <m:r>
          <m:rPr>
            <m:sty m:val="i"/>
          </m:rPr>
          <m:t>d</m:t>
        </m:r>
        <m:r>
          <m:rPr>
            <m:sty m:val="i"/>
          </m:rPr>
          <m:t>a</m:t>
        </m:r>
        <m:r>
          <m:rPr>
            <m:sty m:val="i"/>
          </m:rPr>
          <m:t>t</m:t>
        </m:r>
        <m:r>
          <m:rPr>
            <m:sty m:val="i"/>
          </m:rPr>
          <m:t>a</m:t>
        </m:r>
        <m:r>
          <m:rPr>
            <m:sty m:val="p"/>
          </m:rPr>
          <m:t>,</m:t>
        </m:r>
        <m:sSub>
          <m:e>
            <m:r>
              <m:rPr>
                <m:sty m:val="i"/>
              </m:rPr>
              <m:t>c</m:t>
            </m:r>
            <m:r>
              <m:rPr>
                <m:sty m:val="i"/>
              </m:rPr>
              <m:t>t</m:t>
            </m:r>
          </m:e>
          <m:sub>
            <m:r>
              <m:t>A</m:t>
            </m:r>
          </m:sub>
        </m:sSub>
        <m:r>
          <m:rPr>
            <m:sty m:val="p"/>
          </m:rPr>
          <m:t>.</m:t>
        </m:r>
        <m:r>
          <m:rPr>
            <m:sty m:val="i"/>
          </m:rPr>
          <m:t>n</m:t>
        </m:r>
        <m:r>
          <m:rPr>
            <m:sty m:val="i"/>
          </m:rPr>
          <m:t>o</m:t>
        </m:r>
        <m:r>
          <m:rPr>
            <m:sty m:val="i"/>
          </m:rPr>
          <m:t>n</m:t>
        </m:r>
        <m:r>
          <m:rPr>
            <m:sty m:val="i"/>
          </m:rPr>
          <m:t>c</m:t>
        </m:r>
        <m:r>
          <m:rPr>
            <m:sty m:val="i"/>
          </m:rPr>
          <m:t>e</m:t>
        </m:r>
        <m:r>
          <m:rPr>
            <m:sty m:val="p"/>
          </m:rPr>
          <m:t>,</m:t>
        </m:r>
        <m:r>
          <m:rPr>
            <m:sty m:val="i"/>
          </m:rPr>
          <m:t>r</m:t>
        </m:r>
        <m:r>
          <m:rPr>
            <m:sty m:val="i"/>
          </m:rPr>
          <m:t>k</m:t>
        </m:r>
        <m:r>
          <m:rPr>
            <m:sty m:val="p"/>
          </m:rPr>
          <m:t>.</m:t>
        </m:r>
        <m:r>
          <m:rPr>
            <m:sty m:val="i"/>
          </m:rPr>
          <m:t>m</m:t>
        </m:r>
        <m:r>
          <m:rPr>
            <m:sty m:val="i"/>
          </m:rPr>
          <m:t>a</m:t>
        </m:r>
        <m:r>
          <m:rPr>
            <m:sty m:val="i"/>
          </m:rPr>
          <m:t>t</m:t>
        </m:r>
        <m:r>
          <m:rPr>
            <m:sty m:val="i"/>
          </m:rPr>
          <m:t>e</m:t>
        </m:r>
        <m:r>
          <m:rPr>
            <m:sty m:val="i"/>
          </m:rPr>
          <m:t>r</m:t>
        </m:r>
        <m:r>
          <m:rPr>
            <m:sty m:val="i"/>
          </m:rPr>
          <m:t>i</m:t>
        </m:r>
        <m:r>
          <m:rPr>
            <m:sty m:val="i"/>
          </m:rPr>
          <m:t>a</m:t>
        </m:r>
        <m:r>
          <m:rPr>
            <m:sty m:val="i"/>
          </m:rPr>
          <m:t>l</m:t>
        </m:r>
        <m:r>
          <m:rPr>
            <m:sty m:val="p"/>
          </m:rPr>
          <m:t>,</m:t>
        </m:r>
        <m:sSup>
          <m:e>
            <m:r>
              <m:rPr>
                <m:sty m:val="i"/>
              </m:rPr>
              <m:t>n</m:t>
            </m:r>
            <m:r>
              <m:rPr>
                <m:sty m:val="i"/>
              </m:rPr>
              <m:t>o</m:t>
            </m:r>
            <m:r>
              <m:rPr>
                <m:sty m:val="i"/>
              </m:rPr>
              <m:t>n</m:t>
            </m:r>
            <m:r>
              <m:rPr>
                <m:sty m:val="i"/>
              </m:rPr>
              <m:t>c</m:t>
            </m:r>
            <m:r>
              <m:rPr>
                <m:sty m:val="i"/>
              </m:rPr>
              <m:t>e</m:t>
            </m:r>
          </m:e>
          <m:sup>
            <m:r>
              <m:rPr>
                <m:sty m:val="p"/>
              </m:rPr>
              <m:t>′</m:t>
            </m:r>
          </m:sup>
        </m:sSup>
        <m:r>
          <m:rPr>
            <m:sty m:val="p"/>
          </m:rPr>
          <m:t>)</m:t>
        </m:r>
      </m:oMath>
      <w:r>
        <w:t xml:space="preserve"> </w:t>
      </w:r>
      <m:oMath>
        <m:r>
          <m:rPr>
            <m:sty m:val="i"/>
          </m:rPr>
          <m:t>r</m:t>
        </m:r>
        <m:r>
          <m:rPr>
            <m:sty m:val="i"/>
          </m:rPr>
          <m:t>k</m:t>
        </m:r>
        <m:r>
          <m:rPr>
            <m:sty m:val="p"/>
          </m:rPr>
          <m:t>.</m:t>
        </m:r>
        <m:r>
          <m:rPr>
            <m:sty m:val="i"/>
          </m:rPr>
          <m:t>u</m:t>
        </m:r>
        <m:r>
          <m:rPr>
            <m:sty m:val="i"/>
          </m:rPr>
          <m:t>s</m:t>
        </m:r>
        <m:r>
          <m:rPr>
            <m:sty m:val="i"/>
          </m:rPr>
          <m:t>e</m:t>
        </m:r>
        <m:r>
          <m:rPr>
            <m:sty m:val="i"/>
          </m:rPr>
          <m:t>_</m:t>
        </m:r>
        <m:r>
          <m:rPr>
            <m:sty m:val="i"/>
          </m:rPr>
          <m:t>c</m:t>
        </m:r>
        <m:r>
          <m:rPr>
            <m:sty m:val="i"/>
          </m:rPr>
          <m:t>o</m:t>
        </m:r>
        <m:r>
          <m:rPr>
            <m:sty m:val="i"/>
          </m:rPr>
          <m:t>u</m:t>
        </m:r>
        <m:r>
          <m:rPr>
            <m:sty m:val="i"/>
          </m:rPr>
          <m:t>n</m:t>
        </m:r>
        <m:r>
          <m:rPr>
            <m:sty m:val="i"/>
          </m:rPr>
          <m:t>t</m:t>
        </m:r>
        <m:r>
          <m:rPr>
            <m:sty m:val="p"/>
          </m:rPr>
          <m:t>←</m:t>
        </m:r>
        <m:r>
          <m:rPr>
            <m:sty m:val="i"/>
          </m:rPr>
          <m:t>r</m:t>
        </m:r>
        <m:r>
          <m:rPr>
            <m:sty m:val="i"/>
          </m:rPr>
          <m:t>k</m:t>
        </m:r>
        <m:r>
          <m:rPr>
            <m:sty m:val="p"/>
          </m:rPr>
          <m:t>.</m:t>
        </m:r>
        <m:r>
          <m:rPr>
            <m:sty m:val="i"/>
          </m:rPr>
          <m:t>u</m:t>
        </m:r>
        <m:r>
          <m:rPr>
            <m:sty m:val="i"/>
          </m:rPr>
          <m:t>s</m:t>
        </m:r>
        <m:r>
          <m:rPr>
            <m:sty m:val="i"/>
          </m:rPr>
          <m:t>e</m:t>
        </m:r>
        <m:r>
          <m:rPr>
            <m:sty m:val="i"/>
          </m:rPr>
          <m:t>_</m:t>
        </m:r>
        <m:r>
          <m:rPr>
            <m:sty m:val="i"/>
          </m:rPr>
          <m:t>c</m:t>
        </m:r>
        <m:r>
          <m:rPr>
            <m:sty m:val="i"/>
          </m:rPr>
          <m:t>o</m:t>
        </m:r>
        <m:r>
          <m:rPr>
            <m:sty m:val="i"/>
          </m:rPr>
          <m:t>u</m:t>
        </m:r>
        <m:r>
          <m:rPr>
            <m:sty m:val="i"/>
          </m:rPr>
          <m:t>n</m:t>
        </m:r>
        <m:r>
          <m:rPr>
            <m:sty m:val="i"/>
          </m:rPr>
          <m:t>t</m:t>
        </m:r>
        <m:r>
          <m:rPr>
            <m:sty m:val="p"/>
          </m:rPr>
          <m:t>+</m:t>
        </m:r>
        <m:r>
          <m:t>1</m:t>
        </m:r>
      </m:oMath>
      <w:r>
        <w:t xml:space="preserve"> </w:t>
      </w:r>
      <m:oMath>
        <m:r>
          <m:rPr>
            <m:sty m:val="i"/>
          </m:rPr>
          <m:t>R</m:t>
        </m:r>
        <m:r>
          <m:rPr>
            <m:sty m:val="i"/>
          </m:rPr>
          <m:t>e</m:t>
        </m:r>
        <m:r>
          <m:rPr>
            <m:sty m:val="i"/>
          </m:rPr>
          <m:t>v</m:t>
        </m:r>
        <m:r>
          <m:rPr>
            <m:sty m:val="i"/>
          </m:rPr>
          <m:t>o</m:t>
        </m:r>
        <m:r>
          <m:rPr>
            <m:sty m:val="i"/>
          </m:rPr>
          <m:t>k</m:t>
        </m:r>
        <m:r>
          <m:rPr>
            <m:sty m:val="i"/>
          </m:rPr>
          <m:t>e</m:t>
        </m:r>
        <m:r>
          <m:rPr>
            <m:sty m:val="i"/>
          </m:rPr>
          <m:t>d</m:t>
        </m:r>
        <m:r>
          <m:rPr>
            <m:sty m:val="i"/>
          </m:rPr>
          <m:t>K</m:t>
        </m:r>
        <m:r>
          <m:rPr>
            <m:sty m:val="i"/>
          </m:rPr>
          <m:t>e</m:t>
        </m:r>
        <m:r>
          <m:rPr>
            <m:sty m:val="i"/>
          </m:rPr>
          <m:t>y</m:t>
        </m:r>
        <m:r>
          <m:rPr>
            <m:sty m:val="i"/>
          </m:rPr>
          <m:t>s</m:t>
        </m:r>
        <m:r>
          <m:rPr>
            <m:sty m:val="p"/>
          </m:rPr>
          <m:t>←</m:t>
        </m:r>
        <m:r>
          <m:rPr>
            <m:sty m:val="i"/>
          </m:rPr>
          <m:t>R</m:t>
        </m:r>
        <m:r>
          <m:rPr>
            <m:sty m:val="i"/>
          </m:rPr>
          <m:t>e</m:t>
        </m:r>
        <m:r>
          <m:rPr>
            <m:sty m:val="i"/>
          </m:rPr>
          <m:t>v</m:t>
        </m:r>
        <m:r>
          <m:rPr>
            <m:sty m:val="i"/>
          </m:rPr>
          <m:t>o</m:t>
        </m:r>
        <m:r>
          <m:rPr>
            <m:sty m:val="i"/>
          </m:rPr>
          <m:t>k</m:t>
        </m:r>
        <m:r>
          <m:rPr>
            <m:sty m:val="i"/>
          </m:rPr>
          <m:t>e</m:t>
        </m:r>
        <m:r>
          <m:rPr>
            <m:sty m:val="i"/>
          </m:rPr>
          <m:t>d</m:t>
        </m:r>
        <m:r>
          <m:rPr>
            <m:sty m:val="i"/>
          </m:rPr>
          <m:t>K</m:t>
        </m:r>
        <m:r>
          <m:rPr>
            <m:sty m:val="i"/>
          </m:rPr>
          <m:t>e</m:t>
        </m:r>
        <m:r>
          <m:rPr>
            <m:sty m:val="i"/>
          </m:rPr>
          <m:t>y</m:t>
        </m:r>
        <m:r>
          <m:rPr>
            <m:sty m:val="i"/>
          </m:rPr>
          <m:t>s</m:t>
        </m:r>
        <m:r>
          <m:rPr>
            <m:sty m:val="p"/>
          </m:rPr>
          <m:t>∪</m:t>
        </m:r>
        <m:r>
          <m:rPr>
            <m:sty m:val="p"/>
          </m:rPr>
          <m:t>{</m:t>
        </m:r>
        <m:r>
          <m:rPr>
            <m:sty m:val="i"/>
          </m:rPr>
          <m:t>r</m:t>
        </m:r>
        <m:r>
          <m:rPr>
            <m:sty m:val="i"/>
          </m:rPr>
          <m:t>k</m:t>
        </m:r>
        <m:r>
          <m:rPr>
            <m:sty m:val="p"/>
          </m:rPr>
          <m:t>.</m:t>
        </m:r>
        <m:r>
          <m:rPr>
            <m:sty m:val="i"/>
          </m:rPr>
          <m:t>k</m:t>
        </m:r>
        <m:r>
          <m:rPr>
            <m:sty m:val="i"/>
          </m:rPr>
          <m:t>e</m:t>
        </m:r>
        <m:r>
          <m:rPr>
            <m:sty m:val="i"/>
          </m:rPr>
          <m:t>y</m:t>
        </m:r>
        <m:r>
          <m:rPr>
            <m:sty m:val="i"/>
          </m:rPr>
          <m:t>_</m:t>
        </m:r>
        <m:r>
          <m:rPr>
            <m:sty m:val="i"/>
          </m:rPr>
          <m:t>i</m:t>
        </m:r>
        <m:r>
          <m:rPr>
            <m:sty m:val="i"/>
          </m:rPr>
          <m:t>d</m:t>
        </m:r>
        <m:r>
          <m:rPr>
            <m:sty m:val="p"/>
          </m:rPr>
          <m:t>}</m:t>
        </m:r>
      </m:oMath>
      <w:r>
        <w:t xml:space="preserve"> </w:t>
      </w:r>
      <w:r>
        <w:t xml:space="preserve">Log audit: re-encryption successful</w:t>
      </w:r>
      <w:r>
        <w:t xml:space="preserve"> </w:t>
      </w:r>
      <m:oMath>
        <m:sSub>
          <m:e>
            <m:r>
              <m:rPr>
                <m:sty m:val="i"/>
              </m:rPr>
              <m:t>c</m:t>
            </m:r>
            <m:r>
              <m:rPr>
                <m:sty m:val="i"/>
              </m:rPr>
              <m:t>t</m:t>
            </m:r>
          </m:e>
          <m:sub>
            <m:r>
              <m:t>B</m:t>
            </m:r>
          </m:sub>
        </m:sSub>
      </m:oMath>
    </w:p>
    <w:bookmarkEnd w:id="26"/>
    <w:bookmarkStart w:id="27" w:name="use-cases"/>
    <w:p>
      <w:pPr>
        <w:pStyle w:val="Heading2"/>
      </w:pPr>
      <w:r>
        <w:t xml:space="preserve">Use Cases</w:t>
      </w:r>
    </w:p>
    <w:p>
      <w:pPr>
        <w:pStyle w:val="FirstParagraph"/>
      </w:pPr>
      <w:r>
        <w:t xml:space="preserve">The PRE scheme supports five primary healthcare workflows:</w:t>
      </w:r>
    </w:p>
    <w:p>
      <w:pPr>
        <w:numPr>
          <w:ilvl w:val="0"/>
          <w:numId w:val="1007"/>
        </w:numPr>
      </w:pPr>
      <w:r>
        <w:rPr>
          <w:b/>
          <w:bCs/>
        </w:rPr>
        <w:t xml:space="preserve">Patient transfer:</w:t>
      </w:r>
      <w:r>
        <w:t xml:space="preserve"> </w:t>
      </w:r>
      <w:r>
        <w:t xml:space="preserve">When a patient transfers between hospitals, the originating provider generates</w:t>
      </w:r>
      <w:r>
        <w:t xml:space="preserve"> </w:t>
      </w:r>
      <m:oMath>
        <m:r>
          <m:rPr>
            <m:sty m:val="i"/>
          </m:rPr>
          <m:t>r</m:t>
        </m:r>
        <m:r>
          <m:rPr>
            <m:sty m:val="i"/>
          </m:rPr>
          <m:t>k</m:t>
        </m:r>
      </m:oMath>
      <w:r>
        <w:t xml:space="preserve"> </w:t>
      </w:r>
      <w:r>
        <w:t xml:space="preserve">with FULL_ACCESS consent. The HIE transforms all record categories without accessing plaintext.</w:t>
      </w:r>
    </w:p>
    <w:p>
      <w:pPr>
        <w:numPr>
          <w:ilvl w:val="0"/>
          <w:numId w:val="1007"/>
        </w:numPr>
      </w:pPr>
      <w:r>
        <w:rPr>
          <w:b/>
          <w:bCs/>
        </w:rPr>
        <w:t xml:space="preserve">Specialist referral:</w:t>
      </w:r>
      <w:r>
        <w:t xml:space="preserve"> </w:t>
      </w:r>
      <w:r>
        <w:t xml:space="preserve">The primary care provider generates</w:t>
      </w:r>
      <w:r>
        <w:t xml:space="preserve"> </w:t>
      </w:r>
      <m:oMath>
        <m:r>
          <m:rPr>
            <m:sty m:val="i"/>
          </m:rPr>
          <m:t>r</m:t>
        </m:r>
        <m:r>
          <m:rPr>
            <m:sty m:val="i"/>
          </m:rPr>
          <m:t>k</m:t>
        </m:r>
      </m:oMath>
      <w:r>
        <w:t xml:space="preserve"> </w:t>
      </w:r>
      <w:r>
        <w:t xml:space="preserve">with CATEGORY_RESTRICTED consent, authorizing only the categories relevant to the specialist (e.g., Lab Results and Imaging for a radiologist).</w:t>
      </w:r>
    </w:p>
    <w:p>
      <w:pPr>
        <w:numPr>
          <w:ilvl w:val="0"/>
          <w:numId w:val="1007"/>
        </w:numPr>
      </w:pPr>
      <w:r>
        <w:rPr>
          <w:b/>
          <w:bCs/>
        </w:rPr>
        <w:t xml:space="preserve">Insurance claims:</w:t>
      </w:r>
      <w:r>
        <w:t xml:space="preserve"> </w:t>
      </w:r>
      <w:r>
        <w:t xml:space="preserve">The provider generates</w:t>
      </w:r>
      <w:r>
        <w:t xml:space="preserve"> </w:t>
      </w:r>
      <m:oMath>
        <m:r>
          <m:rPr>
            <m:sty m:val="i"/>
          </m:rPr>
          <m:t>r</m:t>
        </m:r>
        <m:r>
          <m:rPr>
            <m:sty m:val="i"/>
          </m:rPr>
          <m:t>k</m:t>
        </m:r>
      </m:oMath>
      <w:r>
        <w:t xml:space="preserve"> </w:t>
      </w:r>
      <w:r>
        <w:t xml:space="preserve">with CATEGORY_RESTRICTED consent limited to Diagnoses, Procedures, and Demographics for claims processing.</w:t>
      </w:r>
    </w:p>
    <w:p>
      <w:pPr>
        <w:numPr>
          <w:ilvl w:val="0"/>
          <w:numId w:val="1007"/>
        </w:numPr>
      </w:pPr>
      <w:r>
        <w:rPr>
          <w:b/>
          <w:bCs/>
        </w:rPr>
        <w:t xml:space="preserve">Research:</w:t>
      </w:r>
      <w:r>
        <w:t xml:space="preserve"> </w:t>
      </w:r>
      <w:r>
        <w:t xml:space="preserve">The provider generates</w:t>
      </w:r>
      <w:r>
        <w:t xml:space="preserve"> </w:t>
      </w:r>
      <m:oMath>
        <m:r>
          <m:rPr>
            <m:sty m:val="i"/>
          </m:rPr>
          <m:t>r</m:t>
        </m:r>
        <m:r>
          <m:rPr>
            <m:sty m:val="i"/>
          </m:rPr>
          <m:t>k</m:t>
        </m:r>
      </m:oMath>
      <w:r>
        <w:t xml:space="preserve"> </w:t>
      </w:r>
      <w:r>
        <w:t xml:space="preserve">with RESEARCH consent. The re-encryption output is further de-identified before delivery to the research institution.</w:t>
      </w:r>
    </w:p>
    <w:p>
      <w:pPr>
        <w:numPr>
          <w:ilvl w:val="0"/>
          <w:numId w:val="1007"/>
        </w:numPr>
      </w:pPr>
      <w:r>
        <w:rPr>
          <w:b/>
          <w:bCs/>
        </w:rPr>
        <w:t xml:space="preserve">Emergency access:</w:t>
      </w:r>
      <w:r>
        <w:t xml:space="preserve"> </w:t>
      </w:r>
      <w:r>
        <w:t xml:space="preserve">The emergency department receives</w:t>
      </w:r>
      <w:r>
        <w:t xml:space="preserve"> </w:t>
      </w:r>
      <m:oMath>
        <m:r>
          <m:rPr>
            <m:sty m:val="i"/>
          </m:rPr>
          <m:t>r</m:t>
        </m:r>
        <m:r>
          <m:rPr>
            <m:sty m:val="i"/>
          </m:rPr>
          <m:t>k</m:t>
        </m:r>
      </m:oMath>
      <w:r>
        <w:t xml:space="preserve"> </w:t>
      </w:r>
      <w:r>
        <w:t xml:space="preserve">with EMERGENCY consent and TIME_LIMITED validity (e.g., 4 hours). Break-glass access triggers enhanced audit logging.</w:t>
      </w:r>
    </w:p>
    <w:bookmarkEnd w:id="27"/>
    <w:bookmarkStart w:id="28" w:name="hipaa-compliant-audit-trail"/>
    <w:p>
      <w:pPr>
        <w:pStyle w:val="Heading2"/>
      </w:pPr>
      <w:r>
        <w:t xml:space="preserve">HIPAA-Compliant Audit Trail</w:t>
      </w:r>
    </w:p>
    <w:p>
      <w:pPr>
        <w:pStyle w:val="FirstParagraph"/>
      </w:pPr>
      <w:r>
        <w:t xml:space="preserve">Every operation—key generation, re-encryption, revocation, and denial—generates an</w:t>
      </w:r>
      <w:r>
        <w:t xml:space="preserve"> </w:t>
      </w:r>
      <w:r>
        <w:rPr>
          <w:rStyle w:val="VerbatimChar"/>
        </w:rPr>
        <w:t xml:space="preserve">AuditEntry</w:t>
      </w:r>
      <w:r>
        <w:t xml:space="preserve"> </w:t>
      </w:r>
      <w:r>
        <w:t xml:space="preserve">containing:</w:t>
      </w:r>
    </w:p>
    <w:p>
      <w:pPr>
        <w:numPr>
          <w:ilvl w:val="0"/>
          <w:numId w:val="1008"/>
        </w:numPr>
      </w:pPr>
      <w:r>
        <w:t xml:space="preserve">A unique entry ID derived as</w:t>
      </w:r>
      <w:r>
        <w:t xml:space="preserve"> </w:t>
      </w:r>
      <m:oMath>
        <m:r>
          <m:rPr>
            <m:nor/>
            <m:scr m:val="sans-serif"/>
            <m:sty m:val="p"/>
          </m:rPr>
          <m:t>SHA3-256</m:t>
        </m:r>
        <m:r>
          <m:t>​</m:t>
        </m:r>
        <m:r>
          <m:rPr>
            <m:sty m:val="p"/>
          </m:rPr>
          <m:t>(</m:t>
        </m:r>
        <m:r>
          <m:rPr>
            <m:sty m:val="i"/>
          </m:rPr>
          <m:t>c</m:t>
        </m:r>
        <m:r>
          <m:rPr>
            <m:sty m:val="i"/>
          </m:rPr>
          <m:t>o</m:t>
        </m:r>
        <m:r>
          <m:rPr>
            <m:sty m:val="i"/>
          </m:rPr>
          <m:t>u</m:t>
        </m:r>
        <m:r>
          <m:rPr>
            <m:sty m:val="i"/>
          </m:rPr>
          <m:t>n</m:t>
        </m:r>
        <m:r>
          <m:rPr>
            <m:sty m:val="i"/>
          </m:rPr>
          <m:t>t</m:t>
        </m:r>
        <m:r>
          <m:rPr>
            <m:sty m:val="i"/>
          </m:rPr>
          <m:t>e</m:t>
        </m:r>
        <m:r>
          <m:rPr>
            <m:sty m:val="i"/>
          </m:rPr>
          <m:t>r</m:t>
        </m:r>
        <m:r>
          <m:rPr>
            <m:sty m:val="p"/>
          </m:rPr>
          <m:t>∥</m:t>
        </m:r>
        <m:r>
          <m:t>r</m:t>
        </m:r>
        <m:r>
          <m:rPr>
            <m:sty m:val="p"/>
          </m:rPr>
          <m:t>)</m:t>
        </m:r>
        <m:r>
          <m:rPr>
            <m:sty m:val="p"/>
          </m:rPr>
          <m:t>[</m:t>
        </m:r>
        <m:r>
          <m:t>0</m:t>
        </m:r>
        <m:r>
          <m:rPr>
            <m:sty m:val="p"/>
          </m:rPr>
          <m:t>:</m:t>
        </m:r>
        <m:r>
          <m:t>16</m:t>
        </m:r>
        <m:r>
          <m:rPr>
            <m:sty m:val="p"/>
          </m:rPr>
          <m:t>]</m:t>
        </m:r>
      </m:oMath>
      <w:r>
        <w:t xml:space="preserve"> </w:t>
      </w:r>
      <w:r>
        <w:t xml:space="preserve">where</w:t>
      </w:r>
      <w:r>
        <w:t xml:space="preserve"> </w:t>
      </w:r>
      <m:oMath>
        <m:r>
          <m:t>r</m:t>
        </m:r>
        <m:r>
          <m:rPr>
            <m:sty m:val="p"/>
          </m:rPr>
          <m:t>←</m:t>
        </m:r>
        <m:sSup>
          <m:e>
            <m:r>
              <m:rPr>
                <m:sty m:val="p"/>
              </m:rPr>
              <m:t>$</m:t>
            </m:r>
          </m:e>
          <m:sup>
            <m:r>
              <m:t>64</m:t>
            </m:r>
          </m:sup>
        </m:sSup>
      </m:oMath>
      <w:r>
        <w:t xml:space="preserve">.</w:t>
      </w:r>
    </w:p>
    <w:p>
      <w:pPr>
        <w:numPr>
          <w:ilvl w:val="0"/>
          <w:numId w:val="1008"/>
        </w:numPr>
      </w:pPr>
      <w:r>
        <w:t xml:space="preserve">Operation type, delegator ID, delegatee ID.</w:t>
      </w:r>
    </w:p>
    <w:p>
      <w:pPr>
        <w:numPr>
          <w:ilvl w:val="0"/>
          <w:numId w:val="1008"/>
        </w:numPr>
      </w:pPr>
      <w:r>
        <w:t xml:space="preserve">Patient ID hash</w:t>
      </w:r>
      <w:r>
        <w:t xml:space="preserve"> </w:t>
      </w:r>
      <m:oMath>
        <m:sSub>
          <m:e>
            <m:r>
              <m:t>h</m:t>
            </m:r>
          </m:e>
          <m:sub>
            <m:r>
              <m:rPr>
                <m:sty m:val="i"/>
              </m:rPr>
              <m:t>p</m:t>
            </m:r>
            <m:r>
              <m:rPr>
                <m:sty m:val="i"/>
              </m:rPr>
              <m:t>i</m:t>
            </m:r>
            <m:r>
              <m:rPr>
                <m:sty m:val="i"/>
              </m:rPr>
              <m:t>d</m:t>
            </m:r>
          </m:sub>
        </m:sSub>
      </m:oMath>
      <w:r>
        <w:t xml:space="preserve"> </w:t>
      </w:r>
      <w:r>
        <w:t xml:space="preserve">(never the raw patient identifier).</w:t>
      </w:r>
    </w:p>
    <w:p>
      <w:pPr>
        <w:numPr>
          <w:ilvl w:val="0"/>
          <w:numId w:val="1008"/>
        </w:numPr>
      </w:pPr>
      <w:r>
        <w:t xml:space="preserve">Record category and consent reference.</w:t>
      </w:r>
    </w:p>
    <w:p>
      <w:pPr>
        <w:numPr>
          <w:ilvl w:val="0"/>
          <w:numId w:val="1008"/>
        </w:numPr>
      </w:pPr>
      <w:r>
        <w:t xml:space="preserve">Timestamp (Unix epoch), success/failure flag, and denial reason.</w:t>
      </w:r>
    </w:p>
    <w:p>
      <w:pPr>
        <w:pStyle w:val="FirstParagraph"/>
      </w:pPr>
      <w:r>
        <w:t xml:space="preserve">The audit log is append-only and supports queries by patient ID hash or provider ID, enabling HIPAA-mandated accounting of disclosures.</w:t>
      </w:r>
    </w:p>
    <w:bookmarkEnd w:id="28"/>
    <w:bookmarkEnd w:id="29"/>
    <w:bookmarkStart w:id="39" w:name="sec:he"/>
    <w:p>
      <w:pPr>
        <w:pStyle w:val="Heading1"/>
      </w:pPr>
      <w:r>
        <w:t xml:space="preserve">Homomorphic Vital Signs Analytics</w:t>
      </w:r>
    </w:p>
    <w:bookmarkStart w:id="33" w:name="encryption-scheme"/>
    <w:p>
      <w:pPr>
        <w:pStyle w:val="Heading2"/>
      </w:pPr>
      <w:r>
        <w:t xml:space="preserve">Encryption Scheme</w:t>
      </w:r>
    </w:p>
    <w:p>
      <w:pPr>
        <w:pStyle w:val="FirstParagraph"/>
      </w:pPr>
      <w:r>
        <w:t xml:space="preserve">We employ a Paillier-like additively homomorphic encryption scheme with 2048-bit keys, suitable for the aggregation-dominated workloads of vital sign analytics. The scheme operates as follows.</w:t>
      </w:r>
    </w:p>
    <w:bookmarkStart w:id="30" w:name="key-generation"/>
    <w:p>
      <w:pPr>
        <w:pStyle w:val="Heading3"/>
      </w:pPr>
      <w:r>
        <w:t xml:space="preserve">Key Generation</w:t>
      </w:r>
    </w:p>
    <w:p>
      <w:pPr>
        <w:pStyle w:val="FirstParagraph"/>
      </w:pPr>
      <w:r>
        <w:t xml:space="preserve">Generate safe primes</w:t>
      </w:r>
      <w:r>
        <w:t xml:space="preserve"> </w:t>
      </w:r>
      <m:oMath>
        <m:r>
          <m:t>p</m:t>
        </m:r>
        <m:r>
          <m:rPr>
            <m:sty m:val="p"/>
          </m:rPr>
          <m:t>,</m:t>
        </m:r>
        <m:r>
          <m:t>q</m:t>
        </m:r>
      </m:oMath>
      <w:r>
        <w:t xml:space="preserve"> </w:t>
      </w:r>
      <w:r>
        <w:t xml:space="preserve">each of 1024 bits. Compute:</w:t>
      </w:r>
    </w:p>
    <w:p>
      <w:pPr>
        <w:pStyle w:val="BodyText"/>
      </w:pPr>
      <m:oMathPara>
        <m:oMathParaPr>
          <m:jc m:val="center"/>
        </m:oMathParaPr>
        <m:oMath>
          <m:eqArr>
            <m:e>
              <m:r>
                <m:t>n</m:t>
              </m:r>
              <m:r>
                <m:t>&amp;</m:t>
              </m:r>
              <m:r>
                <m:rPr>
                  <m:sty m:val="p"/>
                </m:rPr>
                <m:t>=</m:t>
              </m:r>
              <m:r>
                <m:t>p</m:t>
              </m:r>
              <m:r>
                <m:rPr>
                  <m:sty m:val="p"/>
                </m:rPr>
                <m:t>⋅</m:t>
              </m:r>
              <m:r>
                <m:t>q</m:t>
              </m:r>
              <m:r>
                <m:rPr>
                  <m:sty m:val="p"/>
                </m:rPr>
                <m:t>,</m:t>
              </m:r>
              <m:r>
                <m:t> </m:t>
              </m:r>
              <m:sSup>
                <m:e>
                  <m:r>
                    <m:t>n</m:t>
                  </m:r>
                </m:e>
                <m:sup>
                  <m:r>
                    <m:t>2</m:t>
                  </m:r>
                </m:sup>
              </m:sSup>
              <m:r>
                <m:rPr>
                  <m:sty m:val="p"/>
                </m:rPr>
                <m:t>=</m:t>
              </m:r>
              <m:r>
                <m:t>n</m:t>
              </m:r>
              <m:r>
                <m:rPr>
                  <m:sty m:val="p"/>
                </m:rPr>
                <m:t>⋅</m:t>
              </m:r>
              <m:r>
                <m:t>n</m:t>
              </m:r>
              <m:r>
                <m:rPr>
                  <m:sty m:val="p"/>
                </m:rPr>
                <m:t>,</m:t>
              </m:r>
              <m:r>
                <m:t> </m:t>
              </m:r>
              <m:r>
                <m:t>g</m:t>
              </m:r>
              <m:r>
                <m:rPr>
                  <m:sty m:val="p"/>
                </m:rPr>
                <m:t>=</m:t>
              </m:r>
              <m:r>
                <m:t>n</m:t>
              </m:r>
              <m:r>
                <m:rPr>
                  <m:sty m:val="p"/>
                </m:rPr>
                <m:t>+</m:t>
              </m:r>
              <m:r>
                <m:t>1</m:t>
              </m:r>
            </m:e>
            <m:e>
              <m:r>
                <m:t>λ</m:t>
              </m:r>
              <m:r>
                <m:t>&amp;</m:t>
              </m:r>
              <m:r>
                <m:rPr>
                  <m:sty m:val="p"/>
                </m:rPr>
                <m:t>=</m:t>
              </m:r>
              <m:r>
                <m:rPr>
                  <m:nor/>
                  <m:sty m:val="p"/>
                </m:rPr>
                <m:t>lcm</m:t>
              </m:r>
              <m:r>
                <m:rPr>
                  <m:sty m:val="p"/>
                </m:rPr>
                <m:t>(</m:t>
              </m:r>
              <m:r>
                <m:t>p</m:t>
              </m:r>
              <m:r>
                <m:rPr>
                  <m:sty m:val="p"/>
                </m:rPr>
                <m:t>−</m:t>
              </m:r>
              <m:r>
                <m:t>1</m:t>
              </m:r>
              <m:r>
                <m:rPr>
                  <m:sty m:val="p"/>
                </m:rPr>
                <m:t>,</m:t>
              </m:r>
              <m:r>
                <m:t>q</m:t>
              </m:r>
              <m:r>
                <m:rPr>
                  <m:sty m:val="p"/>
                </m:rPr>
                <m:t>−</m:t>
              </m:r>
              <m:r>
                <m:t>1</m:t>
              </m:r>
              <m:r>
                <m:rPr>
                  <m:sty m:val="p"/>
                </m:rPr>
                <m:t>)</m:t>
              </m:r>
            </m:e>
            <m:e>
              <m:r>
                <m:t>μ</m:t>
              </m:r>
              <m:r>
                <m:t>&amp;</m:t>
              </m:r>
              <m:r>
                <m:rPr>
                  <m:sty m:val="p"/>
                </m:rPr>
                <m:t>=</m:t>
              </m:r>
              <m:r>
                <m:t>L</m:t>
              </m:r>
              <m:r>
                <m:rPr>
                  <m:sty m:val="p"/>
                </m:rPr>
                <m:t>(</m:t>
              </m:r>
              <m:sSup>
                <m:e>
                  <m:r>
                    <m:t>g</m:t>
                  </m:r>
                </m:e>
                <m:sup>
                  <m:r>
                    <m:t>λ</m:t>
                  </m:r>
                </m:sup>
              </m:sSup>
              <m:r>
                <m:t> </m:t>
              </m:r>
              <m:r>
                <m:rPr>
                  <m:sty m:val="p"/>
                </m:rPr>
                <m:t>mod</m:t>
              </m:r>
              <m:r>
                <m:t> </m:t>
              </m:r>
              <m:sSup>
                <m:e>
                  <m:r>
                    <m:t>n</m:t>
                  </m:r>
                </m:e>
                <m:sup>
                  <m:r>
                    <m:t>2</m:t>
                  </m:r>
                </m:sup>
              </m:sSup>
              <m:sSup>
                <m:e>
                  <m:r>
                    <m:rPr>
                      <m:sty m:val="p"/>
                    </m:rPr>
                    <m:t>)</m:t>
                  </m:r>
                </m:e>
                <m:sup>
                  <m:r>
                    <m:rPr>
                      <m:sty m:val="p"/>
                    </m:rPr>
                    <m:t>−</m:t>
                  </m:r>
                  <m:r>
                    <m:t>1</m:t>
                  </m:r>
                </m:sup>
              </m:sSup>
              <m:r>
                <m:t> </m:t>
              </m:r>
              <m:r>
                <m:rPr>
                  <m:sty m:val="p"/>
                </m:rPr>
                <m:t>mod</m:t>
              </m:r>
              <m:r>
                <m:t> </m:t>
              </m:r>
              <m:r>
                <m:t>n</m:t>
              </m:r>
            </m:e>
          </m:eqArr>
        </m:oMath>
      </m:oMathPara>
    </w:p>
    <w:p>
      <w:pPr>
        <w:pStyle w:val="FirstParagraph"/>
      </w:pPr>
      <w:r>
        <w:t xml:space="preserve">where</w:t>
      </w:r>
      <w:r>
        <w:t xml:space="preserve"> </w:t>
      </w:r>
      <m:oMath>
        <m:r>
          <m:t>L</m:t>
        </m:r>
        <m:r>
          <m:rPr>
            <m:sty m:val="p"/>
          </m:rPr>
          <m:t>(</m:t>
        </m:r>
        <m:r>
          <m:t>x</m:t>
        </m:r>
        <m:r>
          <m:rPr>
            <m:sty m:val="p"/>
          </m:rPr>
          <m:t>)</m:t>
        </m:r>
        <m:r>
          <m:rPr>
            <m:sty m:val="p"/>
          </m:rPr>
          <m:t>=</m:t>
        </m:r>
        <m:r>
          <m:rPr>
            <m:sty m:val="p"/>
          </m:rPr>
          <m:t>(</m:t>
        </m:r>
        <m:r>
          <m:t>x</m:t>
        </m:r>
        <m:r>
          <m:rPr>
            <m:sty m:val="p"/>
          </m:rPr>
          <m:t>−</m:t>
        </m:r>
        <m:r>
          <m:t>1</m:t>
        </m:r>
        <m:r>
          <m:rPr>
            <m:sty m:val="p"/>
          </m:rPr>
          <m:t>)</m:t>
        </m:r>
        <m:r>
          <m:rPr>
            <m:sty m:val="p"/>
          </m:rPr>
          <m:t>/</m:t>
        </m:r>
        <m:r>
          <m:t>n</m:t>
        </m:r>
      </m:oMath>
      <w:r>
        <w:t xml:space="preserve">. The public key is</w:t>
      </w:r>
      <w:r>
        <w:t xml:space="preserve"> </w:t>
      </w:r>
      <m:oMath>
        <m:r>
          <m:rPr>
            <m:sty m:val="p"/>
          </m:rPr>
          <m:t>(</m:t>
        </m:r>
        <m:r>
          <m:t>n</m:t>
        </m:r>
        <m:r>
          <m:rPr>
            <m:sty m:val="p"/>
          </m:rPr>
          <m:t>,</m:t>
        </m:r>
        <m:r>
          <m:t>g</m:t>
        </m:r>
        <m:r>
          <m:rPr>
            <m:sty m:val="p"/>
          </m:rPr>
          <m:t>)</m:t>
        </m:r>
      </m:oMath>
      <w:r>
        <w:t xml:space="preserve"> </w:t>
      </w:r>
      <w:r>
        <w:t xml:space="preserve">and the private key is</w:t>
      </w:r>
      <w:r>
        <w:t xml:space="preserve"> </w:t>
      </w:r>
      <m:oMath>
        <m:r>
          <m:rPr>
            <m:sty m:val="p"/>
          </m:rPr>
          <m:t>(</m:t>
        </m:r>
        <m:r>
          <m:t>λ</m:t>
        </m:r>
        <m:r>
          <m:rPr>
            <m:sty m:val="p"/>
          </m:rPr>
          <m:t>,</m:t>
        </m:r>
        <m:r>
          <m:t>μ</m:t>
        </m:r>
        <m:r>
          <m:rPr>
            <m:sty m:val="p"/>
          </m:rPr>
          <m:t>)</m:t>
        </m:r>
      </m:oMath>
      <w:r>
        <w:t xml:space="preserve">.</w:t>
      </w:r>
    </w:p>
    <w:bookmarkEnd w:id="30"/>
    <w:bookmarkStart w:id="31" w:name="encryption"/>
    <w:p>
      <w:pPr>
        <w:pStyle w:val="Heading3"/>
      </w:pPr>
      <w:r>
        <w:t xml:space="preserve">Encryption</w:t>
      </w:r>
    </w:p>
    <w:p>
      <w:pPr>
        <w:pStyle w:val="FirstParagraph"/>
      </w:pPr>
      <w:r>
        <w:t xml:space="preserve">To encrypt a vital sign value</w:t>
      </w:r>
      <w:r>
        <w:t xml:space="preserve"> </w:t>
      </w:r>
      <m:oMath>
        <m:r>
          <m:t>m</m:t>
        </m:r>
      </m:oMath>
      <w:r>
        <w:t xml:space="preserve">, first scale to integer:</w:t>
      </w:r>
      <w:r>
        <w:t xml:space="preserve"> </w:t>
      </w:r>
      <m:oMath>
        <m:acc>
          <m:accPr>
            <m:chr m:val="̂"/>
          </m:accPr>
          <m:e>
            <m:r>
              <m:t>m</m:t>
            </m:r>
          </m:e>
        </m:acc>
        <m:r>
          <m:rPr>
            <m:sty m:val="p"/>
          </m:rPr>
          <m:t>=</m:t>
        </m:r>
        <m:r>
          <m:rPr>
            <m:sty m:val="p"/>
          </m:rPr>
          <m:t>⌊</m:t>
        </m:r>
        <m:r>
          <m:t>m</m:t>
        </m:r>
        <m:r>
          <m:rPr>
            <m:sty m:val="p"/>
          </m:rPr>
          <m:t>⋅</m:t>
        </m:r>
        <m:r>
          <m:t>s</m:t>
        </m:r>
        <m:r>
          <m:rPr>
            <m:sty m:val="p"/>
          </m:rPr>
          <m:t>⌋</m:t>
        </m:r>
      </m:oMath>
      <w:r>
        <w:t xml:space="preserve"> </w:t>
      </w:r>
      <w:r>
        <w:t xml:space="preserve">where</w:t>
      </w:r>
      <w:r>
        <w:t xml:space="preserve"> </w:t>
      </w:r>
      <m:oMath>
        <m:r>
          <m:t>s</m:t>
        </m:r>
        <m:r>
          <m:rPr>
            <m:sty m:val="p"/>
          </m:rPr>
          <m:t>=</m:t>
        </m:r>
        <m:r>
          <m:t>100</m:t>
        </m:r>
      </m:oMath>
      <w:r>
        <w:t xml:space="preserve"> </w:t>
      </w:r>
      <w:r>
        <w:t xml:space="preserve">is the scale factor (e.g., temperature</w:t>
      </w:r>
      <w:r>
        <w:t xml:space="preserve"> </w:t>
      </w:r>
      <m:oMath>
        <m:sSup>
          <m:e>
            <m:r>
              <m:t>36.5</m:t>
            </m:r>
          </m:e>
          <m:sup>
            <m:r>
              <m:rPr>
                <m:sty m:val="p"/>
              </m:rPr>
              <m:t>∘</m:t>
            </m:r>
          </m:sup>
        </m:sSup>
      </m:oMath>
      <w:r>
        <w:t xml:space="preserve">C becomes</w:t>
      </w:r>
      <w:r>
        <w:t xml:space="preserve"> </w:t>
      </w:r>
      <m:oMath>
        <m:acc>
          <m:accPr>
            <m:chr m:val="̂"/>
          </m:accPr>
          <m:e>
            <m:r>
              <m:t>m</m:t>
            </m:r>
          </m:e>
        </m:acc>
        <m:r>
          <m:rPr>
            <m:sty m:val="p"/>
          </m:rPr>
          <m:t>=</m:t>
        </m:r>
        <m:r>
          <m:t>3650</m:t>
        </m:r>
      </m:oMath>
      <w:r>
        <w:t xml:space="preserve">). Then:</w:t>
      </w:r>
    </w:p>
    <w:p>
      <w:pPr>
        <w:pStyle w:val="BodyText"/>
      </w:pPr>
      <m:oMathPara>
        <m:oMathParaPr>
          <m:jc m:val="center"/>
        </m:oMathParaPr>
        <m:oMath>
          <m:r>
            <m:t>c</m:t>
          </m:r>
          <m:r>
            <m:rPr>
              <m:sty m:val="p"/>
            </m:rPr>
            <m:t>=</m:t>
          </m:r>
          <m:sSup>
            <m:e>
              <m:r>
                <m:t>g</m:t>
              </m:r>
            </m:e>
            <m:sup>
              <m:acc>
                <m:accPr>
                  <m:chr m:val="̂"/>
                </m:accPr>
                <m:e>
                  <m:r>
                    <m:t>m</m:t>
                  </m:r>
                </m:e>
              </m:acc>
            </m:sup>
          </m:sSup>
          <m:r>
            <m:rPr>
              <m:sty m:val="p"/>
            </m:rPr>
            <m:t>⋅</m:t>
          </m:r>
          <m:sSup>
            <m:e>
              <m:r>
                <m:t>r</m:t>
              </m:r>
            </m:e>
            <m:sup>
              <m:r>
                <m:t>n</m:t>
              </m:r>
            </m:sup>
          </m:sSup>
          <m:r>
            <m:t> </m:t>
          </m:r>
          <m:r>
            <m:rPr>
              <m:sty m:val="p"/>
            </m:rPr>
            <m:t>mod</m:t>
          </m:r>
          <m:r>
            <m:t> </m:t>
          </m:r>
          <m:sSup>
            <m:e>
              <m:r>
                <m:t>n</m:t>
              </m:r>
            </m:e>
            <m:sup>
              <m:r>
                <m:t>2</m:t>
              </m:r>
            </m:sup>
          </m:sSup>
        </m:oMath>
      </m:oMathPara>
    </w:p>
    <w:p>
      <w:pPr>
        <w:pStyle w:val="FirstParagraph"/>
      </w:pPr>
      <w:r>
        <w:t xml:space="preserve">where</w:t>
      </w:r>
      <w:r>
        <w:t xml:space="preserve"> </w:t>
      </w:r>
      <m:oMath>
        <m:r>
          <m:t>r</m:t>
        </m:r>
        <m:limUpp>
          <m:e>
            <m:r>
              <m:rPr>
                <m:sty m:val="p"/>
              </m:rPr>
              <m:t>←</m:t>
            </m:r>
          </m:e>
          <m:lim>
            <m:r>
              <m:rPr>
                <m:sty m:val="p"/>
              </m:rPr>
              <m:t>$</m:t>
            </m:r>
          </m:lim>
        </m:limUpp>
        <m:sSubSup>
          <m:e>
            <m:r>
              <m:rPr>
                <m:scr m:val="double-struck"/>
                <m:sty m:val="p"/>
              </m:rPr>
              <m:t>Z</m:t>
            </m:r>
          </m:e>
          <m:sub>
            <m:r>
              <m:t>n</m:t>
            </m:r>
          </m:sub>
          <m:sup>
            <m:r>
              <m:rPr>
                <m:sty m:val="p"/>
              </m:rPr>
              <m:t>*</m:t>
            </m:r>
          </m:sup>
        </m:sSubSup>
      </m:oMath>
      <w:r>
        <w:t xml:space="preserve">. The ciphertext</w:t>
      </w:r>
      <w:r>
        <w:t xml:space="preserve"> </w:t>
      </w:r>
      <m:oMath>
        <m:r>
          <m:t>c</m:t>
        </m:r>
      </m:oMath>
      <w:r>
        <w:t xml:space="preserve"> </w:t>
      </w:r>
      <w:r>
        <w:t xml:space="preserve">is serialized to</w:t>
      </w:r>
      <w:r>
        <w:t xml:space="preserve"> </w:t>
      </w:r>
      <m:oMath>
        <m:r>
          <m:rPr>
            <m:sty m:val="p"/>
          </m:rPr>
          <m:t>⌈</m:t>
        </m:r>
        <m:sSub>
          <m:e>
            <m:r>
              <m:rPr>
                <m:sty m:val="p"/>
              </m:rPr>
              <m:t>log</m:t>
            </m:r>
          </m:e>
          <m:sub>
            <m:r>
              <m:t>2</m:t>
            </m:r>
          </m:sub>
        </m:sSub>
        <m:sSup>
          <m:e>
            <m:r>
              <m:t>n</m:t>
            </m:r>
          </m:e>
          <m:sup>
            <m:r>
              <m:t>2</m:t>
            </m:r>
          </m:sup>
        </m:sSup>
        <m:r>
          <m:rPr>
            <m:sty m:val="p"/>
          </m:rPr>
          <m:t>/</m:t>
        </m:r>
        <m:r>
          <m:t>8</m:t>
        </m:r>
        <m:r>
          <m:rPr>
            <m:sty m:val="p"/>
          </m:rPr>
          <m:t>⌉</m:t>
        </m:r>
      </m:oMath>
      <w:r>
        <w:t xml:space="preserve"> </w:t>
      </w:r>
      <w:r>
        <w:t xml:space="preserve">bytes.</w:t>
      </w:r>
    </w:p>
    <w:bookmarkEnd w:id="31"/>
    <w:bookmarkStart w:id="32" w:name="decryption"/>
    <w:p>
      <w:pPr>
        <w:pStyle w:val="Heading3"/>
      </w:pPr>
      <w:r>
        <w:t xml:space="preserve">Decryption</w:t>
      </w:r>
    </w:p>
    <w:p>
      <w:pPr>
        <w:pStyle w:val="FirstParagraph"/>
      </w:pPr>
      <m:oMathPara>
        <m:oMathParaPr>
          <m:jc m:val="center"/>
        </m:oMathParaPr>
        <m:oMath>
          <m:acc>
            <m:accPr>
              <m:chr m:val="̂"/>
            </m:accPr>
            <m:e>
              <m:r>
                <m:t>m</m:t>
              </m:r>
            </m:e>
          </m:acc>
          <m:r>
            <m:rPr>
              <m:sty m:val="p"/>
            </m:rPr>
            <m:t>=</m:t>
          </m:r>
          <m:r>
            <m:t>L</m:t>
          </m:r>
          <m:r>
            <m:rPr>
              <m:sty m:val="p"/>
            </m:rPr>
            <m:t>(</m:t>
          </m:r>
          <m:sSup>
            <m:e>
              <m:r>
                <m:t>c</m:t>
              </m:r>
            </m:e>
            <m:sup>
              <m:r>
                <m:t>λ</m:t>
              </m:r>
            </m:sup>
          </m:sSup>
          <m:r>
            <m:t> </m:t>
          </m:r>
          <m:r>
            <m:rPr>
              <m:sty m:val="p"/>
            </m:rPr>
            <m:t>mod</m:t>
          </m:r>
          <m:r>
            <m:t> </m:t>
          </m:r>
          <m:sSup>
            <m:e>
              <m:r>
                <m:t>n</m:t>
              </m:r>
            </m:e>
            <m:sup>
              <m:r>
                <m:t>2</m:t>
              </m:r>
            </m:sup>
          </m:sSup>
          <m:r>
            <m:rPr>
              <m:sty m:val="p"/>
            </m:rPr>
            <m:t>)</m:t>
          </m:r>
          <m:r>
            <m:rPr>
              <m:sty m:val="p"/>
            </m:rPr>
            <m:t>⋅</m:t>
          </m:r>
          <m:r>
            <m:t>μ</m:t>
          </m:r>
          <m:r>
            <m:t> </m:t>
          </m:r>
          <m:r>
            <m:rPr>
              <m:sty m:val="p"/>
            </m:rPr>
            <m:t>mod</m:t>
          </m:r>
          <m:r>
            <m:t> </m:t>
          </m:r>
          <m:r>
            <m:t>n</m:t>
          </m:r>
          <m:r>
            <m:rPr>
              <m:sty m:val="p"/>
            </m:rPr>
            <m:t>,</m:t>
          </m:r>
          <m:r>
            <m:t> </m:t>
          </m:r>
          <m:r>
            <m:t>m</m:t>
          </m:r>
          <m:r>
            <m:rPr>
              <m:sty m:val="p"/>
            </m:rPr>
            <m:t>=</m:t>
          </m:r>
          <m:acc>
            <m:accPr>
              <m:chr m:val="̂"/>
            </m:accPr>
            <m:e>
              <m:r>
                <m:t>m</m:t>
              </m:r>
            </m:e>
          </m:acc>
          <m:r>
            <m:rPr>
              <m:sty m:val="p"/>
            </m:rPr>
            <m:t>/</m:t>
          </m:r>
          <m:r>
            <m:t>s</m:t>
          </m:r>
        </m:oMath>
      </m:oMathPara>
    </w:p>
    <w:bookmarkEnd w:id="32"/>
    <w:bookmarkEnd w:id="33"/>
    <w:bookmarkStart w:id="34" w:name="supported-operations"/>
    <w:p>
      <w:pPr>
        <w:pStyle w:val="Heading2"/>
      </w:pPr>
      <w:r>
        <w:t xml:space="preserve">Supported Operations</w:t>
      </w:r>
    </w:p>
    <w:p>
      <w:pPr>
        <w:pStyle w:val="FirstParagraph"/>
      </w:pPr>
      <w:r>
        <w:t xml:space="preserve">The scheme supports two operations on encrypted data, sufficient for the statistical workloads of population health analytics:</w:t>
      </w:r>
    </w:p>
    <w:p>
      <w:pPr>
        <w:pStyle w:val="BodyText"/>
      </w:pPr>
      <w:r>
        <w:rPr>
          <w:b/>
          <w:bCs/>
        </w:rPr>
        <w:t xml:space="preserve">Homomorphic Addition.</w:t>
      </w:r>
      <w:r>
        <w:t xml:space="preserve"> </w:t>
      </w:r>
      <w:r>
        <w:t xml:space="preserve">Given</w:t>
      </w:r>
      <w:r>
        <w:t xml:space="preserve"> </w:t>
      </w:r>
      <m:oMath>
        <m:r>
          <m:rPr>
            <m:scr m:val="sans-serif"/>
            <m:sty m:val="p"/>
          </m:rPr>
          <m:t>E</m:t>
        </m:r>
        <m:r>
          <m:rPr>
            <m:scr m:val="sans-serif"/>
            <m:sty m:val="p"/>
          </m:rPr>
          <m:t>n</m:t>
        </m:r>
        <m:r>
          <m:rPr>
            <m:scr m:val="sans-serif"/>
            <m:sty m:val="p"/>
          </m:rPr>
          <m:t>c</m:t>
        </m:r>
        <m:r>
          <m:rPr>
            <m:sty m:val="p"/>
          </m:rPr>
          <m:t>(</m:t>
        </m:r>
        <m:sSub>
          <m:e>
            <m:r>
              <m:t>m</m:t>
            </m:r>
          </m:e>
          <m:sub>
            <m:r>
              <m:t>1</m:t>
            </m:r>
          </m:sub>
        </m:sSub>
        <m:r>
          <m:rPr>
            <m:sty m:val="p"/>
          </m:rPr>
          <m:t>)</m:t>
        </m:r>
      </m:oMath>
      <w:r>
        <w:t xml:space="preserve"> </w:t>
      </w:r>
      <w:r>
        <w:t xml:space="preserve">and</w:t>
      </w:r>
      <w:r>
        <w:t xml:space="preserve"> </w:t>
      </w:r>
      <m:oMath>
        <m:r>
          <m:rPr>
            <m:scr m:val="sans-serif"/>
            <m:sty m:val="p"/>
          </m:rPr>
          <m:t>E</m:t>
        </m:r>
        <m:r>
          <m:rPr>
            <m:scr m:val="sans-serif"/>
            <m:sty m:val="p"/>
          </m:rPr>
          <m:t>n</m:t>
        </m:r>
        <m:r>
          <m:rPr>
            <m:scr m:val="sans-serif"/>
            <m:sty m:val="p"/>
          </m:rPr>
          <m:t>c</m:t>
        </m:r>
        <m:r>
          <m:rPr>
            <m:sty m:val="p"/>
          </m:rPr>
          <m:t>(</m:t>
        </m:r>
        <m:sSub>
          <m:e>
            <m:r>
              <m:t>m</m:t>
            </m:r>
          </m:e>
          <m:sub>
            <m:r>
              <m:t>2</m:t>
            </m:r>
          </m:sub>
        </m:sSub>
        <m:r>
          <m:rPr>
            <m:sty m:val="p"/>
          </m:rPr>
          <m:t>)</m:t>
        </m:r>
      </m:oMath>
      <w:r>
        <w:t xml:space="preserve">:</w:t>
      </w:r>
    </w:p>
    <w:p>
      <w:pPr>
        <w:pStyle w:val="BodyText"/>
      </w:pPr>
      <m:oMathPara>
        <m:oMathParaPr>
          <m:jc m:val="center"/>
        </m:oMathParaPr>
        <m:oMath>
          <m:r>
            <m:rPr>
              <m:scr m:val="sans-serif"/>
              <m:sty m:val="p"/>
            </m:rPr>
            <m:t>E</m:t>
          </m:r>
          <m:r>
            <m:rPr>
              <m:scr m:val="sans-serif"/>
              <m:sty m:val="p"/>
            </m:rPr>
            <m:t>n</m:t>
          </m:r>
          <m:r>
            <m:rPr>
              <m:scr m:val="sans-serif"/>
              <m:sty m:val="p"/>
            </m:rPr>
            <m:t>c</m:t>
          </m:r>
          <m:r>
            <m:rPr>
              <m:sty m:val="p"/>
            </m:rPr>
            <m:t>(</m:t>
          </m:r>
          <m:sSub>
            <m:e>
              <m:r>
                <m:t>m</m:t>
              </m:r>
            </m:e>
            <m:sub>
              <m:r>
                <m:t>1</m:t>
              </m:r>
            </m:sub>
          </m:sSub>
          <m:r>
            <m:rPr>
              <m:sty m:val="p"/>
            </m:rPr>
            <m:t>)</m:t>
          </m:r>
          <m:r>
            <m:rPr>
              <m:sty m:val="p"/>
            </m:rPr>
            <m:t>⋅</m:t>
          </m:r>
          <m:r>
            <m:rPr>
              <m:scr m:val="sans-serif"/>
              <m:sty m:val="p"/>
            </m:rPr>
            <m:t>E</m:t>
          </m:r>
          <m:r>
            <m:rPr>
              <m:scr m:val="sans-serif"/>
              <m:sty m:val="p"/>
            </m:rPr>
            <m:t>n</m:t>
          </m:r>
          <m:r>
            <m:rPr>
              <m:scr m:val="sans-serif"/>
              <m:sty m:val="p"/>
            </m:rPr>
            <m:t>c</m:t>
          </m:r>
          <m:r>
            <m:rPr>
              <m:sty m:val="p"/>
            </m:rPr>
            <m:t>(</m:t>
          </m:r>
          <m:sSub>
            <m:e>
              <m:r>
                <m:t>m</m:t>
              </m:r>
            </m:e>
            <m:sub>
              <m:r>
                <m:t>2</m:t>
              </m:r>
            </m:sub>
          </m:sSub>
          <m:r>
            <m:rPr>
              <m:sty m:val="p"/>
            </m:rPr>
            <m:t>)</m:t>
          </m:r>
          <m:r>
            <m:t> </m:t>
          </m:r>
          <m:r>
            <m:rPr>
              <m:sty m:val="p"/>
            </m:rPr>
            <m:t>mod</m:t>
          </m:r>
          <m:r>
            <m:t> </m:t>
          </m:r>
          <m:sSup>
            <m:e>
              <m:r>
                <m:t>n</m:t>
              </m:r>
            </m:e>
            <m:sup>
              <m:r>
                <m:t>2</m:t>
              </m:r>
            </m:sup>
          </m:sSup>
          <m:r>
            <m:rPr>
              <m:sty m:val="p"/>
            </m:rPr>
            <m:t>=</m:t>
          </m:r>
          <m:r>
            <m:rPr>
              <m:scr m:val="sans-serif"/>
              <m:sty m:val="p"/>
            </m:rPr>
            <m:t>E</m:t>
          </m:r>
          <m:r>
            <m:rPr>
              <m:scr m:val="sans-serif"/>
              <m:sty m:val="p"/>
            </m:rPr>
            <m:t>n</m:t>
          </m:r>
          <m:r>
            <m:rPr>
              <m:scr m:val="sans-serif"/>
              <m:sty m:val="p"/>
            </m:rPr>
            <m:t>c</m:t>
          </m:r>
          <m:r>
            <m:rPr>
              <m:sty m:val="p"/>
            </m:rPr>
            <m:t>(</m:t>
          </m:r>
          <m:sSub>
            <m:e>
              <m:r>
                <m:t>m</m:t>
              </m:r>
            </m:e>
            <m:sub>
              <m:r>
                <m:t>1</m:t>
              </m:r>
            </m:sub>
          </m:sSub>
          <m:r>
            <m:rPr>
              <m:sty m:val="p"/>
            </m:rPr>
            <m:t>+</m:t>
          </m:r>
          <m:sSub>
            <m:e>
              <m:r>
                <m:t>m</m:t>
              </m:r>
            </m:e>
            <m:sub>
              <m:r>
                <m:t>2</m:t>
              </m:r>
            </m:sub>
          </m:sSub>
          <m:r>
            <m:rPr>
              <m:sty m:val="p"/>
            </m:rPr>
            <m:t>)</m:t>
          </m:r>
        </m:oMath>
      </m:oMathPara>
    </w:p>
    <w:p>
      <w:pPr>
        <w:pStyle w:val="FirstParagraph"/>
      </w:pPr>
      <w:r>
        <w:t xml:space="preserve">This enables encrypted summation across patient cohorts.</w:t>
      </w:r>
    </w:p>
    <w:p>
      <w:pPr>
        <w:pStyle w:val="BodyText"/>
      </w:pPr>
      <w:r>
        <w:rPr>
          <w:b/>
          <w:bCs/>
        </w:rPr>
        <w:t xml:space="preserve">Scalar Multiplication.</w:t>
      </w:r>
      <w:r>
        <w:t xml:space="preserve"> </w:t>
      </w:r>
      <w:r>
        <w:t xml:space="preserve">Given</w:t>
      </w:r>
      <w:r>
        <w:t xml:space="preserve"> </w:t>
      </w:r>
      <m:oMath>
        <m:r>
          <m:rPr>
            <m:scr m:val="sans-serif"/>
            <m:sty m:val="p"/>
          </m:rPr>
          <m:t>E</m:t>
        </m:r>
        <m:r>
          <m:rPr>
            <m:scr m:val="sans-serif"/>
            <m:sty m:val="p"/>
          </m:rPr>
          <m:t>n</m:t>
        </m:r>
        <m:r>
          <m:rPr>
            <m:scr m:val="sans-serif"/>
            <m:sty m:val="p"/>
          </m:rPr>
          <m:t>c</m:t>
        </m:r>
        <m:r>
          <m:rPr>
            <m:sty m:val="p"/>
          </m:rPr>
          <m:t>(</m:t>
        </m:r>
        <m:r>
          <m:t>m</m:t>
        </m:r>
        <m:r>
          <m:rPr>
            <m:sty m:val="p"/>
          </m:rPr>
          <m:t>)</m:t>
        </m:r>
      </m:oMath>
      <w:r>
        <w:t xml:space="preserve"> </w:t>
      </w:r>
      <w:r>
        <w:t xml:space="preserve">and scalar</w:t>
      </w:r>
      <w:r>
        <w:t xml:space="preserve"> </w:t>
      </w:r>
      <m:oMath>
        <m:r>
          <m:t>k</m:t>
        </m:r>
        <m:r>
          <m:rPr>
            <m:sty m:val="p"/>
          </m:rPr>
          <m:t>∈</m:t>
        </m:r>
        <m:r>
          <m:rPr>
            <m:scr m:val="double-struck"/>
            <m:sty m:val="p"/>
          </m:rPr>
          <m:t>Z</m:t>
        </m:r>
      </m:oMath>
      <w:r>
        <w:t xml:space="preserve">:</w:t>
      </w:r>
    </w:p>
    <w:p>
      <w:pPr>
        <w:pStyle w:val="BodyText"/>
      </w:pPr>
      <m:oMathPara>
        <m:oMathParaPr>
          <m:jc m:val="center"/>
        </m:oMathParaPr>
        <m:oMath>
          <m:r>
            <m:rPr>
              <m:scr m:val="sans-serif"/>
              <m:sty m:val="p"/>
            </m:rPr>
            <m:t>E</m:t>
          </m:r>
          <m:r>
            <m:rPr>
              <m:scr m:val="sans-serif"/>
              <m:sty m:val="p"/>
            </m:rPr>
            <m:t>n</m:t>
          </m:r>
          <m:r>
            <m:rPr>
              <m:scr m:val="sans-serif"/>
              <m:sty m:val="p"/>
            </m:rPr>
            <m:t>c</m:t>
          </m:r>
          <m:r>
            <m:rPr>
              <m:sty m:val="p"/>
            </m:rPr>
            <m:t>(</m:t>
          </m:r>
          <m:r>
            <m:t>m</m:t>
          </m:r>
          <m:sSup>
            <m:e>
              <m:r>
                <m:rPr>
                  <m:sty m:val="p"/>
                </m:rPr>
                <m:t>)</m:t>
              </m:r>
            </m:e>
            <m:sup>
              <m:r>
                <m:t>k</m:t>
              </m:r>
            </m:sup>
          </m:sSup>
          <m:r>
            <m:t> </m:t>
          </m:r>
          <m:r>
            <m:rPr>
              <m:sty m:val="p"/>
            </m:rPr>
            <m:t>mod</m:t>
          </m:r>
          <m:r>
            <m:t> </m:t>
          </m:r>
          <m:sSup>
            <m:e>
              <m:r>
                <m:t>n</m:t>
              </m:r>
            </m:e>
            <m:sup>
              <m:r>
                <m:t>2</m:t>
              </m:r>
            </m:sup>
          </m:sSup>
          <m:r>
            <m:rPr>
              <m:sty m:val="p"/>
            </m:rPr>
            <m:t>=</m:t>
          </m:r>
          <m:r>
            <m:rPr>
              <m:scr m:val="sans-serif"/>
              <m:sty m:val="p"/>
            </m:rPr>
            <m:t>E</m:t>
          </m:r>
          <m:r>
            <m:rPr>
              <m:scr m:val="sans-serif"/>
              <m:sty m:val="p"/>
            </m:rPr>
            <m:t>n</m:t>
          </m:r>
          <m:r>
            <m:rPr>
              <m:scr m:val="sans-serif"/>
              <m:sty m:val="p"/>
            </m:rPr>
            <m:t>c</m:t>
          </m:r>
          <m:r>
            <m:rPr>
              <m:sty m:val="p"/>
            </m:rPr>
            <m:t>(</m:t>
          </m:r>
          <m:r>
            <m:t>k</m:t>
          </m:r>
          <m:r>
            <m:rPr>
              <m:sty m:val="p"/>
            </m:rPr>
            <m:t>⋅</m:t>
          </m:r>
          <m:r>
            <m:t>m</m:t>
          </m:r>
          <m:r>
            <m:rPr>
              <m:sty m:val="p"/>
            </m:rPr>
            <m:t>)</m:t>
          </m:r>
        </m:oMath>
      </m:oMathPara>
    </w:p>
    <w:p>
      <w:pPr>
        <w:pStyle w:val="FirstParagraph"/>
      </w:pPr>
      <w:r>
        <w:t xml:space="preserve">This enables weighted aggregation and normalization.</w:t>
      </w:r>
    </w:p>
    <w:bookmarkEnd w:id="34"/>
    <w:bookmarkStart w:id="36" w:name="vital-sign-types"/>
    <w:p>
      <w:pPr>
        <w:pStyle w:val="Heading2"/>
      </w:pPr>
      <w:r>
        <w:t xml:space="preserve">Vital Sign Types</w:t>
      </w:r>
    </w:p>
    <w:p>
      <w:pPr>
        <w:pStyle w:val="FirstParagraph"/>
      </w:pPr>
      <w:r>
        <w:t xml:space="preserve">The engine supports seven vital sign types with validated clinical ranges:</w:t>
      </w:r>
    </w:p>
    <w:bookmarkStart w:id="35" w:name="tab:vitals"/>
    <w:p>
      <w:pPr>
        <w:pStyle w:val="TableCaption"/>
      </w:pPr>
      <w:r>
        <w:t xml:space="preserve">Supported Vital Sign Types</w:t>
      </w:r>
    </w:p>
    <w:tbl>
      <w:tblPr>
        <w:tblStyle w:val="Table"/>
        <w:tblW w:type="auto" w:w="0"/>
        <w:tblLook w:firstRow="1" w:lastRow="0" w:firstColumn="0" w:lastColumn="0" w:noHBand="0" w:noVBand="0" w:val="0020"/>
        <w:tblCaption w:val="Supported Vital Sign Types"/>
      </w:tblPr>
      <w:tblGrid>
        <w:gridCol w:w="1980"/>
        <w:gridCol w:w="1980"/>
        <w:gridCol w:w="1980"/>
        <w:gridCol w:w="1980"/>
      </w:tblGrid>
      <w:tr>
        <w:trPr>
          <w:tblHeader w:val="on"/>
        </w:trPr>
        <w:tc>
          <w:tcPr/>
          <w:p>
            <w:pPr>
              <w:pStyle w:val="Compact"/>
              <w:jc w:val="left"/>
            </w:pPr>
            <w:r>
              <w:rPr>
                <w:b/>
                <w:bCs/>
              </w:rPr>
              <w:t xml:space="preserve">Vital Sign</w:t>
            </w:r>
          </w:p>
        </w:tc>
        <w:tc>
          <w:tcPr/>
          <w:p>
            <w:pPr>
              <w:pStyle w:val="Compact"/>
              <w:jc w:val="center"/>
            </w:pPr>
            <w:r>
              <w:rPr>
                <w:b/>
                <w:bCs/>
              </w:rPr>
              <w:t xml:space="preserve">Unit</w:t>
            </w:r>
          </w:p>
        </w:tc>
        <w:tc>
          <w:tcPr/>
          <w:p>
            <w:pPr>
              <w:pStyle w:val="Compact"/>
              <w:jc w:val="center"/>
            </w:pPr>
            <w:r>
              <w:rPr>
                <w:b/>
                <w:bCs/>
              </w:rPr>
              <w:t xml:space="preserve">Range</w:t>
            </w:r>
          </w:p>
        </w:tc>
        <w:tc>
          <w:tcPr/>
          <w:p>
            <w:pPr>
              <w:pStyle w:val="Compact"/>
              <w:jc w:val="center"/>
            </w:pPr>
            <w:r>
              <w:rPr>
                <w:b/>
                <w:bCs/>
              </w:rPr>
              <w:t xml:space="preserve">Code</w:t>
            </w:r>
          </w:p>
        </w:tc>
      </w:tr>
      <w:tr>
        <w:tc>
          <w:tcPr/>
          <w:p>
            <w:pPr>
              <w:pStyle w:val="Compact"/>
              <w:jc w:val="left"/>
            </w:pPr>
            <w:r>
              <w:t xml:space="preserve">Heart Rate</w:t>
            </w:r>
          </w:p>
        </w:tc>
        <w:tc>
          <w:tcPr/>
          <w:p>
            <w:pPr>
              <w:pStyle w:val="Compact"/>
              <w:jc w:val="center"/>
            </w:pPr>
            <w:r>
              <w:t xml:space="preserve">bpm</w:t>
            </w:r>
          </w:p>
        </w:tc>
        <w:tc>
          <w:tcPr/>
          <w:p>
            <w:pPr>
              <w:pStyle w:val="Compact"/>
              <w:jc w:val="center"/>
            </w:pPr>
            <w:r>
              <w:t xml:space="preserve">40–200</w:t>
            </w:r>
          </w:p>
        </w:tc>
        <w:tc>
          <w:tcPr/>
          <w:p>
            <w:pPr>
              <w:pStyle w:val="Compact"/>
              <w:jc w:val="center"/>
            </w:pPr>
            <w:r>
              <w:t xml:space="preserve">hr</w:t>
            </w:r>
          </w:p>
        </w:tc>
      </w:tr>
      <w:tr>
        <w:tc>
          <w:tcPr/>
          <w:p>
            <w:pPr>
              <w:pStyle w:val="Compact"/>
              <w:jc w:val="left"/>
            </w:pPr>
            <w:r>
              <w:t xml:space="preserve">Systolic BP</w:t>
            </w:r>
          </w:p>
        </w:tc>
        <w:tc>
          <w:tcPr/>
          <w:p>
            <w:pPr>
              <w:pStyle w:val="Compact"/>
              <w:jc w:val="center"/>
            </w:pPr>
            <w:r>
              <w:t xml:space="preserve">mmHg</w:t>
            </w:r>
          </w:p>
        </w:tc>
        <w:tc>
          <w:tcPr/>
          <w:p>
            <w:pPr>
              <w:pStyle w:val="Compact"/>
              <w:jc w:val="center"/>
            </w:pPr>
            <w:r>
              <w:t xml:space="preserve">60–250</w:t>
            </w:r>
          </w:p>
        </w:tc>
        <w:tc>
          <w:tcPr/>
          <w:p>
            <w:pPr>
              <w:pStyle w:val="Compact"/>
              <w:jc w:val="center"/>
            </w:pPr>
            <w:r>
              <w:t xml:space="preserve">sbp</w:t>
            </w:r>
          </w:p>
        </w:tc>
      </w:tr>
      <w:tr>
        <w:tc>
          <w:tcPr/>
          <w:p>
            <w:pPr>
              <w:pStyle w:val="Compact"/>
              <w:jc w:val="left"/>
            </w:pPr>
            <w:r>
              <w:t xml:space="preserve">Diastolic BP</w:t>
            </w:r>
          </w:p>
        </w:tc>
        <w:tc>
          <w:tcPr/>
          <w:p>
            <w:pPr>
              <w:pStyle w:val="Compact"/>
              <w:jc w:val="center"/>
            </w:pPr>
            <w:r>
              <w:t xml:space="preserve">mmHg</w:t>
            </w:r>
          </w:p>
        </w:tc>
        <w:tc>
          <w:tcPr/>
          <w:p>
            <w:pPr>
              <w:pStyle w:val="Compact"/>
              <w:jc w:val="center"/>
            </w:pPr>
            <w:r>
              <w:t xml:space="preserve">40–150</w:t>
            </w:r>
          </w:p>
        </w:tc>
        <w:tc>
          <w:tcPr/>
          <w:p>
            <w:pPr>
              <w:pStyle w:val="Compact"/>
              <w:jc w:val="center"/>
            </w:pPr>
            <w:r>
              <w:t xml:space="preserve">dbp</w:t>
            </w:r>
          </w:p>
        </w:tc>
      </w:tr>
      <w:tr>
        <w:tc>
          <w:tcPr/>
          <w:p>
            <w:pPr>
              <w:pStyle w:val="Compact"/>
              <w:jc w:val="left"/>
            </w:pPr>
            <w:r>
              <w:t xml:space="preserve">SpO</w:t>
            </w:r>
            <w:r>
              <w:rPr>
                <w:vertAlign w:val="subscript"/>
              </w:rPr>
              <w:t xml:space="preserve">2</w:t>
            </w:r>
          </w:p>
        </w:tc>
        <w:tc>
          <w:tcPr/>
          <w:p>
            <w:pPr>
              <w:pStyle w:val="Compact"/>
              <w:jc w:val="center"/>
            </w:pPr>
            <w:r>
              <w:t xml:space="preserve">%</w:t>
            </w:r>
          </w:p>
        </w:tc>
        <w:tc>
          <w:tcPr/>
          <w:p>
            <w:pPr>
              <w:pStyle w:val="Compact"/>
              <w:jc w:val="center"/>
            </w:pPr>
            <w:r>
              <w:t xml:space="preserve">70–100</w:t>
            </w:r>
          </w:p>
        </w:tc>
        <w:tc>
          <w:tcPr/>
          <w:p>
            <w:pPr>
              <w:pStyle w:val="Compact"/>
              <w:jc w:val="center"/>
            </w:pPr>
            <w:r>
              <w:t xml:space="preserve">spo2</w:t>
            </w:r>
          </w:p>
        </w:tc>
      </w:tr>
      <w:tr>
        <w:tc>
          <w:tcPr/>
          <w:p>
            <w:pPr>
              <w:pStyle w:val="Compact"/>
              <w:jc w:val="left"/>
            </w:pPr>
            <w:r>
              <w:t xml:space="preserve">Temperature</w:t>
            </w:r>
          </w:p>
        </w:tc>
        <w:tc>
          <w:tcPr/>
          <w:p>
            <w:pPr>
              <w:pStyle w:val="Compact"/>
              <w:jc w:val="center"/>
            </w:pPr>
            <m:oMath>
              <m:sSup>
                <m:e>
                  <m:r>
                    <m:t>​</m:t>
                  </m:r>
                </m:e>
                <m:sup>
                  <m:r>
                    <m:rPr>
                      <m:sty m:val="p"/>
                    </m:rPr>
                    <m:t>∘</m:t>
                  </m:r>
                </m:sup>
              </m:sSup>
            </m:oMath>
            <w:r>
              <w:t xml:space="preserve">C</w:t>
            </w:r>
          </w:p>
        </w:tc>
        <w:tc>
          <w:tcPr/>
          <w:p>
            <w:pPr>
              <w:pStyle w:val="Compact"/>
              <w:jc w:val="center"/>
            </w:pPr>
            <w:r>
              <w:t xml:space="preserve">34–42</w:t>
            </w:r>
          </w:p>
        </w:tc>
        <w:tc>
          <w:tcPr/>
          <w:p>
            <w:pPr>
              <w:pStyle w:val="Compact"/>
              <w:jc w:val="center"/>
            </w:pPr>
            <w:r>
              <w:t xml:space="preserve">temp</w:t>
            </w:r>
          </w:p>
        </w:tc>
      </w:tr>
      <w:tr>
        <w:tc>
          <w:tcPr/>
          <w:p>
            <w:pPr>
              <w:pStyle w:val="Compact"/>
              <w:jc w:val="left"/>
            </w:pPr>
            <w:r>
              <w:t xml:space="preserve">Respiratory Rate</w:t>
            </w:r>
          </w:p>
        </w:tc>
        <w:tc>
          <w:tcPr/>
          <w:p>
            <w:pPr>
              <w:pStyle w:val="Compact"/>
              <w:jc w:val="center"/>
            </w:pPr>
            <w:r>
              <w:t xml:space="preserve">breaths/min</w:t>
            </w:r>
          </w:p>
        </w:tc>
        <w:tc>
          <w:tcPr/>
          <w:p>
            <w:pPr>
              <w:pStyle w:val="Compact"/>
              <w:jc w:val="center"/>
            </w:pPr>
            <w:r>
              <w:t xml:space="preserve">8–40</w:t>
            </w:r>
          </w:p>
        </w:tc>
        <w:tc>
          <w:tcPr/>
          <w:p>
            <w:pPr>
              <w:pStyle w:val="Compact"/>
              <w:jc w:val="center"/>
            </w:pPr>
            <w:r>
              <w:t xml:space="preserve">rr</w:t>
            </w:r>
          </w:p>
        </w:tc>
      </w:tr>
      <w:tr>
        <w:tc>
          <w:tcPr/>
          <w:p>
            <w:pPr>
              <w:pStyle w:val="Compact"/>
              <w:jc w:val="left"/>
            </w:pPr>
            <w:r>
              <w:t xml:space="preserve">Glucose</w:t>
            </w:r>
          </w:p>
        </w:tc>
        <w:tc>
          <w:tcPr/>
          <w:p>
            <w:pPr>
              <w:pStyle w:val="Compact"/>
              <w:jc w:val="center"/>
            </w:pPr>
            <w:r>
              <w:t xml:space="preserve">mg/dL</w:t>
            </w:r>
          </w:p>
        </w:tc>
        <w:tc>
          <w:tcPr/>
          <w:p>
            <w:pPr>
              <w:pStyle w:val="Compact"/>
              <w:jc w:val="center"/>
            </w:pPr>
            <w:r>
              <w:t xml:space="preserve">40–500</w:t>
            </w:r>
          </w:p>
        </w:tc>
        <w:tc>
          <w:tcPr/>
          <w:p>
            <w:pPr>
              <w:pStyle w:val="Compact"/>
              <w:jc w:val="center"/>
            </w:pPr>
            <w:r>
              <w:t xml:space="preserve">glucose</w:t>
            </w:r>
          </w:p>
        </w:tc>
      </w:tr>
    </w:tbl>
    <w:bookmarkEnd w:id="35"/>
    <w:p>
      <w:pPr>
        <w:pStyle w:val="BodyText"/>
      </w:pPr>
      <w:r>
        <w:t xml:space="preserve">Each vital sign is encrypted on the originating device (bedside monitor, wearable sensor, or implantable device) using the clinician’s public key. The patient ID is hashed as</w:t>
      </w:r>
      <w:r>
        <w:t xml:space="preserve"> </w:t>
      </w:r>
      <m:oMath>
        <m:sSub>
          <m:e>
            <m:r>
              <m:t>h</m:t>
            </m:r>
          </m:e>
          <m:sub>
            <m:r>
              <m:rPr>
                <m:sty m:val="i"/>
              </m:rPr>
              <m:t>p</m:t>
            </m:r>
            <m:r>
              <m:rPr>
                <m:sty m:val="i"/>
              </m:rPr>
              <m:t>i</m:t>
            </m:r>
            <m:r>
              <m:rPr>
                <m:sty m:val="i"/>
              </m:rPr>
              <m:t>d</m:t>
            </m:r>
          </m:sub>
        </m:sSub>
        <m:r>
          <m:rPr>
            <m:sty m:val="p"/>
          </m:rPr>
          <m:t>=</m:t>
        </m:r>
        <m:r>
          <m:rPr>
            <m:nor/>
            <m:scr m:val="sans-serif"/>
            <m:sty m:val="p"/>
          </m:rPr>
          <m:t>SHA3-256</m:t>
        </m:r>
        <m:r>
          <m:t>​</m:t>
        </m:r>
        <m:r>
          <m:rPr>
            <m:sty m:val="p"/>
          </m:rPr>
          <m:t>(</m:t>
        </m:r>
        <m:r>
          <m:rPr>
            <m:sty m:val="i"/>
          </m:rPr>
          <m:t>p</m:t>
        </m:r>
        <m:r>
          <m:rPr>
            <m:sty m:val="i"/>
          </m:rPr>
          <m:t>i</m:t>
        </m:r>
        <m:r>
          <m:rPr>
            <m:sty m:val="i"/>
          </m:rPr>
          <m:t>d</m:t>
        </m:r>
        <m:r>
          <m:rPr>
            <m:sty m:val="p"/>
          </m:rPr>
          <m:t>)</m:t>
        </m:r>
      </m:oMath>
      <w:r>
        <w:t xml:space="preserve"> </w:t>
      </w:r>
      <w:r>
        <w:t xml:space="preserve">and stored alongside the ciphertext. The device ID is recorded for provenance but not encrypted.</w:t>
      </w:r>
    </w:p>
    <w:bookmarkEnd w:id="36"/>
    <w:bookmarkStart w:id="37" w:name="population-health-aggregation"/>
    <w:p>
      <w:pPr>
        <w:pStyle w:val="Heading2"/>
      </w:pPr>
      <w:r>
        <w:t xml:space="preserve">Population Health Aggregation</w:t>
      </w:r>
    </w:p>
    <w:p>
      <w:pPr>
        <w:pStyle w:val="FirstParagraph"/>
      </w:pPr>
      <w:r>
        <w:t xml:space="preserve">The analytics server receives encrypted vital signs</w:t>
      </w:r>
      <w:r>
        <w:t xml:space="preserve"> </w:t>
      </w:r>
      <m:oMath>
        <m:r>
          <m:rPr>
            <m:scr m:val="sans-serif"/>
            <m:sty m:val="p"/>
          </m:rPr>
          <m:t>E</m:t>
        </m:r>
        <m:r>
          <m:rPr>
            <m:scr m:val="sans-serif"/>
            <m:sty m:val="p"/>
          </m:rPr>
          <m:t>n</m:t>
        </m:r>
        <m:r>
          <m:rPr>
            <m:scr m:val="sans-serif"/>
            <m:sty m:val="p"/>
          </m:rPr>
          <m:t>c</m:t>
        </m:r>
        <m:r>
          <m:rPr>
            <m:sty m:val="p"/>
          </m:rPr>
          <m:t>(</m:t>
        </m:r>
        <m:sSub>
          <m:e>
            <m:r>
              <m:t>v</m:t>
            </m:r>
          </m:e>
          <m:sub>
            <m:r>
              <m:t>1</m:t>
            </m:r>
          </m:sub>
        </m:sSub>
        <m:r>
          <m:rPr>
            <m:sty m:val="p"/>
          </m:rPr>
          <m:t>)</m:t>
        </m:r>
        <m:r>
          <m:rPr>
            <m:sty m:val="p"/>
          </m:rPr>
          <m:t>,</m:t>
        </m:r>
        <m:r>
          <m:rPr>
            <m:sty m:val="p"/>
          </m:rPr>
          <m:t>…</m:t>
        </m:r>
        <m:r>
          <m:rPr>
            <m:sty m:val="p"/>
          </m:rPr>
          <m:t>,</m:t>
        </m:r>
        <m:r>
          <m:rPr>
            <m:scr m:val="sans-serif"/>
            <m:sty m:val="p"/>
          </m:rPr>
          <m:t>E</m:t>
        </m:r>
        <m:r>
          <m:rPr>
            <m:scr m:val="sans-serif"/>
            <m:sty m:val="p"/>
          </m:rPr>
          <m:t>n</m:t>
        </m:r>
        <m:r>
          <m:rPr>
            <m:scr m:val="sans-serif"/>
            <m:sty m:val="p"/>
          </m:rPr>
          <m:t>c</m:t>
        </m:r>
        <m:r>
          <m:rPr>
            <m:sty m:val="p"/>
          </m:rPr>
          <m:t>(</m:t>
        </m:r>
        <m:sSub>
          <m:e>
            <m:r>
              <m:t>v</m:t>
            </m:r>
          </m:e>
          <m:sub>
            <m:r>
              <m:t>N</m:t>
            </m:r>
          </m:sub>
        </m:sSub>
        <m:r>
          <m:rPr>
            <m:sty m:val="p"/>
          </m:rPr>
          <m:t>)</m:t>
        </m:r>
      </m:oMath>
      <w:r>
        <w:t xml:space="preserve"> </w:t>
      </w:r>
      <w:r>
        <w:t xml:space="preserve">from</w:t>
      </w:r>
      <w:r>
        <w:t xml:space="preserve"> </w:t>
      </w:r>
      <m:oMath>
        <m:r>
          <m:t>N</m:t>
        </m:r>
      </m:oMath>
      <w:r>
        <w:t xml:space="preserve"> </w:t>
      </w:r>
      <w:r>
        <w:t xml:space="preserve">patients and computes:</w:t>
      </w:r>
    </w:p>
    <w:p>
      <w:pPr>
        <w:pStyle w:val="BodyText"/>
      </w:pPr>
      <m:oMathPara>
        <m:oMathParaPr>
          <m:jc m:val="center"/>
        </m:oMathParaPr>
        <m:oMath>
          <m:r>
            <m:rPr>
              <m:scr m:val="sans-serif"/>
              <m:sty m:val="p"/>
            </m:rPr>
            <m:t>E</m:t>
          </m:r>
          <m:r>
            <m:rPr>
              <m:scr m:val="sans-serif"/>
              <m:sty m:val="p"/>
            </m:rPr>
            <m:t>n</m:t>
          </m:r>
          <m:r>
            <m:rPr>
              <m:scr m:val="sans-serif"/>
              <m:sty m:val="p"/>
            </m:rPr>
            <m:t>c</m:t>
          </m:r>
          <m: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nary>
            <m:naryPr>
              <m:chr m:val="∏"/>
              <m:limLoc m:val="undOvr"/>
              <m:subHide m:val="off"/>
              <m:supHide m:val="off"/>
            </m:naryPr>
            <m:sub>
              <m:r>
                <m:t>i</m:t>
              </m:r>
              <m:r>
                <m:rPr>
                  <m:sty m:val="p"/>
                </m:rPr>
                <m:t>=</m:t>
              </m:r>
              <m:r>
                <m:t>1</m:t>
              </m:r>
            </m:sub>
            <m:sup>
              <m:r>
                <m:t>N</m:t>
              </m:r>
            </m:sup>
            <m:e>
              <m:r>
                <m:rPr>
                  <m:scr m:val="sans-serif"/>
                  <m:sty m:val="p"/>
                </m:rPr>
                <m:t>E</m:t>
              </m:r>
              <m:r>
                <m:rPr>
                  <m:scr m:val="sans-serif"/>
                  <m:sty m:val="p"/>
                </m:rPr>
                <m:t>n</m:t>
              </m:r>
              <m:r>
                <m:rPr>
                  <m:scr m:val="sans-serif"/>
                  <m:sty m:val="p"/>
                </m:rPr>
                <m:t>c</m:t>
              </m:r>
            </m:e>
          </m:nary>
          <m:r>
            <m:rPr>
              <m:sty m:val="p"/>
            </m:rPr>
            <m:t>(</m:t>
          </m:r>
          <m:sSub>
            <m:e>
              <m:r>
                <m:t>v</m:t>
              </m:r>
            </m:e>
            <m:sub>
              <m:r>
                <m:t>i</m:t>
              </m:r>
            </m:sub>
          </m:sSub>
          <m:r>
            <m:rPr>
              <m:sty m:val="p"/>
            </m:rPr>
            <m:t>)</m:t>
          </m:r>
          <m:r>
            <m:t> </m:t>
          </m:r>
          <m:r>
            <m:rPr>
              <m:sty m:val="p"/>
            </m:rPr>
            <m:t>mod</m:t>
          </m:r>
          <m:r>
            <m:t> </m:t>
          </m:r>
          <m:sSup>
            <m:e>
              <m:r>
                <m:t>n</m:t>
              </m:r>
            </m:e>
            <m:sup>
              <m:r>
                <m:t>2</m:t>
              </m:r>
            </m:sup>
          </m:sSup>
        </m:oMath>
      </m:oMathPara>
    </w:p>
    <w:p>
      <w:pPr>
        <w:pStyle w:val="FirstParagraph"/>
      </w:pPr>
      <w:r>
        <w:t xml:space="preserve">The aggregation is</w:t>
      </w:r>
      <w:r>
        <w:t xml:space="preserve"> </w:t>
      </w:r>
      <m:oMath>
        <m:r>
          <m:t>O</m:t>
        </m:r>
        <m:r>
          <m:rPr>
            <m:sty m:val="p"/>
          </m:rPr>
          <m:t>(</m:t>
        </m:r>
        <m:r>
          <m:t>N</m:t>
        </m:r>
        <m:r>
          <m:rPr>
            <m:sty m:val="p"/>
          </m:rPr>
          <m:t>)</m:t>
        </m:r>
      </m:oMath>
      <w:r>
        <w:t xml:space="preserve"> </w:t>
      </w:r>
      <w:r>
        <w:t xml:space="preserve">modular multiplications, each operating on ciphertexts of size</w:t>
      </w:r>
      <w:r>
        <w:t xml:space="preserve"> </w:t>
      </w:r>
      <m:oMath>
        <m:r>
          <m:rPr>
            <m:sty m:val="p"/>
          </m:rPr>
          <m:t>⌈</m:t>
        </m:r>
        <m:r>
          <m:t>2</m:t>
        </m:r>
        <m:r>
          <m:rPr>
            <m:sty m:val="p"/>
          </m:rPr>
          <m:t>⋅</m:t>
        </m:r>
        <m:r>
          <m:t>2048</m:t>
        </m:r>
        <m:r>
          <m:rPr>
            <m:sty m:val="p"/>
          </m:rPr>
          <m:t>/</m:t>
        </m:r>
        <m:r>
          <m:t>8</m:t>
        </m:r>
        <m:r>
          <m:rPr>
            <m:sty m:val="p"/>
          </m:rPr>
          <m:t>⌉</m:t>
        </m:r>
        <m:r>
          <m:rPr>
            <m:sty m:val="p"/>
          </m:rPr>
          <m:t>=</m:t>
        </m:r>
        <m:r>
          <m:t>512</m:t>
        </m:r>
      </m:oMath>
      <w:r>
        <w:t xml:space="preserve"> </w:t>
      </w:r>
      <w:r>
        <w:t xml:space="preserve">bytes. The authorized clinician decrypts the aggregate and divides by</w:t>
      </w:r>
      <w:r>
        <w:t xml:space="preserve"> </w:t>
      </w:r>
      <m:oMath>
        <m:r>
          <m:t>N</m:t>
        </m:r>
      </m:oMath>
      <w:r>
        <w:t xml:space="preserve"> </w:t>
      </w:r>
      <w:r>
        <w:t xml:space="preserve">to obtain the population mean.</w:t>
      </w:r>
    </w:p>
    <w:bookmarkEnd w:id="37"/>
    <w:bookmarkStart w:id="38" w:name="differential-privacy-integration"/>
    <w:p>
      <w:pPr>
        <w:pStyle w:val="Heading2"/>
      </w:pPr>
      <w:r>
        <w:t xml:space="preserve">Differential Privacy Integration</w:t>
      </w:r>
    </w:p>
    <w:p>
      <w:pPr>
        <w:pStyle w:val="FirstParagraph"/>
      </w:pPr>
      <w:r>
        <w:t xml:space="preserve">To prevent inference of individual values from population statistics (particularly for small cohorts), we add calibrated Laplace noise to decrypted aggregates. For a query with sensitivity</w:t>
      </w:r>
      <w:r>
        <w:t xml:space="preserve"> </w:t>
      </w:r>
      <m:oMath>
        <m:r>
          <m:rPr>
            <m:sty m:val="p"/>
          </m:rPr>
          <m:t>Δ</m:t>
        </m:r>
        <m:r>
          <m:t>f</m:t>
        </m:r>
        <m:r>
          <m:rPr>
            <m:sty m:val="p"/>
          </m:rPr>
          <m:t>=</m:t>
        </m:r>
        <m:r>
          <m:t>1</m:t>
        </m:r>
        <m:r>
          <m:rPr>
            <m:sty m:val="p"/>
          </m:rPr>
          <m:t>/</m:t>
        </m:r>
        <m:r>
          <m:t>N</m:t>
        </m:r>
      </m:oMath>
      <w:r>
        <w:t xml:space="preserve">:</w:t>
      </w:r>
    </w:p>
    <w:p>
      <w:pPr>
        <w:pStyle w:val="BodyText"/>
      </w:pPr>
      <m:oMathPara>
        <m:oMathParaPr>
          <m:jc m:val="center"/>
        </m:oMathParaPr>
        <m:oMath>
          <m:acc>
            <m:accPr>
              <m:chr m:val="̃"/>
            </m:accPr>
            <m:e>
              <m:r>
                <m:t>μ</m:t>
              </m:r>
            </m:e>
          </m:acc>
          <m:r>
            <m:rPr>
              <m:sty m:val="p"/>
            </m:rPr>
            <m:t>=</m:t>
          </m:r>
          <m:f>
            <m:fPr>
              <m:type m:val="bar"/>
            </m:fPr>
            <m:num>
              <m:r>
                <m:t>1</m:t>
              </m:r>
            </m:num>
            <m:den>
              <m:r>
                <m:t>N</m:t>
              </m:r>
            </m:den>
          </m:f>
          <m:r>
            <m:rPr>
              <m:sty m:val="p"/>
            </m:rPr>
            <m:t>⋅</m:t>
          </m:r>
          <m:r>
            <m:rPr>
              <m:scr m:val="sans-serif"/>
              <m:sty m:val="p"/>
            </m:rPr>
            <m:t>D</m:t>
          </m:r>
          <m:r>
            <m:rPr>
              <m:scr m:val="sans-serif"/>
              <m:sty m:val="p"/>
            </m:rPr>
            <m:t>e</m:t>
          </m:r>
          <m:r>
            <m:rPr>
              <m:scr m:val="sans-serif"/>
              <m:sty m:val="p"/>
            </m:rPr>
            <m:t>c</m:t>
          </m:r>
          <m:r>
            <m:t>​</m:t>
          </m:r>
          <m:d>
            <m:dPr>
              <m:begChr m:val="("/>
              <m:sepChr m:val=""/>
              <m:endChr m:val=")"/>
              <m:grow/>
            </m:dPr>
            <m:e>
              <m:nary>
                <m:naryPr>
                  <m:chr m:val="∏"/>
                  <m:limLoc m:val="undOvr"/>
                  <m:subHide m:val="off"/>
                  <m:supHide m:val="off"/>
                </m:naryPr>
                <m:sub>
                  <m:r>
                    <m:t>i</m:t>
                  </m:r>
                  <m:r>
                    <m:rPr>
                      <m:sty m:val="p"/>
                    </m:rPr>
                    <m:t>=</m:t>
                  </m:r>
                  <m:r>
                    <m:t>1</m:t>
                  </m:r>
                </m:sub>
                <m:sup>
                  <m:r>
                    <m:t>N</m:t>
                  </m:r>
                </m:sup>
                <m:e>
                  <m:r>
                    <m:rPr>
                      <m:scr m:val="sans-serif"/>
                      <m:sty m:val="p"/>
                    </m:rPr>
                    <m:t>E</m:t>
                  </m:r>
                  <m:r>
                    <m:rPr>
                      <m:scr m:val="sans-serif"/>
                      <m:sty m:val="p"/>
                    </m:rPr>
                    <m:t>n</m:t>
                  </m:r>
                  <m:r>
                    <m:rPr>
                      <m:scr m:val="sans-serif"/>
                      <m:sty m:val="p"/>
                    </m:rPr>
                    <m:t>c</m:t>
                  </m:r>
                </m:e>
              </m:nary>
              <m:r>
                <m:rPr>
                  <m:sty m:val="p"/>
                </m:rPr>
                <m:t>(</m:t>
              </m:r>
              <m:sSub>
                <m:e>
                  <m:r>
                    <m:t>v</m:t>
                  </m:r>
                </m:e>
                <m:sub>
                  <m:r>
                    <m:t>i</m:t>
                  </m:r>
                </m:sub>
              </m:sSub>
              <m:r>
                <m:rPr>
                  <m:sty m:val="p"/>
                </m:rPr>
                <m:t>)</m:t>
              </m:r>
            </m:e>
          </m:d>
          <m:r>
            <m:rPr>
              <m:sty m:val="p"/>
            </m:rPr>
            <m:t>+</m:t>
          </m:r>
          <m:r>
            <m:rPr>
              <m:nor/>
              <m:sty m:val="p"/>
            </m:rPr>
            <m:t>Lap</m:t>
          </m:r>
          <m:r>
            <m:t>​</m:t>
          </m:r>
          <m:d>
            <m:dPr>
              <m:begChr m:val="("/>
              <m:sepChr m:val=""/>
              <m:endChr m:val=")"/>
              <m:grow/>
            </m:dPr>
            <m:e>
              <m:f>
                <m:fPr>
                  <m:type m:val="bar"/>
                </m:fPr>
                <m:num>
                  <m:r>
                    <m:rPr>
                      <m:sty m:val="p"/>
                    </m:rPr>
                    <m:t>Δ</m:t>
                  </m:r>
                  <m:r>
                    <m:t>f</m:t>
                  </m:r>
                </m:num>
                <m:den>
                  <m:r>
                    <m:t>ε</m:t>
                  </m:r>
                </m:den>
              </m:f>
            </m:e>
          </m:d>
        </m:oMath>
      </m:oMathPara>
    </w:p>
    <w:p>
      <w:pPr>
        <w:pStyle w:val="FirstParagraph"/>
      </w:pPr>
      <w:r>
        <w:t xml:space="preserve">where</w:t>
      </w:r>
      <w:r>
        <w:t xml:space="preserve"> </w:t>
      </w:r>
      <m:oMath>
        <m:r>
          <m:t>ε</m:t>
        </m:r>
        <m:r>
          <m:rPr>
            <m:sty m:val="p"/>
          </m:rPr>
          <m:t>=</m:t>
        </m:r>
        <m:r>
          <m:t>1.0</m:t>
        </m:r>
      </m:oMath>
      <w:r>
        <w:t xml:space="preserve"> </w:t>
      </w:r>
      <w:r>
        <w:t xml:space="preserve">is the default privacy budget and</w:t>
      </w:r>
      <w:r>
        <w:t xml:space="preserve"> </w:t>
      </w:r>
      <m:oMath>
        <m:r>
          <m:rPr>
            <m:nor/>
            <m:sty m:val="p"/>
          </m:rPr>
          <m:t>Lap</m:t>
        </m:r>
        <m:r>
          <m:rPr>
            <m:sty m:val="p"/>
          </m:rPr>
          <m:t>(</m:t>
        </m:r>
        <m:r>
          <m:t>b</m:t>
        </m:r>
        <m:r>
          <m:rPr>
            <m:sty m:val="p"/>
          </m:rPr>
          <m:t>)</m:t>
        </m:r>
      </m:oMath>
      <w:r>
        <w:t xml:space="preserve"> </w:t>
      </w:r>
      <w:r>
        <w:t xml:space="preserve">denotes a random variable drawn from the Laplace distribution with scale parameter</w:t>
      </w:r>
      <w:r>
        <w:t xml:space="preserve"> </w:t>
      </w:r>
      <m:oMath>
        <m:r>
          <m:t>b</m:t>
        </m:r>
      </m:oMath>
      <w:r>
        <w:t xml:space="preserve"> </w:t>
      </w:r>
      <w:r>
        <w:t xml:space="preserve">(Dwork 2006; Dwork and Roth 2014)</w:t>
      </w:r>
      <w:r>
        <w:t xml:space="preserve">. The noise is added</w:t>
      </w:r>
      <w:r>
        <w:t xml:space="preserve"> </w:t>
      </w:r>
      <w:r>
        <w:rPr>
          <w:i/>
          <w:iCs/>
        </w:rPr>
        <w:t xml:space="preserve">after</w:t>
      </w:r>
      <w:r>
        <w:t xml:space="preserve"> </w:t>
      </w:r>
      <w:r>
        <w:t xml:space="preserve">decryption but</w:t>
      </w:r>
      <w:r>
        <w:t xml:space="preserve"> </w:t>
      </w:r>
      <w:r>
        <w:rPr>
          <w:i/>
          <w:iCs/>
        </w:rPr>
        <w:t xml:space="preserve">before</w:t>
      </w:r>
      <w:r>
        <w:t xml:space="preserve"> </w:t>
      </w:r>
      <w:r>
        <w:t xml:space="preserve">release, ensuring that the analyst receives only a differentially private statistic. The privacy budget</w:t>
      </w:r>
      <w:r>
        <w:t xml:space="preserve"> </w:t>
      </w:r>
      <m:oMath>
        <m:r>
          <m:t>ε</m:t>
        </m:r>
      </m:oMath>
      <w:r>
        <w:t xml:space="preserve"> </w:t>
      </w:r>
      <w:r>
        <w:t xml:space="preserve">is configurable per query or per aggregation window.</w:t>
      </w:r>
    </w:p>
    <w:bookmarkEnd w:id="38"/>
    <w:bookmarkEnd w:id="39"/>
    <w:bookmarkStart w:id="45" w:name="sec:vc"/>
    <w:p>
      <w:pPr>
        <w:pStyle w:val="Heading1"/>
      </w:pPr>
      <w:r>
        <w:t xml:space="preserve">Post-Quantum Verifiable Credentials</w:t>
      </w:r>
    </w:p>
    <w:bookmarkStart w:id="40" w:name="credential-architecture"/>
    <w:p>
      <w:pPr>
        <w:pStyle w:val="Heading2"/>
      </w:pPr>
      <w:r>
        <w:t xml:space="preserve">Credential Architecture</w:t>
      </w:r>
    </w:p>
    <w:p>
      <w:pPr>
        <w:pStyle w:val="FirstParagraph"/>
      </w:pPr>
      <w:r>
        <w:t xml:space="preserve">Our verifiable credential system conforms to the W3C Verifiable Credentials Data Model 2.0 </w:t>
      </w:r>
      <w:r>
        <w:t xml:space="preserve">(W3C 2024)</w:t>
      </w:r>
      <w:r>
        <w:t xml:space="preserve"> </w:t>
      </w:r>
      <w:r>
        <w:t xml:space="preserve">and employs</w:t>
      </w:r>
      <w:r>
        <w:t xml:space="preserve"> </w:t>
      </w:r>
      <w:r>
        <w:t xml:space="preserve">ML-DSA</w:t>
      </w:r>
      <w:r>
        <w:t xml:space="preserve">-65 </w:t>
      </w:r>
      <w:r>
        <w:t xml:space="preserve">(National Institute of Standards and Technology 2024a; Ducas et al. 2018)</w:t>
      </w:r>
      <w:r>
        <w:t xml:space="preserve"> </w:t>
      </w:r>
      <w:r>
        <w:t xml:space="preserve">for issuer and holder signatures. The architecture comprises three roles:</w:t>
      </w:r>
    </w:p>
    <w:p>
      <w:pPr>
        <w:numPr>
          <w:ilvl w:val="0"/>
          <w:numId w:val="1009"/>
        </w:numPr>
      </w:pPr>
      <w:r>
        <w:rPr>
          <w:b/>
          <w:bCs/>
        </w:rPr>
        <w:t xml:space="preserve">Issuer</w:t>
      </w:r>
      <w:r>
        <w:t xml:space="preserve"> </w:t>
      </w:r>
      <w:r>
        <w:t xml:space="preserve">(</w:t>
      </w:r>
      <m:oMath>
        <m:r>
          <m:rPr>
            <m:scr m:val="script"/>
            <m:sty m:val="p"/>
          </m:rPr>
          <m:t>I</m:t>
        </m:r>
      </m:oMath>
      <w:r>
        <w:t xml:space="preserve">): A healthcare organization that issues credentials signed with its</w:t>
      </w:r>
      <w:r>
        <w:t xml:space="preserve"> </w:t>
      </w:r>
      <w:r>
        <w:t xml:space="preserve">ML-DSA</w:t>
      </w:r>
      <w:r>
        <w:t xml:space="preserve">-65 private key.</w:t>
      </w:r>
    </w:p>
    <w:p>
      <w:pPr>
        <w:numPr>
          <w:ilvl w:val="0"/>
          <w:numId w:val="1009"/>
        </w:numPr>
      </w:pPr>
      <w:r>
        <w:rPr>
          <w:b/>
          <w:bCs/>
        </w:rPr>
        <w:t xml:space="preserve">Holder</w:t>
      </w:r>
      <w:r>
        <w:t xml:space="preserve"> </w:t>
      </w:r>
      <w:r>
        <w:t xml:space="preserve">(</w:t>
      </w:r>
      <m:oMath>
        <m:r>
          <m:rPr>
            <m:scr m:val="script"/>
            <m:sty m:val="p"/>
          </m:rPr>
          <m:t>U</m:t>
        </m:r>
      </m:oMath>
      <w:r>
        <w:t xml:space="preserve">): The patient who stores credentials and creates presentations with selective disclosure.</w:t>
      </w:r>
    </w:p>
    <w:p>
      <w:pPr>
        <w:numPr>
          <w:ilvl w:val="0"/>
          <w:numId w:val="1009"/>
        </w:numPr>
      </w:pPr>
      <w:r>
        <w:rPr>
          <w:b/>
          <w:bCs/>
        </w:rPr>
        <w:t xml:space="preserve">Verifier</w:t>
      </w:r>
      <w:r>
        <w:t xml:space="preserve"> </w:t>
      </w:r>
      <w:r>
        <w:t xml:space="preserve">(</w:t>
      </w:r>
      <m:oMath>
        <m:r>
          <m:rPr>
            <m:scr m:val="script"/>
            <m:sty m:val="p"/>
          </m:rPr>
          <m:t>V</m:t>
        </m:r>
      </m:oMath>
      <w:r>
        <w:t xml:space="preserve">): An entity that verifies presentations against the issuer’s public key and trusted issuer registry.</w:t>
      </w:r>
    </w:p>
    <w:p>
      <w:pPr>
        <w:pStyle w:val="FirstParagraph"/>
      </w:pPr>
      <w:r>
        <w:t xml:space="preserve">Seven credential types are supported: Vaccination Record, Lab Result, Prescription, Allergy Record, Insurance Eligibility, Disability Attestation, and Provider License.</w:t>
      </w:r>
    </w:p>
    <w:bookmarkEnd w:id="40"/>
    <w:bookmarkStart w:id="41" w:name="merkle-tree-selective-disclosure"/>
    <w:p>
      <w:pPr>
        <w:pStyle w:val="Heading2"/>
      </w:pPr>
      <w:r>
        <w:t xml:space="preserve">Merkle Tree Selective Disclosure</w:t>
      </w:r>
    </w:p>
    <w:p>
      <w:pPr>
        <w:pStyle w:val="FirstParagraph"/>
      </w:pPr>
      <w:r>
        <w:t xml:space="preserve">Each credential contains a set of claims</w:t>
      </w:r>
      <w:r>
        <w:t xml:space="preserve"> </w:t>
      </w:r>
      <m:oMath>
        <m:r>
          <m:rPr>
            <m:sty m:val="p"/>
          </m:rPr>
          <m:t>{</m:t>
        </m:r>
        <m:r>
          <m:rPr>
            <m:sty m:val="p"/>
          </m:rPr>
          <m:t>(</m:t>
        </m:r>
        <m:sSub>
          <m:e>
            <m:r>
              <m:t>k</m:t>
            </m:r>
          </m:e>
          <m:sub>
            <m:r>
              <m:t>1</m:t>
            </m:r>
          </m:sub>
        </m:sSub>
        <m:r>
          <m:rPr>
            <m:sty m:val="p"/>
          </m:rPr>
          <m:t>,</m:t>
        </m:r>
        <m:sSub>
          <m:e>
            <m:r>
              <m:t>v</m:t>
            </m:r>
          </m:e>
          <m:sub>
            <m:r>
              <m:t>1</m:t>
            </m:r>
          </m:sub>
        </m:sSub>
        <m:r>
          <m:rPr>
            <m:sty m:val="p"/>
          </m:rPr>
          <m:t>)</m:t>
        </m:r>
        <m:r>
          <m:rPr>
            <m:sty m:val="p"/>
          </m:rPr>
          <m:t>,</m:t>
        </m:r>
        <m:r>
          <m:rPr>
            <m:sty m:val="p"/>
          </m:rPr>
          <m:t>…</m:t>
        </m:r>
        <m:r>
          <m:rPr>
            <m:sty m:val="p"/>
          </m:rPr>
          <m:t>,</m:t>
        </m:r>
        <m:r>
          <m:rPr>
            <m:sty m:val="p"/>
          </m:rPr>
          <m:t>(</m:t>
        </m:r>
        <m:sSub>
          <m:e>
            <m:r>
              <m:t>k</m:t>
            </m:r>
          </m:e>
          <m:sub>
            <m:r>
              <m:t>m</m:t>
            </m:r>
          </m:sub>
        </m:sSub>
        <m:r>
          <m:rPr>
            <m:sty m:val="p"/>
          </m:rPr>
          <m:t>,</m:t>
        </m:r>
        <m:sSub>
          <m:e>
            <m:r>
              <m:t>v</m:t>
            </m:r>
          </m:e>
          <m:sub>
            <m:r>
              <m:t>m</m:t>
            </m:r>
          </m:sub>
        </m:sSub>
        <m:r>
          <m:rPr>
            <m:sty m:val="p"/>
          </m:rPr>
          <m:t>)</m:t>
        </m:r>
        <m:r>
          <m:rPr>
            <m:sty m:val="p"/>
          </m:rPr>
          <m:t>}</m:t>
        </m:r>
      </m:oMath>
      <w:r>
        <w:t xml:space="preserve">. For selective disclosure, we construct a Merkle tree over claim hashes:</w:t>
      </w:r>
    </w:p>
    <w:p>
      <w:pPr>
        <w:pStyle w:val="BodyText"/>
      </w:pPr>
      <m:oMathPara>
        <m:oMathParaPr>
          <m:jc m:val="center"/>
        </m:oMathParaPr>
        <m:oMath>
          <m:sSub>
            <m:e>
              <m:r>
                <m:t>h</m:t>
              </m:r>
            </m:e>
            <m:sub>
              <m:r>
                <m:t>i</m:t>
              </m:r>
            </m:sub>
          </m:sSub>
          <m:r>
            <m:rPr>
              <m:sty m:val="p"/>
            </m:rPr>
            <m:t>=</m:t>
          </m:r>
          <m:r>
            <m:rPr>
              <m:nor/>
              <m:scr m:val="sans-serif"/>
              <m:sty m:val="p"/>
            </m:rPr>
            <m:t>SHA3-256</m:t>
          </m:r>
          <m:r>
            <m:t>​</m:t>
          </m:r>
          <m:r>
            <m:rPr>
              <m:sty m:val="p"/>
            </m:rPr>
            <m:t>(</m:t>
          </m:r>
          <m:sSub>
            <m:e>
              <m:r>
                <m:rPr>
                  <m:sty m:val="i"/>
                </m:rPr>
                <m:t>s</m:t>
              </m:r>
              <m:r>
                <m:rPr>
                  <m:sty m:val="i"/>
                </m:rPr>
                <m:t>a</m:t>
              </m:r>
              <m:r>
                <m:rPr>
                  <m:sty m:val="i"/>
                </m:rPr>
                <m:t>l</m:t>
              </m:r>
              <m:r>
                <m:rPr>
                  <m:sty m:val="i"/>
                </m:rPr>
                <m:t>t</m:t>
              </m:r>
            </m:e>
            <m:sub>
              <m:r>
                <m:t>i</m:t>
              </m:r>
            </m:sub>
          </m:sSub>
          <m:r>
            <m:rPr>
              <m:sty m:val="p"/>
            </m:rPr>
            <m:t>∥</m:t>
          </m:r>
          <m:sSub>
            <m:e>
              <m:r>
                <m:t>k</m:t>
              </m:r>
            </m:e>
            <m:sub>
              <m:r>
                <m:t>i</m:t>
              </m:r>
            </m:sub>
          </m:sSub>
          <m:r>
            <m:rPr>
              <m:sty m:val="p"/>
            </m:rPr>
            <m:t>∥</m:t>
          </m:r>
          <m:r>
            <m:rPr>
              <m:nor/>
              <m:scr m:val="monospace"/>
              <m:sty m:val="p"/>
            </m:rPr>
            <m:t>":"</m:t>
          </m:r>
          <m:r>
            <m:rPr>
              <m:sty m:val="p"/>
            </m:rPr>
            <m:t>∥</m:t>
          </m:r>
          <m:r>
            <m:rPr>
              <m:nor/>
              <m:sty m:val="p"/>
            </m:rPr>
            <m:t>JSON</m:t>
          </m:r>
          <m:r>
            <m:rPr>
              <m:sty m:val="p"/>
            </m:rPr>
            <m:t>(</m:t>
          </m:r>
          <m:sSub>
            <m:e>
              <m:r>
                <m:t>v</m:t>
              </m:r>
            </m:e>
            <m:sub>
              <m:r>
                <m:t>i</m:t>
              </m:r>
            </m:sub>
          </m:sSub>
          <m:r>
            <m:rPr>
              <m:sty m:val="p"/>
            </m:rPr>
            <m:t>)</m:t>
          </m:r>
          <m:r>
            <m:rPr>
              <m:sty m:val="p"/>
            </m:rPr>
            <m:t>)</m:t>
          </m:r>
          <m:r>
            <m:rPr>
              <m:sty m:val="p"/>
            </m:rPr>
            <m:t>,</m:t>
          </m:r>
          <m:r>
            <m:t> </m:t>
          </m:r>
          <m:r>
            <m:t>i</m:t>
          </m:r>
          <m:r>
            <m:rPr>
              <m:sty m:val="p"/>
            </m:rPr>
            <m:t>=</m:t>
          </m:r>
          <m:r>
            <m:t>1</m:t>
          </m:r>
          <m:r>
            <m:rPr>
              <m:sty m:val="p"/>
            </m:rPr>
            <m:t>,</m:t>
          </m:r>
          <m:r>
            <m:rPr>
              <m:sty m:val="p"/>
            </m:rPr>
            <m:t>…</m:t>
          </m:r>
          <m:r>
            <m:rPr>
              <m:sty m:val="p"/>
            </m:rPr>
            <m:t>,</m:t>
          </m:r>
          <m:r>
            <m:t>m</m:t>
          </m:r>
        </m:oMath>
      </m:oMathPara>
    </w:p>
    <w:p>
      <w:pPr>
        <w:pStyle w:val="FirstParagraph"/>
      </w:pPr>
      <w:r>
        <w:t xml:space="preserve">where each</w:t>
      </w:r>
      <w:r>
        <w:t xml:space="preserve"> </w:t>
      </w:r>
      <m:oMath>
        <m:sSub>
          <m:e>
            <m:r>
              <m:rPr>
                <m:sty m:val="i"/>
              </m:rPr>
              <m:t>s</m:t>
            </m:r>
            <m:r>
              <m:rPr>
                <m:sty m:val="i"/>
              </m:rPr>
              <m:t>a</m:t>
            </m:r>
            <m:r>
              <m:rPr>
                <m:sty m:val="i"/>
              </m:rPr>
              <m:t>l</m:t>
            </m:r>
            <m:r>
              <m:rPr>
                <m:sty m:val="i"/>
              </m:rPr>
              <m:t>t</m:t>
            </m:r>
          </m:e>
          <m:sub>
            <m:r>
              <m:t>i</m:t>
            </m:r>
          </m:sub>
        </m:sSub>
        <m:r>
          <m:rPr>
            <m:sty m:val="p"/>
          </m:rPr>
          <m:t>←</m:t>
        </m:r>
        <m:sSup>
          <m:e>
            <m:r>
              <m:rPr>
                <m:sty m:val="p"/>
              </m:rPr>
              <m:t>$</m:t>
            </m:r>
          </m:e>
          <m:sup>
            <m:r>
              <m:t>128</m:t>
            </m:r>
          </m:sup>
        </m:sSup>
      </m:oMath>
      <w:r>
        <w:t xml:space="preserve"> </w:t>
      </w:r>
      <w:r>
        <w:t xml:space="preserve">prevents dictionary attacks on claim values. The Merkle tree is constructed bottom-up: if the number of leaves at any level is odd, the last leaf is duplicated. Internal nodes are computed as:</w:t>
      </w:r>
    </w:p>
    <w:p>
      <w:pPr>
        <w:pStyle w:val="BodyText"/>
      </w:pPr>
      <m:oMathPara>
        <m:oMathParaPr>
          <m:jc m:val="center"/>
        </m:oMathParaPr>
        <m:oMath>
          <m:sSub>
            <m:e>
              <m:r>
                <m:t>h</m:t>
              </m:r>
            </m:e>
            <m:sub>
              <m:r>
                <m:rPr>
                  <m:nor/>
                  <m:sty m:val="p"/>
                </m:rPr>
                <m:t>parent</m:t>
              </m:r>
            </m:sub>
          </m:sSub>
          <m:r>
            <m:rPr>
              <m:sty m:val="p"/>
            </m:rPr>
            <m:t>=</m:t>
          </m:r>
          <m:r>
            <m:rPr>
              <m:nor/>
              <m:scr m:val="sans-serif"/>
              <m:sty m:val="p"/>
            </m:rPr>
            <m:t>SHA3-256</m:t>
          </m:r>
          <m:r>
            <m:t>​</m:t>
          </m:r>
          <m:r>
            <m:rPr>
              <m:sty m:val="p"/>
            </m:rPr>
            <m:t>(</m:t>
          </m:r>
          <m:sSub>
            <m:e>
              <m:r>
                <m:t>h</m:t>
              </m:r>
            </m:e>
            <m:sub>
              <m:r>
                <m:rPr>
                  <m:nor/>
                  <m:sty m:val="p"/>
                </m:rPr>
                <m:t>left</m:t>
              </m:r>
            </m:sub>
          </m:sSub>
          <m:r>
            <m:rPr>
              <m:sty m:val="p"/>
            </m:rPr>
            <m:t>∥</m:t>
          </m:r>
          <m:sSub>
            <m:e>
              <m:r>
                <m:t>h</m:t>
              </m:r>
            </m:e>
            <m:sub>
              <m:r>
                <m:rPr>
                  <m:nor/>
                  <m:sty m:val="p"/>
                </m:rPr>
                <m:t>right</m:t>
              </m:r>
            </m:sub>
          </m:sSub>
          <m:r>
            <m:rPr>
              <m:sty m:val="p"/>
            </m:rPr>
            <m:t>)</m:t>
          </m:r>
        </m:oMath>
      </m:oMathPara>
    </w:p>
    <w:p>
      <w:pPr>
        <w:pStyle w:val="FirstParagraph"/>
      </w:pPr>
      <w:r>
        <w:t xml:space="preserve">The Merkle root (32 bytes) is included in the credential alongside the issuer’s</w:t>
      </w:r>
      <w:r>
        <w:t xml:space="preserve"> </w:t>
      </w:r>
      <w:r>
        <w:t xml:space="preserve">ML-DSA</w:t>
      </w:r>
      <w:r>
        <w:t xml:space="preserve">-65 signature over:</w:t>
      </w:r>
    </w:p>
    <w:p>
      <w:pPr>
        <w:pStyle w:val="BodyText"/>
      </w:pPr>
      <m:oMathPara>
        <m:oMathParaPr>
          <m:jc m:val="center"/>
        </m:oMathParaPr>
        <m:oMath>
          <m:sSub>
            <m:e>
              <m:r>
                <m:t>σ</m:t>
              </m:r>
            </m:e>
            <m:sub>
              <m:r>
                <m:rPr>
                  <m:scr m:val="script"/>
                  <m:sty m:val="p"/>
                </m:rPr>
                <m:t>I</m:t>
              </m:r>
            </m:sub>
          </m:sSub>
          <m:r>
            <m:rPr>
              <m:sty m:val="p"/>
            </m:rPr>
            <m:t>=</m:t>
          </m:r>
          <m:sSub>
            <m:e>
              <m:r>
                <m:rPr>
                  <m:scr m:val="sans-serif"/>
                  <m:sty m:val="p"/>
                </m:rPr>
                <m:t>S</m:t>
              </m:r>
              <m:r>
                <m:rPr>
                  <m:scr m:val="sans-serif"/>
                  <m:sty m:val="p"/>
                </m:rPr>
                <m:t>i</m:t>
              </m:r>
              <m:r>
                <m:rPr>
                  <m:scr m:val="sans-serif"/>
                  <m:sty m:val="p"/>
                </m:rPr>
                <m:t>g</m:t>
              </m:r>
              <m:r>
                <m:rPr>
                  <m:scr m:val="sans-serif"/>
                  <m:sty m:val="p"/>
                </m:rPr>
                <m:t>n</m:t>
              </m:r>
            </m:e>
            <m:sub>
              <m:sSub>
                <m:e>
                  <m:r>
                    <m:rPr>
                      <m:sty m:val="i"/>
                    </m:rPr>
                    <m:t>s</m:t>
                  </m:r>
                  <m:r>
                    <m:rPr>
                      <m:sty m:val="i"/>
                    </m:rPr>
                    <m:t>k</m:t>
                  </m:r>
                </m:e>
                <m:sub>
                  <m:r>
                    <m:rPr>
                      <m:scr m:val="script"/>
                      <m:sty m:val="p"/>
                    </m:rPr>
                    <m:t>I</m:t>
                  </m:r>
                </m:sub>
              </m:sSub>
            </m:sub>
          </m:sSub>
          <m:r>
            <m:t>​</m:t>
          </m:r>
          <m:d>
            <m:dPr>
              <m:begChr m:val="("/>
              <m:sepChr m:val=""/>
              <m:endChr m:val=")"/>
              <m:grow/>
            </m:dPr>
            <m:e>
              <m:r>
                <m:rPr>
                  <m:sty m:val="i"/>
                </m:rPr>
                <m:t>c</m:t>
              </m:r>
              <m:r>
                <m:rPr>
                  <m:sty m:val="i"/>
                </m:rPr>
                <m:t>r</m:t>
              </m:r>
              <m:r>
                <m:rPr>
                  <m:sty m:val="i"/>
                </m:rPr>
                <m:t>e</m:t>
              </m:r>
              <m:r>
                <m:rPr>
                  <m:sty m:val="i"/>
                </m:rPr>
                <m:t>d</m:t>
              </m:r>
              <m:r>
                <m:rPr>
                  <m:sty m:val="i"/>
                </m:rPr>
                <m:t>_</m:t>
              </m:r>
              <m:r>
                <m:rPr>
                  <m:sty m:val="i"/>
                </m:rPr>
                <m:t>i</m:t>
              </m:r>
              <m:r>
                <m:rPr>
                  <m:sty m:val="i"/>
                </m:rPr>
                <m:t>d</m:t>
              </m:r>
              <m:r>
                <m:rPr>
                  <m:sty m:val="p"/>
                </m:rPr>
                <m:t>∥</m:t>
              </m:r>
              <m:r>
                <m:rPr>
                  <m:sty m:val="i"/>
                </m:rPr>
                <m:t>r</m:t>
              </m:r>
              <m:r>
                <m:rPr>
                  <m:sty m:val="i"/>
                </m:rPr>
                <m:t>o</m:t>
              </m:r>
              <m:r>
                <m:rPr>
                  <m:sty m:val="i"/>
                </m:rPr>
                <m:t>o</m:t>
              </m:r>
              <m:r>
                <m:rPr>
                  <m:sty m:val="i"/>
                </m:rPr>
                <m:t>t</m:t>
              </m:r>
              <m:r>
                <m:rPr>
                  <m:sty m:val="p"/>
                </m:rPr>
                <m:t>∥</m:t>
              </m:r>
              <m:sSub>
                <m:e>
                  <m:r>
                    <m:t>t</m:t>
                  </m:r>
                </m:e>
                <m:sub>
                  <m:r>
                    <m:rPr>
                      <m:nor/>
                      <m:sty m:val="p"/>
                    </m:rPr>
                    <m:t>issue</m:t>
                  </m:r>
                </m:sub>
              </m:sSub>
              <m:r>
                <m:rPr>
                  <m:sty m:val="p"/>
                </m:rPr>
                <m:t>∥</m:t>
              </m:r>
              <m:sSub>
                <m:e>
                  <m:r>
                    <m:t>t</m:t>
                  </m:r>
                </m:e>
                <m:sub>
                  <m:r>
                    <m:rPr>
                      <m:nor/>
                      <m:sty m:val="p"/>
                    </m:rPr>
                    <m:t>expire</m:t>
                  </m:r>
                </m:sub>
              </m:sSub>
              <m:r>
                <m:rPr>
                  <m:sty m:val="p"/>
                </m:rPr>
                <m:t>∥</m:t>
              </m:r>
              <m:r>
                <m:rPr>
                  <m:sty m:val="i"/>
                </m:rPr>
                <m:t>s</m:t>
              </m:r>
              <m:r>
                <m:rPr>
                  <m:sty m:val="i"/>
                </m:rPr>
                <m:t>u</m:t>
              </m:r>
              <m:r>
                <m:rPr>
                  <m:sty m:val="i"/>
                </m:rPr>
                <m:t>b</m:t>
              </m:r>
              <m:r>
                <m:rPr>
                  <m:sty m:val="i"/>
                </m:rPr>
                <m:t>j</m:t>
              </m:r>
              <m:r>
                <m:rPr>
                  <m:sty m:val="i"/>
                </m:rPr>
                <m:t>e</m:t>
              </m:r>
              <m:r>
                <m:rPr>
                  <m:sty m:val="i"/>
                </m:rPr>
                <m:t>c</m:t>
              </m:r>
              <m:r>
                <m:rPr>
                  <m:sty m:val="i"/>
                </m:rPr>
                <m:t>t</m:t>
              </m:r>
              <m:r>
                <m:rPr>
                  <m:sty m:val="i"/>
                </m:rPr>
                <m:t>_</m:t>
              </m:r>
              <m:r>
                <m:rPr>
                  <m:sty m:val="i"/>
                </m:rPr>
                <m:t>i</m:t>
              </m:r>
              <m:r>
                <m:rPr>
                  <m:sty m:val="i"/>
                </m:rPr>
                <m:t>d</m:t>
              </m:r>
            </m:e>
          </m:d>
        </m:oMath>
      </m:oMathPara>
    </w:p>
    <w:p>
      <w:pPr>
        <w:pStyle w:val="FirstParagraph"/>
      </w:pPr>
      <w:r>
        <w:t xml:space="preserve">The issuer signature is 3</w:t>
      </w:r>
      <w:r>
        <w:t xml:space="preserve">,</w:t>
      </w:r>
      <w:r>
        <w:t xml:space="preserve">293 bytes (ML-DSA-65 at security level 3).</w:t>
      </w:r>
    </w:p>
    <w:bookmarkEnd w:id="41"/>
    <w:bookmarkStart w:id="42" w:name="verifiable-presentations"/>
    <w:p>
      <w:pPr>
        <w:pStyle w:val="Heading2"/>
      </w:pPr>
      <w:r>
        <w:t xml:space="preserve">Verifiable Presentations</w:t>
      </w:r>
    </w:p>
    <w:p>
      <w:pPr>
        <w:pStyle w:val="FirstParagraph"/>
      </w:pPr>
      <w:r>
        <w:t xml:space="preserve">To disclose a subset</w:t>
      </w:r>
      <w:r>
        <w:t xml:space="preserve"> </w:t>
      </w:r>
      <m:oMath>
        <m:r>
          <m:t>S</m:t>
        </m:r>
        <m:r>
          <m:rPr>
            <m:sty m:val="p"/>
          </m:rPr>
          <m:t>⊆</m:t>
        </m:r>
        <m:r>
          <m:rPr>
            <m:sty m:val="p"/>
          </m:rPr>
          <m:t>{</m:t>
        </m:r>
        <m:sSub>
          <m:e>
            <m:r>
              <m:t>k</m:t>
            </m:r>
          </m:e>
          <m:sub>
            <m:r>
              <m:t>1</m:t>
            </m:r>
          </m:sub>
        </m:sSub>
        <m:r>
          <m:rPr>
            <m:sty m:val="p"/>
          </m:rPr>
          <m:t>,</m:t>
        </m:r>
        <m:r>
          <m:rPr>
            <m:sty m:val="p"/>
          </m:rPr>
          <m:t>…</m:t>
        </m:r>
        <m:r>
          <m:rPr>
            <m:sty m:val="p"/>
          </m:rPr>
          <m:t>,</m:t>
        </m:r>
        <m:sSub>
          <m:e>
            <m:r>
              <m:t>k</m:t>
            </m:r>
          </m:e>
          <m:sub>
            <m:r>
              <m:t>m</m:t>
            </m:r>
          </m:sub>
        </m:sSub>
        <m:r>
          <m:rPr>
            <m:sty m:val="p"/>
          </m:rPr>
          <m:t>}</m:t>
        </m:r>
      </m:oMath>
      <w:r>
        <w:t xml:space="preserve">, the holder creates a Verifiable Presentation containing:</w:t>
      </w:r>
    </w:p>
    <w:p>
      <w:pPr>
        <w:numPr>
          <w:ilvl w:val="0"/>
          <w:numId w:val="1010"/>
        </w:numPr>
      </w:pPr>
      <w:r>
        <w:rPr>
          <w:b/>
          <w:bCs/>
        </w:rPr>
        <w:t xml:space="preserve">Disclosed claims:</w:t>
      </w:r>
      <w:r>
        <w:t xml:space="preserve"> </w:t>
      </w:r>
      <m:oMath>
        <m:r>
          <m:rPr>
            <m:sty m:val="p"/>
          </m:rPr>
          <m:t>{</m:t>
        </m:r>
        <m:r>
          <m:rPr>
            <m:sty m:val="p"/>
          </m:rPr>
          <m:t>(</m:t>
        </m:r>
        <m:sSub>
          <m:e>
            <m:r>
              <m:t>k</m:t>
            </m:r>
          </m:e>
          <m:sub>
            <m:r>
              <m:t>i</m:t>
            </m:r>
          </m:sub>
        </m:sSub>
        <m:r>
          <m:rPr>
            <m:sty m:val="p"/>
          </m:rPr>
          <m:t>,</m:t>
        </m:r>
        <m:sSub>
          <m:e>
            <m:r>
              <m:t>v</m:t>
            </m:r>
          </m:e>
          <m:sub>
            <m:r>
              <m:t>i</m:t>
            </m:r>
          </m:sub>
        </m:sSub>
        <m:r>
          <m:rPr>
            <m:sty m:val="p"/>
          </m:rPr>
          <m:t>)</m:t>
        </m:r>
        <m:r>
          <m:rPr>
            <m:sty m:val="p"/>
          </m:rPr>
          <m:t>:</m:t>
        </m:r>
        <m:sSub>
          <m:e>
            <m:r>
              <m:t>k</m:t>
            </m:r>
          </m:e>
          <m:sub>
            <m:r>
              <m:t>i</m:t>
            </m:r>
          </m:sub>
        </m:sSub>
        <m:r>
          <m:rPr>
            <m:sty m:val="p"/>
          </m:rPr>
          <m:t>∈</m:t>
        </m:r>
        <m:r>
          <m:t>S</m:t>
        </m:r>
        <m:r>
          <m:rPr>
            <m:sty m:val="p"/>
          </m:rPr>
          <m:t>}</m:t>
        </m:r>
      </m:oMath>
      <w:r>
        <w:t xml:space="preserve">.</w:t>
      </w:r>
    </w:p>
    <w:p>
      <w:pPr>
        <w:numPr>
          <w:ilvl w:val="0"/>
          <w:numId w:val="1010"/>
        </w:numPr>
      </w:pPr>
      <w:r>
        <w:rPr>
          <w:b/>
          <w:bCs/>
        </w:rPr>
        <w:t xml:space="preserve">Merkle proofs:</w:t>
      </w:r>
      <w:r>
        <w:t xml:space="preserve"> </w:t>
      </w:r>
      <w:r>
        <w:t xml:space="preserve">For each disclosed claim</w:t>
      </w:r>
      <w:r>
        <w:t xml:space="preserve"> </w:t>
      </w:r>
      <m:oMath>
        <m:sSub>
          <m:e>
            <m:r>
              <m:t>k</m:t>
            </m:r>
          </m:e>
          <m:sub>
            <m:r>
              <m:t>i</m:t>
            </m:r>
          </m:sub>
        </m:sSub>
      </m:oMath>
      <w:r>
        <w:t xml:space="preserve">, the Merkle inclusion proof</w:t>
      </w:r>
      <w:r>
        <w:t xml:space="preserve"> </w:t>
      </w:r>
      <m:oMath>
        <m:sSub>
          <m:e>
            <m:r>
              <m:t>π</m:t>
            </m:r>
          </m:e>
          <m:sub>
            <m:r>
              <m:t>i</m:t>
            </m:r>
          </m:sub>
        </m:sSub>
      </m:oMath>
      <w:r>
        <w:t xml:space="preserve"> </w:t>
      </w:r>
      <w:r>
        <w:t xml:space="preserve">consisting of the sibling hashes along the path from</w:t>
      </w:r>
      <w:r>
        <w:t xml:space="preserve"> </w:t>
      </w:r>
      <m:oMath>
        <m:sSub>
          <m:e>
            <m:r>
              <m:t>h</m:t>
            </m:r>
          </m:e>
          <m:sub>
            <m:r>
              <m:t>i</m:t>
            </m:r>
          </m:sub>
        </m:sSub>
      </m:oMath>
      <w:r>
        <w:t xml:space="preserve"> </w:t>
      </w:r>
      <w:r>
        <w:t xml:space="preserve">to the root.</w:t>
      </w:r>
    </w:p>
    <w:p>
      <w:pPr>
        <w:numPr>
          <w:ilvl w:val="0"/>
          <w:numId w:val="1010"/>
        </w:numPr>
      </w:pPr>
      <w:r>
        <w:rPr>
          <w:b/>
          <w:bCs/>
        </w:rPr>
        <w:t xml:space="preserve">Issuer signature:</w:t>
      </w:r>
      <w:r>
        <w:t xml:space="preserve"> </w:t>
      </w:r>
      <w:r>
        <w:t xml:space="preserve">The original</w:t>
      </w:r>
      <w:r>
        <w:t xml:space="preserve"> </w:t>
      </w:r>
      <m:oMath>
        <m:sSub>
          <m:e>
            <m:r>
              <m:t>σ</m:t>
            </m:r>
          </m:e>
          <m:sub>
            <m:r>
              <m:rPr>
                <m:scr m:val="script"/>
                <m:sty m:val="p"/>
              </m:rPr>
              <m:t>I</m:t>
            </m:r>
          </m:sub>
        </m:sSub>
      </m:oMath>
      <w:r>
        <w:t xml:space="preserve"> </w:t>
      </w:r>
      <w:r>
        <w:t xml:space="preserve">over the full Merkle root.</w:t>
      </w:r>
    </w:p>
    <w:p>
      <w:pPr>
        <w:numPr>
          <w:ilvl w:val="0"/>
          <w:numId w:val="1010"/>
        </w:numPr>
      </w:pPr>
      <w:r>
        <w:rPr>
          <w:b/>
          <w:bCs/>
        </w:rPr>
        <w:t xml:space="preserve">Holder signature:</w:t>
      </w:r>
      <w:r>
        <w:t xml:space="preserve"> </w:t>
      </w:r>
      <m:oMath>
        <m:sSub>
          <m:e>
            <m:r>
              <m:t>σ</m:t>
            </m:r>
          </m:e>
          <m:sub>
            <m:r>
              <m:rPr>
                <m:scr m:val="script"/>
                <m:sty m:val="p"/>
              </m:rPr>
              <m:t>U</m:t>
            </m:r>
          </m:sub>
        </m:sSub>
        <m:r>
          <m:rPr>
            <m:sty m:val="p"/>
          </m:rPr>
          <m:t>=</m:t>
        </m:r>
        <m:sSub>
          <m:e>
            <m:r>
              <m:rPr>
                <m:scr m:val="sans-serif"/>
                <m:sty m:val="p"/>
              </m:rPr>
              <m:t>S</m:t>
            </m:r>
            <m:r>
              <m:rPr>
                <m:scr m:val="sans-serif"/>
                <m:sty m:val="p"/>
              </m:rPr>
              <m:t>i</m:t>
            </m:r>
            <m:r>
              <m:rPr>
                <m:scr m:val="sans-serif"/>
                <m:sty m:val="p"/>
              </m:rPr>
              <m:t>g</m:t>
            </m:r>
            <m:r>
              <m:rPr>
                <m:scr m:val="sans-serif"/>
                <m:sty m:val="p"/>
              </m:rPr>
              <m:t>n</m:t>
            </m:r>
          </m:e>
          <m:sub>
            <m:sSub>
              <m:e>
                <m:r>
                  <m:rPr>
                    <m:sty m:val="i"/>
                  </m:rPr>
                  <m:t>s</m:t>
                </m:r>
                <m:r>
                  <m:rPr>
                    <m:sty m:val="i"/>
                  </m:rPr>
                  <m:t>k</m:t>
                </m:r>
              </m:e>
              <m:sub>
                <m:r>
                  <m:rPr>
                    <m:scr m:val="script"/>
                    <m:sty m:val="p"/>
                  </m:rPr>
                  <m:t>U</m:t>
                </m:r>
              </m:sub>
            </m:sSub>
          </m:sub>
        </m:sSub>
        <m:r>
          <m:rPr>
            <m:sty m:val="p"/>
          </m:rPr>
          <m:t>(</m:t>
        </m:r>
        <m:r>
          <m:rPr>
            <m:sty m:val="i"/>
          </m:rPr>
          <m:t>c</m:t>
        </m:r>
        <m:r>
          <m:rPr>
            <m:sty m:val="i"/>
          </m:rPr>
          <m:t>r</m:t>
        </m:r>
        <m:r>
          <m:rPr>
            <m:sty m:val="i"/>
          </m:rPr>
          <m:t>e</m:t>
        </m:r>
        <m:r>
          <m:rPr>
            <m:sty m:val="i"/>
          </m:rPr>
          <m:t>d</m:t>
        </m:r>
        <m:r>
          <m:rPr>
            <m:sty m:val="i"/>
          </m:rPr>
          <m:t>_</m:t>
        </m:r>
        <m:r>
          <m:rPr>
            <m:sty m:val="i"/>
          </m:rPr>
          <m:t>i</m:t>
        </m:r>
        <m:r>
          <m:rPr>
            <m:sty m:val="i"/>
          </m:rPr>
          <m:t>d</m:t>
        </m:r>
        <m:r>
          <m:rPr>
            <m:sty m:val="p"/>
          </m:rPr>
          <m:t>∥</m:t>
        </m:r>
        <m:r>
          <m:rPr>
            <m:nor/>
            <m:sty m:val="p"/>
          </m:rPr>
          <m:t>sort</m:t>
        </m:r>
        <m:r>
          <m:rPr>
            <m:sty m:val="p"/>
          </m:rPr>
          <m:t>(</m:t>
        </m:r>
        <m:r>
          <m:t>S</m:t>
        </m:r>
        <m:r>
          <m:rPr>
            <m:sty m:val="p"/>
          </m:rPr>
          <m:t>)</m:t>
        </m:r>
        <m:r>
          <m:rPr>
            <m:sty m:val="p"/>
          </m:rPr>
          <m:t>∥</m:t>
        </m:r>
        <m:r>
          <m:rPr>
            <m:sty m:val="i"/>
          </m:rPr>
          <m:t>h</m:t>
        </m:r>
        <m:r>
          <m:rPr>
            <m:sty m:val="i"/>
          </m:rPr>
          <m:t>o</m:t>
        </m:r>
        <m:r>
          <m:rPr>
            <m:sty m:val="i"/>
          </m:rPr>
          <m:t>l</m:t>
        </m:r>
        <m:r>
          <m:rPr>
            <m:sty m:val="i"/>
          </m:rPr>
          <m:t>d</m:t>
        </m:r>
        <m:r>
          <m:rPr>
            <m:sty m:val="i"/>
          </m:rPr>
          <m:t>e</m:t>
        </m:r>
        <m:r>
          <m:rPr>
            <m:sty m:val="i"/>
          </m:rPr>
          <m:t>r</m:t>
        </m:r>
        <m:r>
          <m:rPr>
            <m:sty m:val="i"/>
          </m:rPr>
          <m:t>_</m:t>
        </m:r>
        <m:r>
          <m:rPr>
            <m:sty m:val="i"/>
          </m:rPr>
          <m:t>i</m:t>
        </m:r>
        <m:r>
          <m:rPr>
            <m:sty m:val="i"/>
          </m:rPr>
          <m:t>d</m:t>
        </m:r>
        <m:r>
          <m:rPr>
            <m:sty m:val="p"/>
          </m:rPr>
          <m:t>)</m:t>
        </m:r>
      </m:oMath>
      <w:r>
        <w:t xml:space="preserve">, proving possession.</w:t>
      </w:r>
    </w:p>
    <w:p>
      <w:pPr>
        <w:numPr>
          <w:ilvl w:val="0"/>
          <w:numId w:val="1010"/>
        </w:numPr>
      </w:pPr>
      <w:r>
        <w:rPr>
          <w:b/>
          <w:bCs/>
        </w:rPr>
        <w:t xml:space="preserve">Nonce:</w:t>
      </w:r>
      <w:r>
        <w:t xml:space="preserve"> </w:t>
      </w:r>
      <w:r>
        <w:t xml:space="preserve">A 16-byte random nonce preventing replay.</w:t>
      </w:r>
    </w:p>
    <w:p>
      <w:pPr>
        <w:pStyle w:val="FirstParagraph"/>
      </w:pPr>
      <w:r>
        <w:t xml:space="preserve">The verifier checks: (a) </w:t>
      </w:r>
      <m:oMath>
        <m:sSub>
          <m:e>
            <m:r>
              <m:t>σ</m:t>
            </m:r>
          </m:e>
          <m:sub>
            <m:r>
              <m:rPr>
                <m:scr m:val="script"/>
                <m:sty m:val="p"/>
              </m:rPr>
              <m:t>I</m:t>
            </m:r>
          </m:sub>
        </m:sSub>
      </m:oMath>
      <w:r>
        <w:t xml:space="preserve"> </w:t>
      </w:r>
      <w:r>
        <w:t xml:space="preserve">against the trusted issuer’s public key, (b) each Merkle proof</w:t>
      </w:r>
      <w:r>
        <w:t xml:space="preserve"> </w:t>
      </w:r>
      <m:oMath>
        <m:sSub>
          <m:e>
            <m:r>
              <m:t>π</m:t>
            </m:r>
          </m:e>
          <m:sub>
            <m:r>
              <m:t>i</m:t>
            </m:r>
          </m:sub>
        </m:sSub>
      </m:oMath>
      <w:r>
        <w:t xml:space="preserve"> </w:t>
      </w:r>
      <w:r>
        <w:t xml:space="preserve">recomputes to the signed root, (c) </w:t>
      </w:r>
      <m:oMath>
        <m:sSub>
          <m:e>
            <m:r>
              <m:t>σ</m:t>
            </m:r>
          </m:e>
          <m:sub>
            <m:r>
              <m:rPr>
                <m:scr m:val="script"/>
                <m:sty m:val="p"/>
              </m:rPr>
              <m:t>U</m:t>
            </m:r>
          </m:sub>
        </m:sSub>
      </m:oMath>
      <w:r>
        <w:t xml:space="preserve"> </w:t>
      </w:r>
      <w:r>
        <w:t xml:space="preserve">authenticates the holder, and (d) the nonce has not been seen before.</w:t>
      </w:r>
    </w:p>
    <w:bookmarkEnd w:id="42"/>
    <w:bookmarkStart w:id="43" w:name="predicate-proofs"/>
    <w:p>
      <w:pPr>
        <w:pStyle w:val="Heading2"/>
      </w:pPr>
      <w:r>
        <w:t xml:space="preserve">Predicate Proofs</w:t>
      </w:r>
    </w:p>
    <w:p>
      <w:pPr>
        <w:pStyle w:val="FirstParagraph"/>
      </w:pPr>
      <w:r>
        <w:t xml:space="preserve">For claims requiring range verification without value disclosure (e.g.,</w:t>
      </w:r>
      <w:r>
        <w:t xml:space="preserve"> </w:t>
      </w:r>
      <w:r>
        <w:t xml:space="preserve">“age</w:t>
      </w:r>
      <w:r>
        <w:t xml:space="preserve"> </w:t>
      </w:r>
      <m:oMath>
        <m:r>
          <m:rPr>
            <m:sty m:val="p"/>
          </m:rPr>
          <m:t>&gt;</m:t>
        </m:r>
      </m:oMath>
      <w:r>
        <w:t xml:space="preserve"> </w:t>
      </w:r>
      <w:r>
        <w:t xml:space="preserve">18”</w:t>
      </w:r>
      <w:r>
        <w:t xml:space="preserve">,</w:t>
      </w:r>
      <w:r>
        <w:t xml:space="preserve"> </w:t>
      </w:r>
      <w:r>
        <w:t xml:space="preserve">“glucose</w:t>
      </w:r>
      <w:r>
        <w:t xml:space="preserve"> </w:t>
      </w:r>
      <m:oMath>
        <m:r>
          <m:rPr>
            <m:sty m:val="p"/>
          </m:rPr>
          <m:t>&lt;</m:t>
        </m:r>
      </m:oMath>
      <w:r>
        <w:t xml:space="preserve"> </w:t>
      </w:r>
      <w:r>
        <w:t xml:space="preserve">200 mg/dL”</w:t>
      </w:r>
      <w:r>
        <w:t xml:space="preserve">), we employ zero-knowledge predicate proofs. Given a claim</w:t>
      </w:r>
      <w:r>
        <w:t xml:space="preserve"> </w:t>
      </w:r>
      <m:oMath>
        <m:r>
          <m:rPr>
            <m:sty m:val="p"/>
          </m:rPr>
          <m:t>(</m:t>
        </m:r>
        <m:r>
          <m:t>k</m:t>
        </m:r>
        <m:r>
          <m:rPr>
            <m:sty m:val="p"/>
          </m:rPr>
          <m:t>,</m:t>
        </m:r>
        <m:r>
          <m:t>v</m:t>
        </m:r>
        <m:r>
          <m:rPr>
            <m:sty m:val="p"/>
          </m:rPr>
          <m:t>)</m:t>
        </m:r>
      </m:oMath>
      <w:r>
        <w:t xml:space="preserve"> </w:t>
      </w:r>
      <w:r>
        <w:t xml:space="preserve">and a predicate</w:t>
      </w:r>
      <w:r>
        <w:t xml:space="preserve"> </w:t>
      </w:r>
      <m:oMath>
        <m:r>
          <m:t>v</m:t>
        </m:r>
        <m:r>
          <m:t> </m:t>
        </m:r>
        <m:r>
          <m:t>θ</m:t>
        </m:r>
        <m:r>
          <m:t> </m:t>
        </m:r>
        <m:r>
          <m:t>t</m:t>
        </m:r>
      </m:oMath>
      <w:r>
        <w:t xml:space="preserve"> </w:t>
      </w:r>
      <w:r>
        <w:t xml:space="preserve">where</w:t>
      </w:r>
      <w:r>
        <w:t xml:space="preserve"> </w:t>
      </w:r>
      <m:oMath>
        <m:r>
          <m:t>θ</m:t>
        </m:r>
        <m:r>
          <m:rPr>
            <m:sty m:val="p"/>
          </m:rPr>
          <m:t>∈</m:t>
        </m:r>
        <m:r>
          <m:rPr>
            <m:sty m:val="p"/>
          </m:rPr>
          <m:t>{</m:t>
        </m:r>
        <m:r>
          <m:rPr>
            <m:sty m:val="p"/>
          </m:rPr>
          <m:t>&lt;</m:t>
        </m:r>
        <m:r>
          <m:rPr>
            <m:sty m:val="p"/>
          </m:rPr>
          <m:t>,</m:t>
        </m:r>
        <m:r>
          <m:rPr>
            <m:sty m:val="p"/>
          </m:rPr>
          <m:t>&gt;</m:t>
        </m:r>
        <m:r>
          <m:rPr>
            <m:sty m:val="p"/>
          </m:rPr>
          <m:t>,</m:t>
        </m:r>
        <m:r>
          <m:rPr>
            <m:sty m:val="p"/>
          </m:rPr>
          <m:t>≤</m:t>
        </m:r>
        <m:r>
          <m:rPr>
            <m:sty m:val="p"/>
          </m:rPr>
          <m:t>,</m:t>
        </m:r>
        <m:r>
          <m:rPr>
            <m:sty m:val="p"/>
          </m:rPr>
          <m:t>≥</m:t>
        </m:r>
        <m:r>
          <m:rPr>
            <m:sty m:val="p"/>
          </m:rPr>
          <m:t>,</m:t>
        </m:r>
        <m:r>
          <m:rPr>
            <m:sty m:val="p"/>
          </m:rPr>
          <m:t>=</m:t>
        </m:r>
        <m:r>
          <m:rPr>
            <m:sty m:val="p"/>
          </m:rPr>
          <m:t>}</m:t>
        </m:r>
      </m:oMath>
      <w:r>
        <w:t xml:space="preserve">:</w:t>
      </w:r>
    </w:p>
    <w:p>
      <w:pPr>
        <w:pStyle w:val="BodyText"/>
      </w:pPr>
      <m:oMathPara>
        <m:oMathParaPr>
          <m:jc m:val="center"/>
        </m:oMathParaPr>
        <m:oMath>
          <m:sSub>
            <m:e>
              <m:r>
                <m:t>π</m:t>
              </m:r>
            </m:e>
            <m:sub>
              <m:r>
                <m:rPr>
                  <m:nor/>
                  <m:sty m:val="p"/>
                </m:rPr>
                <m:t>pred</m:t>
              </m:r>
            </m:sub>
          </m:sSub>
          <m:r>
            <m:rPr>
              <m:sty m:val="p"/>
            </m:rPr>
            <m:t>=</m:t>
          </m:r>
          <m:r>
            <m:rPr>
              <m:nor/>
              <m:scr m:val="sans-serif"/>
              <m:sty m:val="p"/>
            </m:rPr>
            <m:t>SHA3-256</m:t>
          </m:r>
          <m:r>
            <m:t>​</m:t>
          </m:r>
          <m:r>
            <m:rPr>
              <m:sty m:val="p"/>
            </m:rPr>
            <m:t>(</m:t>
          </m:r>
          <m:r>
            <m:rPr>
              <m:nor/>
              <m:sty m:val="p"/>
            </m:rPr>
            <m:t>bool</m:t>
          </m:r>
          <m:r>
            <m:rPr>
              <m:sty m:val="p"/>
            </m:rPr>
            <m:t>(</m:t>
          </m:r>
          <m:r>
            <m:t>v</m:t>
          </m:r>
          <m:r>
            <m:t> </m:t>
          </m:r>
          <m:r>
            <m:t>θ</m:t>
          </m:r>
          <m:r>
            <m:t> </m:t>
          </m:r>
          <m:r>
            <m:t>t</m:t>
          </m:r>
          <m:r>
            <m:rPr>
              <m:sty m:val="p"/>
            </m:rPr>
            <m:t>)</m:t>
          </m:r>
          <m:r>
            <m:rPr>
              <m:sty m:val="p"/>
            </m:rPr>
            <m:t>∥</m:t>
          </m:r>
          <m:r>
            <m:t>r</m:t>
          </m:r>
          <m:r>
            <m:rPr>
              <m:sty m:val="p"/>
            </m:rPr>
            <m:t>)</m:t>
          </m:r>
          <m:r>
            <m:rPr>
              <m:sty m:val="p"/>
            </m:rPr>
            <m:t>,</m:t>
          </m:r>
          <m:r>
            <m:t> </m:t>
          </m:r>
          <m:r>
            <m:t>r</m:t>
          </m:r>
          <m:r>
            <m:rPr>
              <m:sty m:val="p"/>
            </m:rPr>
            <m:t>←</m:t>
          </m:r>
          <m:sSup>
            <m:e>
              <m:r>
                <m:rPr>
                  <m:sty m:val="p"/>
                </m:rPr>
                <m:t>$</m:t>
              </m:r>
            </m:e>
            <m:sup>
              <m:r>
                <m:t>128</m:t>
              </m:r>
            </m:sup>
          </m:sSup>
        </m:oMath>
      </m:oMathPara>
    </w:p>
    <w:p>
      <w:pPr>
        <w:pStyle w:val="FirstParagraph"/>
      </w:pPr>
      <w:r>
        <w:t xml:space="preserve">In our current implementation, the predicate proof is a commitment to the truth value. A production deployment would replace this with a lattice-based range proof </w:t>
      </w:r>
      <w:r>
        <w:t xml:space="preserve">(Yang et al. 2022)</w:t>
      </w:r>
      <w:r>
        <w:t xml:space="preserve"> </w:t>
      </w:r>
      <w:r>
        <w:t xml:space="preserve">providing full zero-knowledge guarantees. The verifier checks</w:t>
      </w:r>
      <w:r>
        <w:t xml:space="preserve"> </w:t>
      </w:r>
      <m:oMath>
        <m:sSub>
          <m:e>
            <m:r>
              <m:t>π</m:t>
            </m:r>
          </m:e>
          <m:sub>
            <m:r>
              <m:rPr>
                <m:nor/>
                <m:sty m:val="p"/>
              </m:rPr>
              <m:t>pred</m:t>
            </m:r>
          </m:sub>
        </m:sSub>
      </m:oMath>
      <w:r>
        <w:t xml:space="preserve"> </w:t>
      </w:r>
      <w:r>
        <w:t xml:space="preserve">against the expected structure without learning</w:t>
      </w:r>
      <w:r>
        <w:t xml:space="preserve"> </w:t>
      </w:r>
      <m:oMath>
        <m:r>
          <m:t>v</m:t>
        </m:r>
      </m:oMath>
      <w:r>
        <w:t xml:space="preserve">.</w:t>
      </w:r>
    </w:p>
    <w:bookmarkEnd w:id="43"/>
    <w:bookmarkStart w:id="44" w:name="accumulator-based-revocation"/>
    <w:p>
      <w:pPr>
        <w:pStyle w:val="Heading2"/>
      </w:pPr>
      <w:r>
        <w:t xml:space="preserve">Accumulator-Based Revocation</w:t>
      </w:r>
    </w:p>
    <w:p>
      <w:pPr>
        <w:pStyle w:val="FirstParagraph"/>
      </w:pPr>
      <w:r>
        <w:t xml:space="preserve">Credential revocation uses a cryptographic accumulator </w:t>
      </w:r>
      <w:r>
        <w:t xml:space="preserve">(Camenisch et al. 2009)</w:t>
      </w:r>
      <w:r>
        <w:t xml:space="preserve">. Each credential receives a unique revocation ID</w:t>
      </w:r>
      <w:r>
        <w:t xml:space="preserve"> </w:t>
      </w:r>
      <m:oMath>
        <m:r>
          <m:rPr>
            <m:sty m:val="i"/>
          </m:rPr>
          <m:t>r</m:t>
        </m:r>
        <m:r>
          <m:rPr>
            <m:sty m:val="i"/>
          </m:rPr>
          <m:t>i</m:t>
        </m:r>
        <m:r>
          <m:rPr>
            <m:sty m:val="i"/>
          </m:rPr>
          <m:t>d</m:t>
        </m:r>
        <m:r>
          <m:rPr>
            <m:sty m:val="p"/>
          </m:rPr>
          <m:t>←</m:t>
        </m:r>
        <m:sSup>
          <m:e>
            <m:r>
              <m:rPr>
                <m:sty m:val="p"/>
              </m:rPr>
              <m:t>$</m:t>
            </m:r>
          </m:e>
          <m:sup>
            <m:r>
              <m:t>128</m:t>
            </m:r>
          </m:sup>
        </m:sSup>
      </m:oMath>
      <w:r>
        <w:t xml:space="preserve"> </w:t>
      </w:r>
      <w:r>
        <w:t xml:space="preserve">at issuance. The accumulator state is maintained by the issuer as:</w:t>
      </w:r>
    </w:p>
    <w:p>
      <w:pPr>
        <w:pStyle w:val="BodyText"/>
      </w:pPr>
      <m:oMathPara>
        <m:oMathParaPr>
          <m:jc m:val="center"/>
        </m:oMathParaPr>
        <m:oMath>
          <m:sSub>
            <m:e>
              <m:r>
                <m:rPr>
                  <m:sty m:val="i"/>
                </m:rPr>
                <m:t>a</m:t>
              </m:r>
              <m:r>
                <m:rPr>
                  <m:sty m:val="i"/>
                </m:rPr>
                <m:t>c</m:t>
              </m:r>
              <m:r>
                <m:rPr>
                  <m:sty m:val="i"/>
                </m:rPr>
                <m:t>c</m:t>
              </m:r>
            </m:e>
            <m:sub>
              <m:r>
                <m:t>i</m:t>
              </m:r>
              <m:r>
                <m:rPr>
                  <m:sty m:val="p"/>
                </m:rPr>
                <m:t>+</m:t>
              </m:r>
              <m:r>
                <m:t>1</m:t>
              </m:r>
            </m:sub>
          </m:sSub>
          <m:r>
            <m:rPr>
              <m:sty m:val="p"/>
            </m:rPr>
            <m:t>=</m:t>
          </m:r>
          <m:r>
            <m:rPr>
              <m:nor/>
              <m:scr m:val="sans-serif"/>
              <m:sty m:val="p"/>
            </m:rPr>
            <m:t>SHA3-256</m:t>
          </m:r>
          <m:r>
            <m:t>​</m:t>
          </m:r>
          <m:r>
            <m:rPr>
              <m:sty m:val="p"/>
            </m:rPr>
            <m:t>(</m:t>
          </m:r>
          <m:sSub>
            <m:e>
              <m:r>
                <m:rPr>
                  <m:sty m:val="i"/>
                </m:rPr>
                <m:t>a</m:t>
              </m:r>
              <m:r>
                <m:rPr>
                  <m:sty m:val="i"/>
                </m:rPr>
                <m:t>c</m:t>
              </m:r>
              <m:r>
                <m:rPr>
                  <m:sty m:val="i"/>
                </m:rPr>
                <m:t>c</m:t>
              </m:r>
            </m:e>
            <m:sub>
              <m:r>
                <m:t>i</m:t>
              </m:r>
            </m:sub>
          </m:sSub>
          <m:r>
            <m:rPr>
              <m:sty m:val="p"/>
            </m:rPr>
            <m:t>∥</m:t>
          </m:r>
          <m:sSub>
            <m:e>
              <m:r>
                <m:rPr>
                  <m:sty m:val="i"/>
                </m:rPr>
                <m:t>r</m:t>
              </m:r>
              <m:r>
                <m:rPr>
                  <m:sty m:val="i"/>
                </m:rPr>
                <m:t>i</m:t>
              </m:r>
              <m:r>
                <m:rPr>
                  <m:sty m:val="i"/>
                </m:rPr>
                <m:t>d</m:t>
              </m:r>
            </m:e>
            <m:sub>
              <m:r>
                <m:rPr>
                  <m:nor/>
                  <m:sty m:val="p"/>
                </m:rPr>
                <m:t>revoked</m:t>
              </m:r>
            </m:sub>
          </m:sSub>
          <m:r>
            <m:rPr>
              <m:sty m:val="p"/>
            </m:rPr>
            <m:t>)</m:t>
          </m:r>
        </m:oMath>
      </m:oMathPara>
    </w:p>
    <w:p>
      <w:pPr>
        <w:pStyle w:val="FirstParagraph"/>
      </w:pPr>
      <w:r>
        <w:t xml:space="preserve">Revocation checking is</w:t>
      </w:r>
      <w:r>
        <w:t xml:space="preserve"> </w:t>
      </w:r>
      <m:oMath>
        <m:r>
          <m:t>O</m:t>
        </m:r>
        <m:r>
          <m:rPr>
            <m:sty m:val="p"/>
          </m:rPr>
          <m:t>(</m:t>
        </m:r>
        <m:r>
          <m:t>1</m:t>
        </m:r>
        <m:r>
          <m:rPr>
            <m:sty m:val="p"/>
          </m:rPr>
          <m:t>)</m:t>
        </m:r>
      </m:oMath>
      <w:r>
        <w:t xml:space="preserve">: the verifier queries the issuer’s revocation service with the credential’s</w:t>
      </w:r>
      <w:r>
        <w:t xml:space="preserve"> </w:t>
      </w:r>
      <m:oMath>
        <m:r>
          <m:rPr>
            <m:sty m:val="i"/>
          </m:rPr>
          <m:t>r</m:t>
        </m:r>
        <m:r>
          <m:rPr>
            <m:sty m:val="i"/>
          </m:rPr>
          <m:t>i</m:t>
        </m:r>
        <m:r>
          <m:rPr>
            <m:sty m:val="i"/>
          </m:rPr>
          <m:t>d</m:t>
        </m:r>
      </m:oMath>
      <w:r>
        <w:t xml:space="preserve"> </w:t>
      </w:r>
      <w:r>
        <w:t xml:space="preserve">and receives a membership/non-membership witness. The accumulator is updated incrementally, avoiding the need to re-issue non-revoked credentials.</w:t>
      </w:r>
    </w:p>
    <w:p>
      <w:pPr>
        <w:pStyle w:val="BodyText"/>
      </w:pPr>
      <w:r>
        <w:t xml:space="preserve">Default credential validity is 365 days, configurable per credential type. Expired credentials are automatically invalid without requiring explicit revocation.</w:t>
      </w:r>
    </w:p>
    <w:bookmarkEnd w:id="44"/>
    <w:bookmarkEnd w:id="45"/>
    <w:bookmarkStart w:id="54" w:name="sec:lightweight"/>
    <w:p>
      <w:pPr>
        <w:pStyle w:val="Heading1"/>
      </w:pPr>
      <w:r>
        <w:t xml:space="preserve">Lightweight PQC for Medical Devices</w:t>
      </w:r>
    </w:p>
    <w:bookmarkStart w:id="47" w:name="device-constraint-classification"/>
    <w:p>
      <w:pPr>
        <w:pStyle w:val="Heading2"/>
      </w:pPr>
      <w:r>
        <w:t xml:space="preserve">Device Constraint Classification</w:t>
      </w:r>
    </w:p>
    <w:p>
      <w:pPr>
        <w:pStyle w:val="FirstParagraph"/>
      </w:pPr>
      <w:r>
        <w:t xml:space="preserve">Medical devices span a wide range of computational capabilities. We define four memory constraint tiers:</w:t>
      </w:r>
    </w:p>
    <w:bookmarkStart w:id="46" w:name="tab:tiers"/>
    <w:p>
      <w:pPr>
        <w:pStyle w:val="TableCaption"/>
      </w:pPr>
      <w:r>
        <w:t xml:space="preserve">Device Constraint Tiers and Algorithm Selection</w:t>
      </w:r>
    </w:p>
    <w:tbl>
      <w:tblPr>
        <w:tblStyle w:val="Table"/>
        <w:tblW w:type="auto" w:w="0"/>
        <w:tblLook w:firstRow="1" w:lastRow="0" w:firstColumn="0" w:lastColumn="0" w:noHBand="0" w:noVBand="0" w:val="0020"/>
        <w:tblCaption w:val="Device Constraint Tiers and Algorithm Selection"/>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center"/>
            </w:pPr>
            <w:r>
              <w:rPr>
                <w:b/>
                <w:bCs/>
              </w:rPr>
              <w:t xml:space="preserve">RAM</w:t>
            </w:r>
          </w:p>
        </w:tc>
        <w:tc>
          <w:tcPr/>
          <w:p>
            <w:pPr>
              <w:pStyle w:val="Compact"/>
              <w:jc w:val="left"/>
            </w:pPr>
            <w:r>
              <w:rPr>
                <w:b/>
                <w:bCs/>
              </w:rPr>
              <w:t xml:space="preserve">Algorithm</w:t>
            </w:r>
          </w:p>
        </w:tc>
        <w:tc>
          <w:tcPr/>
          <w:p>
            <w:pPr>
              <w:pStyle w:val="Compact"/>
              <w:jc w:val="left"/>
            </w:pPr>
            <w:r>
              <w:rPr>
                <w:b/>
                <w:bCs/>
              </w:rPr>
              <w:t xml:space="preserve">Strategy</w:t>
            </w:r>
          </w:p>
        </w:tc>
      </w:tr>
      <w:tr>
        <w:tc>
          <w:tcPr/>
          <w:p>
            <w:pPr>
              <w:pStyle w:val="Compact"/>
              <w:jc w:val="left"/>
            </w:pPr>
            <w:r>
              <w:t xml:space="preserve">Ultra-constrained</w:t>
            </w:r>
          </w:p>
        </w:tc>
        <w:tc>
          <w:tcPr/>
          <w:p>
            <w:pPr>
              <w:pStyle w:val="Compact"/>
              <w:jc w:val="center"/>
            </w:pPr>
            <m:oMath>
              <m:r>
                <m:rPr>
                  <m:sty m:val="p"/>
                </m:rPr>
                <m:t>&lt;</m:t>
              </m:r>
            </m:oMath>
            <w:r>
              <w:t xml:space="preserve">32 KB</w:t>
            </w:r>
          </w:p>
        </w:tc>
        <w:tc>
          <w:tcPr/>
          <w:p>
            <w:pPr>
              <w:pStyle w:val="Compact"/>
              <w:jc w:val="left"/>
            </w:pPr>
            <w:r>
              <w:t xml:space="preserve">Pre-shared symmetric</w:t>
            </w:r>
          </w:p>
        </w:tc>
        <w:tc>
          <w:tcPr/>
          <w:p>
            <w:pPr>
              <w:pStyle w:val="Compact"/>
              <w:jc w:val="left"/>
            </w:pPr>
            <w:r>
              <w:t xml:space="preserve">External shield</w:t>
            </w:r>
          </w:p>
        </w:tc>
      </w:tr>
      <w:tr>
        <w:tc>
          <w:tcPr/>
          <w:p>
            <w:pPr>
              <w:pStyle w:val="Compact"/>
              <w:jc w:val="left"/>
            </w:pPr>
            <w:r>
              <w:t xml:space="preserve">Constrained</w:t>
            </w:r>
          </w:p>
        </w:tc>
        <w:tc>
          <w:tcPr/>
          <w:p>
            <w:pPr>
              <w:pStyle w:val="Compact"/>
              <w:jc w:val="center"/>
            </w:pPr>
            <w:r>
              <w:t xml:space="preserve">32–64 KB</w:t>
            </w:r>
          </w:p>
        </w:tc>
        <w:tc>
          <w:tcPr/>
          <w:p>
            <w:pPr>
              <w:pStyle w:val="Compact"/>
              <w:jc w:val="left"/>
            </w:pPr>
            <w:r>
              <w:t xml:space="preserve">ML-KEM</w:t>
            </w:r>
            <w:r>
              <w:t xml:space="preserve">-512 partial</w:t>
            </w:r>
          </w:p>
        </w:tc>
        <w:tc>
          <w:tcPr/>
          <w:p>
            <w:pPr>
              <w:pStyle w:val="Compact"/>
              <w:jc w:val="left"/>
            </w:pPr>
            <w:r>
              <w:t xml:space="preserve">Pre-computation</w:t>
            </w:r>
          </w:p>
        </w:tc>
      </w:tr>
      <w:tr>
        <w:tc>
          <w:tcPr/>
          <w:p>
            <w:pPr>
              <w:pStyle w:val="Compact"/>
              <w:jc w:val="left"/>
            </w:pPr>
            <w:r>
              <w:t xml:space="preserve">Moderate</w:t>
            </w:r>
          </w:p>
        </w:tc>
        <w:tc>
          <w:tcPr/>
          <w:p>
            <w:pPr>
              <w:pStyle w:val="Compact"/>
              <w:jc w:val="center"/>
            </w:pPr>
            <w:r>
              <w:t xml:space="preserve">64–256 KB</w:t>
            </w:r>
          </w:p>
        </w:tc>
        <w:tc>
          <w:tcPr/>
          <w:p>
            <w:pPr>
              <w:pStyle w:val="Compact"/>
              <w:jc w:val="left"/>
            </w:pPr>
            <w:r>
              <w:t xml:space="preserve">ML-KEM</w:t>
            </w:r>
            <w:r>
              <w:t xml:space="preserve">-768</w:t>
            </w:r>
          </w:p>
        </w:tc>
        <w:tc>
          <w:tcPr/>
          <w:p>
            <w:pPr>
              <w:pStyle w:val="Compact"/>
              <w:jc w:val="left"/>
            </w:pPr>
            <w:r>
              <w:t xml:space="preserve">Session caching</w:t>
            </w:r>
          </w:p>
        </w:tc>
      </w:tr>
      <w:tr>
        <w:tc>
          <w:tcPr/>
          <w:p>
            <w:pPr>
              <w:pStyle w:val="Compact"/>
              <w:jc w:val="left"/>
            </w:pPr>
            <w:r>
              <w:t xml:space="preserve">Standard</w:t>
            </w:r>
          </w:p>
        </w:tc>
        <w:tc>
          <w:tcPr/>
          <w:p>
            <w:pPr>
              <w:pStyle w:val="Compact"/>
              <w:jc w:val="center"/>
            </w:pPr>
            <m:oMath>
              <m:r>
                <m:rPr>
                  <m:sty m:val="p"/>
                </m:rPr>
                <m:t>&gt;</m:t>
              </m:r>
            </m:oMath>
            <w:r>
              <w:t xml:space="preserve">256 KB</w:t>
            </w:r>
          </w:p>
        </w:tc>
        <w:tc>
          <w:tcPr/>
          <w:p>
            <w:pPr>
              <w:pStyle w:val="Compact"/>
              <w:jc w:val="left"/>
            </w:pPr>
            <w:r>
              <w:t xml:space="preserve">Full PQC suite</w:t>
            </w:r>
          </w:p>
        </w:tc>
        <w:tc>
          <w:tcPr/>
          <w:p>
            <w:pPr>
              <w:pStyle w:val="Compact"/>
              <w:jc w:val="left"/>
            </w:pPr>
            <w:r>
              <w:t xml:space="preserve">Standard operation</w:t>
            </w:r>
          </w:p>
        </w:tc>
      </w:tr>
    </w:tbl>
    <w:bookmarkEnd w:id="46"/>
    <w:bookmarkEnd w:id="47"/>
    <w:bookmarkStart w:id="48" w:name="device-profiles"/>
    <w:p>
      <w:pPr>
        <w:pStyle w:val="Heading2"/>
      </w:pPr>
      <w:r>
        <w:t xml:space="preserve">Device Profiles</w:t>
      </w:r>
    </w:p>
    <w:p>
      <w:pPr>
        <w:pStyle w:val="FirstParagraph"/>
      </w:pPr>
      <w:r>
        <w:t xml:space="preserve">We define three reference device profiles representative of deployed medical implants:</w:t>
      </w:r>
    </w:p>
    <w:p>
      <w:pPr>
        <w:pStyle w:val="BodyText"/>
      </w:pPr>
      <w:r>
        <w:rPr>
          <w:b/>
          <w:bCs/>
        </w:rPr>
        <w:t xml:space="preserve">Pacemaker.</w:t>
      </w:r>
      <w:r>
        <w:t xml:space="preserve"> </w:t>
      </w:r>
      <w:r>
        <w:t xml:space="preserve">64 KB RAM, 256 KB flash, 16 MHz MSP430 CPU, 10-year battery, no hardware crypto accelerator, no floating-point unit. Classified as</w:t>
      </w:r>
      <w:r>
        <w:t xml:space="preserve"> </w:t>
      </w:r>
      <w:r>
        <w:rPr>
          <w:i/>
          <w:iCs/>
        </w:rPr>
        <w:t xml:space="preserve">moderate</w:t>
      </w:r>
      <w:r>
        <w:t xml:space="preserve"> </w:t>
      </w:r>
      <w:r>
        <w:t xml:space="preserve">tier. Recommended algorithm:</w:t>
      </w:r>
      <w:r>
        <w:t xml:space="preserve"> </w:t>
      </w:r>
      <w:r>
        <w:t xml:space="preserve">ML-KEM</w:t>
      </w:r>
      <w:r>
        <w:t xml:space="preserve">-768. Falcon-512 signatures require floating-point emulation and are deferred to the gateway when possible.</w:t>
      </w:r>
    </w:p>
    <w:p>
      <w:pPr>
        <w:pStyle w:val="BodyText"/>
      </w:pPr>
      <w:r>
        <w:rPr>
          <w:b/>
          <w:bCs/>
        </w:rPr>
        <w:t xml:space="preserve">Insulin Pump.</w:t>
      </w:r>
      <w:r>
        <w:t xml:space="preserve"> </w:t>
      </w:r>
      <w:r>
        <w:t xml:space="preserve">128 KB RAM, 512 KB flash, 48 MHz ARM Cortex-M4, replaceable batteries (6-month life), hardware crypto accelerator, hardware floating-point. Classified as</w:t>
      </w:r>
      <w:r>
        <w:t xml:space="preserve"> </w:t>
      </w:r>
      <w:r>
        <w:rPr>
          <w:i/>
          <w:iCs/>
        </w:rPr>
        <w:t xml:space="preserve">moderate</w:t>
      </w:r>
      <w:r>
        <w:t xml:space="preserve"> </w:t>
      </w:r>
      <w:r>
        <w:t xml:space="preserve">tier. Supports full</w:t>
      </w:r>
      <w:r>
        <w:t xml:space="preserve"> </w:t>
      </w:r>
      <w:r>
        <w:t xml:space="preserve">ML-KEM</w:t>
      </w:r>
      <w:r>
        <w:t xml:space="preserve">-768 and Falcon-512 at runtime.</w:t>
      </w:r>
    </w:p>
    <w:p>
      <w:pPr>
        <w:pStyle w:val="BodyText"/>
      </w:pPr>
      <w:r>
        <w:rPr>
          <w:b/>
          <w:bCs/>
        </w:rPr>
        <w:t xml:space="preserve">Implantable Cardioverter Defibrillator (ICD).</w:t>
      </w:r>
      <w:r>
        <w:t xml:space="preserve"> </w:t>
      </w:r>
      <w:r>
        <w:t xml:space="preserve">96 KB RAM, 384 KB flash, 24 MHz CPU, 8-year battery. Classified as</w:t>
      </w:r>
      <w:r>
        <w:t xml:space="preserve"> </w:t>
      </w:r>
      <w:r>
        <w:rPr>
          <w:i/>
          <w:iCs/>
        </w:rPr>
        <w:t xml:space="preserve">moderate</w:t>
      </w:r>
      <w:r>
        <w:t xml:space="preserve"> </w:t>
      </w:r>
      <w:r>
        <w:t xml:space="preserve">tier. Similar constraints to the pacemaker but with slightly more RAM and compute budget.</w:t>
      </w:r>
    </w:p>
    <w:bookmarkEnd w:id="48"/>
    <w:bookmarkStart w:id="52" w:name="optimization-strategies"/>
    <w:p>
      <w:pPr>
        <w:pStyle w:val="Heading2"/>
      </w:pPr>
      <w:r>
        <w:t xml:space="preserve">Optimization Strategies</w:t>
      </w:r>
    </w:p>
    <w:bookmarkStart w:id="49" w:name="pre-computation"/>
    <w:p>
      <w:pPr>
        <w:pStyle w:val="Heading3"/>
      </w:pPr>
      <w:r>
        <w:t xml:space="preserve">Pre-Computation</w:t>
      </w:r>
    </w:p>
    <w:p>
      <w:pPr>
        <w:pStyle w:val="FirstParagraph"/>
      </w:pPr>
      <w:r>
        <w:t xml:space="preserve">During device manufacturing and programming, the provisioning system generates:</w:t>
      </w:r>
    </w:p>
    <w:p>
      <w:pPr>
        <w:numPr>
          <w:ilvl w:val="0"/>
          <w:numId w:val="1011"/>
        </w:numPr>
      </w:pPr>
      <w:r>
        <w:t xml:space="preserve">ML-KEM</w:t>
      </w:r>
      <w:r>
        <w:t xml:space="preserve"> </w:t>
      </w:r>
      <w:r>
        <w:t xml:space="preserve">key pair (public and private, stored encrypted with device master key).</w:t>
      </w:r>
    </w:p>
    <w:p>
      <w:pPr>
        <w:numPr>
          <w:ilvl w:val="0"/>
          <w:numId w:val="1011"/>
        </w:numPr>
      </w:pPr>
      <w:r>
        <w:t xml:space="preserve">Falcon-512 key pair for devices supporting runtime signing.</w:t>
      </w:r>
    </w:p>
    <w:p>
      <w:pPr>
        <w:numPr>
          <w:ilvl w:val="0"/>
          <w:numId w:val="1011"/>
        </w:numPr>
      </w:pPr>
      <w:r>
        <w:t xml:space="preserve">A pool of 100 pre-generated 32-byte session keys stored in flash, consumed sequentially at runtime to avoid expensive KEM operations.</w:t>
      </w:r>
    </w:p>
    <w:p>
      <w:pPr>
        <w:pStyle w:val="FirstParagraph"/>
      </w:pPr>
      <w:r>
        <w:t xml:space="preserve">The pre-computed key pool is a critical optimization. Each pool key eliminates one</w:t>
      </w:r>
      <w:r>
        <w:t xml:space="preserve"> </w:t>
      </w:r>
      <w:r>
        <w:t xml:space="preserve">ML-KEM</w:t>
      </w:r>
      <w:r>
        <w:t xml:space="preserve"> </w:t>
      </w:r>
      <w:r>
        <w:t xml:space="preserve">encapsulation (costing</w:t>
      </w:r>
      <w:r>
        <w:t xml:space="preserve"> </w:t>
      </w:r>
      <m:oMath>
        <m:r>
          <m:rPr>
            <m:sty m:val="p"/>
          </m:rPr>
          <m:t>∼</m:t>
        </m:r>
      </m:oMath>
      <w:r>
        <w:t xml:space="preserve">1 ms on a Cortex-M4 but</w:t>
      </w:r>
      <w:r>
        <w:t xml:space="preserve"> </w:t>
      </w:r>
      <m:oMath>
        <m:r>
          <m:rPr>
            <m:sty m:val="p"/>
          </m:rPr>
          <m:t>∼</m:t>
        </m:r>
      </m:oMath>
      <w:r>
        <w:t xml:space="preserve">50 ms on an MSP430). A pool of 100 keys, with each key used for up to 1</w:t>
      </w:r>
      <w:r>
        <w:t xml:space="preserve">,</w:t>
      </w:r>
      <w:r>
        <w:t xml:space="preserve">000 message exchanges, supports approximately 100</w:t>
      </w:r>
      <w:r>
        <w:t xml:space="preserve">,</w:t>
      </w:r>
      <w:r>
        <w:t xml:space="preserve">000 secure communications before pool exhaustion.</w:t>
      </w:r>
    </w:p>
    <w:bookmarkEnd w:id="49"/>
    <w:bookmarkStart w:id="50" w:name="session-key-caching"/>
    <w:p>
      <w:pPr>
        <w:pStyle w:val="Heading3"/>
      </w:pPr>
      <w:r>
        <w:t xml:space="preserve">Session Key Caching</w:t>
      </w:r>
    </w:p>
    <w:p>
      <w:pPr>
        <w:pStyle w:val="FirstParagraph"/>
      </w:pPr>
      <w:r>
        <w:t xml:space="preserve">Once a session key is established with a peer (e.g., the bedside gateway), it is cached for 24 hours or up to 1</w:t>
      </w:r>
      <w:r>
        <w:t xml:space="preserve">,</w:t>
      </w:r>
      <w:r>
        <w:t xml:space="preserve">000 operations, whichever comes first. The cache is limited to 10 entries, with expired entries evicted on demand. This reduces steady-state operation to symmetric-only cryptography (</w:t>
      </w:r>
      <w:r>
        <w:t xml:space="preserve">AES-256-GCM</w:t>
      </w:r>
      <w:r>
        <w:t xml:space="preserve">), which is quantum-safe and efficient even on constrained processors.</w:t>
      </w:r>
    </w:p>
    <w:bookmarkEnd w:id="50"/>
    <w:bookmarkStart w:id="51" w:name="deferred-verification"/>
    <w:p>
      <w:pPr>
        <w:pStyle w:val="Heading3"/>
      </w:pPr>
      <w:r>
        <w:t xml:space="preserve">Deferred Verification</w:t>
      </w:r>
    </w:p>
    <w:p>
      <w:pPr>
        <w:pStyle w:val="FirstParagraph"/>
      </w:pPr>
      <w:r>
        <w:t xml:space="preserve">When battery level is critically low, signature verification of incoming commands can be deferred: the command is buffered and executed only after verification completes during the next scheduled wake cycle. This prevents denial-of-service via computationally expensive verification requests.</w:t>
      </w:r>
    </w:p>
    <w:bookmarkEnd w:id="51"/>
    <w:bookmarkEnd w:id="52"/>
    <w:bookmarkStart w:id="53" w:name="communication-protocol"/>
    <w:p>
      <w:pPr>
        <w:pStyle w:val="Heading2"/>
      </w:pPr>
      <w:r>
        <w:t xml:space="preserve">Communication Protocol</w:t>
      </w:r>
    </w:p>
    <w:p>
      <w:pPr>
        <w:pStyle w:val="FirstParagraph"/>
      </w:pPr>
      <w:r>
        <w:t xml:space="preserve">The device communication flow proceeds as follows:</w:t>
      </w:r>
    </w:p>
    <w:p>
      <w:pPr>
        <w:numPr>
          <w:ilvl w:val="0"/>
          <w:numId w:val="1012"/>
        </w:numPr>
      </w:pPr>
      <w:r>
        <w:rPr>
          <w:b/>
          <w:bCs/>
        </w:rPr>
        <w:t xml:space="preserve">Session establishment:</w:t>
      </w:r>
      <w:r>
        <w:t xml:space="preserve"> </w:t>
      </w:r>
      <w:r>
        <w:t xml:space="preserve">The device checks the session cache, then the pre-computed pool, then falls back to runtime</w:t>
      </w:r>
      <w:r>
        <w:t xml:space="preserve"> </w:t>
      </w:r>
      <w:r>
        <w:t xml:space="preserve">ML-KEM</w:t>
      </w:r>
      <w:r>
        <w:t xml:space="preserve"> </w:t>
      </w:r>
      <w:r>
        <w:t xml:space="preserve">encapsulation. The resulting 32-byte session key is cached.</w:t>
      </w:r>
    </w:p>
    <w:p>
      <w:pPr>
        <w:numPr>
          <w:ilvl w:val="0"/>
          <w:numId w:val="1012"/>
        </w:numPr>
      </w:pPr>
      <w:r>
        <w:rPr>
          <w:b/>
          <w:bCs/>
        </w:rPr>
        <w:t xml:space="preserve">Encryption:</w:t>
      </w:r>
      <w:r>
        <w:t xml:space="preserve"> </w:t>
      </w:r>
      <w:r>
        <w:t xml:space="preserve">Plaintext vital sign data is encrypted with</w:t>
      </w:r>
      <w:r>
        <w:t xml:space="preserve"> </w:t>
      </w:r>
      <w:r>
        <w:t xml:space="preserve">AES-256-GCM</w:t>
      </w:r>
      <w:r>
        <w:t xml:space="preserve"> </w:t>
      </w:r>
      <w:r>
        <w:t xml:space="preserve">using the session key. The 12-byte nonce is prepended to the ciphertext.</w:t>
      </w:r>
    </w:p>
    <w:p>
      <w:pPr>
        <w:numPr>
          <w:ilvl w:val="0"/>
          <w:numId w:val="1012"/>
        </w:numPr>
      </w:pPr>
      <w:r>
        <w:rPr>
          <w:b/>
          <w:bCs/>
        </w:rPr>
        <w:t xml:space="preserve">Authentication:</w:t>
      </w:r>
      <w:r>
        <w:t xml:space="preserve"> </w:t>
      </w:r>
      <w:r>
        <w:t xml:space="preserve">If the device supports Falcon-512, the telemetry data is signed with the pre-loaded private key. Otherwise, HMAC-SHA-256 authentication using the session key provides message authentication.</w:t>
      </w:r>
    </w:p>
    <w:p>
      <w:pPr>
        <w:numPr>
          <w:ilvl w:val="0"/>
          <w:numId w:val="1012"/>
        </w:numPr>
      </w:pPr>
      <w:r>
        <w:rPr>
          <w:b/>
          <w:bCs/>
        </w:rPr>
        <w:t xml:space="preserve">Transmission:</w:t>
      </w:r>
      <w:r>
        <w:t xml:space="preserve"> </w:t>
      </w:r>
      <w:r>
        <w:t xml:space="preserve">The encrypted, authenticated message is transmitted over the wireless channel (Bluetooth Low Energy, Medical Body Area Network, or proprietary RF).</w:t>
      </w:r>
    </w:p>
    <w:bookmarkEnd w:id="53"/>
    <w:bookmarkEnd w:id="54"/>
    <w:bookmarkStart w:id="60" w:name="sec:security"/>
    <w:p>
      <w:pPr>
        <w:pStyle w:val="Heading1"/>
      </w:pPr>
      <w:r>
        <w:t xml:space="preserve">Security Analysis</w:t>
      </w:r>
    </w:p>
    <w:bookmarkStart w:id="55" w:name="pre-security"/>
    <w:p>
      <w:pPr>
        <w:pStyle w:val="Heading2"/>
      </w:pPr>
      <w:r>
        <w:t xml:space="preserve">PRE Security</w:t>
      </w:r>
    </w:p>
    <w:p>
      <w:pPr>
        <w:pStyle w:val="FirstParagraph"/>
      </w:pPr>
      <w:r>
        <w:t xml:space="preserve">The EHR proxy re-encryption scheme achieves IND-CPA security under the Module Learning With Errors (MLWE) assumption, assuming the underlying</w:t>
      </w:r>
      <w:r>
        <w:t xml:space="preserve"> </w:t>
      </w:r>
      <w:r>
        <w:t xml:space="preserve">ML-KEM</w:t>
      </w:r>
      <w:r>
        <w:t xml:space="preserve">-768 scheme is IND-CCA2 secure per FIPS 203.</w:t>
      </w:r>
    </w:p>
    <w:p>
      <w:pPr>
        <w:pStyle w:val="BodyText"/>
      </w:pPr>
      <w:r>
        <w:rPr>
          <w:i/>
          <w:iCs/>
        </w:rPr>
        <w:t xml:space="preserve">Proof sketch.</w:t>
      </w:r>
      <w:r>
        <w:t xml:space="preserve"> </w:t>
      </w:r>
      <w:r>
        <w:t xml:space="preserve">The proof proceeds by a sequence of games. In Game 0, the adversary interacts with the real scheme. In Game 1, we replace the</w:t>
      </w:r>
      <w:r>
        <w:t xml:space="preserve"> </w:t>
      </w:r>
      <w:r>
        <w:t xml:space="preserve">ML-KEM</w:t>
      </w:r>
      <w:r>
        <w:t xml:space="preserve"> </w:t>
      </w:r>
      <w:r>
        <w:t xml:space="preserve">encapsulation with a random value; this is indistinguishable under the MLWE assumption. In Game 2, we replace the</w:t>
      </w:r>
      <w:r>
        <w:t xml:space="preserve"> </w:t>
      </w:r>
      <w:r>
        <w:t xml:space="preserve">SHAKE256</w:t>
      </w:r>
      <w:r>
        <w:t xml:space="preserve">-derived re-encryption material with a truly random function; this is indistinguishable under the assumption that</w:t>
      </w:r>
      <w:r>
        <w:t xml:space="preserve"> </w:t>
      </w:r>
      <w:r>
        <w:t xml:space="preserve">SHAKE256</w:t>
      </w:r>
      <w:r>
        <w:t xml:space="preserve"> </w:t>
      </w:r>
      <w:r>
        <w:t xml:space="preserve">is a pseudorandom function. In Game 3, the transformed ciphertext is independent of the plaintext, and the adversary’s advantage is negligible. ◻</w:t>
      </w:r>
    </w:p>
    <w:p>
      <w:pPr>
        <w:pStyle w:val="BodyText"/>
      </w:pPr>
      <w:r>
        <w:rPr>
          <w:b/>
          <w:bCs/>
        </w:rPr>
        <w:t xml:space="preserve">Proxy collusion resistance.</w:t>
      </w:r>
      <w:r>
        <w:t xml:space="preserve"> </w:t>
      </w:r>
      <w:r>
        <w:t xml:space="preserve">The proxy holding</w:t>
      </w:r>
      <w:r>
        <w:t xml:space="preserve"> </w:t>
      </w:r>
      <m:oMath>
        <m:sSub>
          <m:e>
            <m:r>
              <m:rPr>
                <m:sty m:val="i"/>
              </m:rPr>
              <m:t>r</m:t>
            </m:r>
            <m:r>
              <m:rPr>
                <m:sty m:val="i"/>
              </m:rPr>
              <m:t>k</m:t>
            </m:r>
          </m:e>
          <m:sub>
            <m:r>
              <m:t>A</m:t>
            </m:r>
            <m:r>
              <m:rPr>
                <m:sty m:val="p"/>
              </m:rPr>
              <m:t>→</m:t>
            </m:r>
            <m:r>
              <m:t>B</m:t>
            </m:r>
          </m:sub>
        </m:sSub>
      </m:oMath>
      <w:r>
        <w:t xml:space="preserve"> </w:t>
      </w:r>
      <w:r>
        <w:t xml:space="preserve">cannot recover</w:t>
      </w:r>
      <w:r>
        <w:t xml:space="preserve"> </w:t>
      </w:r>
      <m:oMath>
        <m:sSub>
          <m:e>
            <m:r>
              <m:rPr>
                <m:sty m:val="i"/>
              </m:rPr>
              <m:t>s</m:t>
            </m:r>
            <m:r>
              <m:rPr>
                <m:sty m:val="i"/>
              </m:rPr>
              <m:t>k</m:t>
            </m:r>
          </m:e>
          <m:sub>
            <m:r>
              <m:t>A</m:t>
            </m:r>
          </m:sub>
        </m:sSub>
      </m:oMath>
      <w:r>
        <w:t xml:space="preserve"> </w:t>
      </w:r>
      <w:r>
        <w:t xml:space="preserve">or</w:t>
      </w:r>
      <w:r>
        <w:t xml:space="preserve"> </w:t>
      </w:r>
      <m:oMath>
        <m:sSub>
          <m:e>
            <m:r>
              <m:rPr>
                <m:sty m:val="i"/>
              </m:rPr>
              <m:t>s</m:t>
            </m:r>
            <m:r>
              <m:rPr>
                <m:sty m:val="i"/>
              </m:rPr>
              <m:t>k</m:t>
            </m:r>
          </m:e>
          <m:sub>
            <m:r>
              <m:t>B</m:t>
            </m:r>
          </m:sub>
        </m:sSub>
      </m:oMath>
      <w:r>
        <w:t xml:space="preserve"> </w:t>
      </w:r>
      <w:r>
        <w:t xml:space="preserve">because</w:t>
      </w:r>
      <w:r>
        <w:t xml:space="preserve"> </w:t>
      </w:r>
      <w:r>
        <w:t xml:space="preserve">SHAKE256</w:t>
      </w:r>
      <w:r>
        <w:t xml:space="preserve"> </w:t>
      </w:r>
      <w:r>
        <w:t xml:space="preserve">is a one-way function: given</w:t>
      </w:r>
      <w:r>
        <w:t xml:space="preserve"> </w:t>
      </w:r>
      <m:oMath>
        <m:r>
          <m:rPr>
            <m:sty m:val="i"/>
          </m:rPr>
          <m:t>r</m:t>
        </m:r>
        <m:r>
          <m:rPr>
            <m:sty m:val="i"/>
          </m:rPr>
          <m:t>k</m:t>
        </m:r>
        <m:r>
          <m:rPr>
            <m:sty m:val="p"/>
          </m:rPr>
          <m:t>=</m:t>
        </m:r>
        <m:r>
          <m:rPr>
            <m:nor/>
            <m:scr m:val="sans-serif"/>
            <m:sty m:val="p"/>
          </m:rPr>
          <m:t>SHAKE256</m:t>
        </m:r>
        <m:r>
          <m:t>​</m:t>
        </m:r>
        <m:r>
          <m:rPr>
            <m:sty m:val="p"/>
          </m:rPr>
          <m:t>(</m:t>
        </m:r>
        <m:sSub>
          <m:e>
            <m:r>
              <m:rPr>
                <m:sty m:val="i"/>
              </m:rPr>
              <m:t>s</m:t>
            </m:r>
            <m:r>
              <m:rPr>
                <m:sty m:val="i"/>
              </m:rPr>
              <m:t>k</m:t>
            </m:r>
          </m:e>
          <m:sub>
            <m:r>
              <m:t>A</m:t>
            </m:r>
          </m:sub>
        </m:sSub>
        <m:r>
          <m:rPr>
            <m:sty m:val="p"/>
          </m:rPr>
          <m:t>∥</m:t>
        </m:r>
        <m:sSub>
          <m:e>
            <m:r>
              <m:rPr>
                <m:sty m:val="i"/>
              </m:rPr>
              <m:t>p</m:t>
            </m:r>
            <m:r>
              <m:rPr>
                <m:sty m:val="i"/>
              </m:rPr>
              <m:t>k</m:t>
            </m:r>
          </m:e>
          <m:sub>
            <m:r>
              <m:t>B</m:t>
            </m:r>
          </m:sub>
        </m:sSub>
        <m:r>
          <m:rPr>
            <m:sty m:val="p"/>
          </m:rPr>
          <m:t>∥</m:t>
        </m:r>
        <m:sSub>
          <m:e>
            <m:r>
              <m:t>h</m:t>
            </m:r>
          </m:e>
          <m:sub>
            <m:r>
              <m:rPr>
                <m:sty m:val="i"/>
              </m:rPr>
              <m:t>p</m:t>
            </m:r>
            <m:r>
              <m:rPr>
                <m:sty m:val="i"/>
              </m:rPr>
              <m:t>i</m:t>
            </m:r>
            <m:r>
              <m:rPr>
                <m:sty m:val="i"/>
              </m:rPr>
              <m:t>d</m:t>
            </m:r>
          </m:sub>
        </m:sSub>
        <m:r>
          <m:rPr>
            <m:sty m:val="p"/>
          </m:rPr>
          <m:t>∥</m:t>
        </m:r>
        <m:r>
          <m:rPr>
            <m:nor/>
            <m:sty m:val="p"/>
          </m:rPr>
          <m:t>tag</m:t>
        </m:r>
        <m:r>
          <m:rPr>
            <m:sty m:val="p"/>
          </m:rPr>
          <m:t>)</m:t>
        </m:r>
      </m:oMath>
      <w:r>
        <w:t xml:space="preserve">, extracting</w:t>
      </w:r>
      <w:r>
        <w:t xml:space="preserve"> </w:t>
      </w:r>
      <m:oMath>
        <m:sSub>
          <m:e>
            <m:r>
              <m:rPr>
                <m:sty m:val="i"/>
              </m:rPr>
              <m:t>s</m:t>
            </m:r>
            <m:r>
              <m:rPr>
                <m:sty m:val="i"/>
              </m:rPr>
              <m:t>k</m:t>
            </m:r>
          </m:e>
          <m:sub>
            <m:r>
              <m:t>A</m:t>
            </m:r>
          </m:sub>
        </m:sSub>
      </m:oMath>
      <w:r>
        <w:t xml:space="preserve"> </w:t>
      </w:r>
      <w:r>
        <w:t xml:space="preserve">requires inverting</w:t>
      </w:r>
      <w:r>
        <w:t xml:space="preserve"> </w:t>
      </w:r>
      <w:r>
        <w:t xml:space="preserve">SHAKE256</w:t>
      </w:r>
      <w:r>
        <w:t xml:space="preserve">, which is computationally infeasible.</w:t>
      </w:r>
    </w:p>
    <w:p>
      <w:pPr>
        <w:pStyle w:val="BodyText"/>
      </w:pPr>
      <w:r>
        <w:rPr>
          <w:b/>
          <w:bCs/>
        </w:rPr>
        <w:t xml:space="preserve">Category enforcement.</w:t>
      </w:r>
      <w:r>
        <w:t xml:space="preserve"> </w:t>
      </w:r>
      <w:r>
        <w:t xml:space="preserve">The re-encryption algorithm (Algorithm </w:t>
      </w:r>
      <w:hyperlink w:anchor="alg:reenc">
        <w:r>
          <w:rPr>
            <w:rStyle w:val="Hyperlink"/>
          </w:rPr>
          <w:t xml:space="preserve">[alg:reenc]</w:t>
        </w:r>
      </w:hyperlink>
      <w:r>
        <w:t xml:space="preserve">) checks</w:t>
      </w:r>
      <w:r>
        <w:t xml:space="preserve"> </w:t>
      </w:r>
      <m:oMath>
        <m:r>
          <m:t>c</m:t>
        </m:r>
        <m:r>
          <m:rPr>
            <m:sty m:val="p"/>
          </m:rPr>
          <m:t>∈</m:t>
        </m:r>
        <m:r>
          <m:rPr>
            <m:sty m:val="i"/>
          </m:rPr>
          <m:t>r</m:t>
        </m:r>
        <m:r>
          <m:rPr>
            <m:sty m:val="i"/>
          </m:rPr>
          <m:t>k</m:t>
        </m:r>
        <m:r>
          <m:rPr>
            <m:sty m:val="p"/>
          </m:rPr>
          <m:t>.</m:t>
        </m:r>
        <m:r>
          <m:rPr>
            <m:sty m:val="i"/>
          </m:rPr>
          <m:t>a</m:t>
        </m:r>
        <m:r>
          <m:rPr>
            <m:sty m:val="i"/>
          </m:rPr>
          <m:t>l</m:t>
        </m:r>
        <m:r>
          <m:rPr>
            <m:sty m:val="i"/>
          </m:rPr>
          <m:t>l</m:t>
        </m:r>
        <m:r>
          <m:rPr>
            <m:sty m:val="i"/>
          </m:rPr>
          <m:t>o</m:t>
        </m:r>
        <m:r>
          <m:rPr>
            <m:sty m:val="i"/>
          </m:rPr>
          <m:t>w</m:t>
        </m:r>
        <m:r>
          <m:rPr>
            <m:sty m:val="i"/>
          </m:rPr>
          <m:t>e</m:t>
        </m:r>
        <m:r>
          <m:rPr>
            <m:sty m:val="i"/>
          </m:rPr>
          <m:t>d</m:t>
        </m:r>
        <m:r>
          <m:rPr>
            <m:sty m:val="i"/>
          </m:rPr>
          <m:t>_</m:t>
        </m:r>
        <m:r>
          <m:rPr>
            <m:sty m:val="i"/>
          </m:rPr>
          <m:t>c</m:t>
        </m:r>
        <m:r>
          <m:rPr>
            <m:sty m:val="i"/>
          </m:rPr>
          <m:t>a</m:t>
        </m:r>
        <m:r>
          <m:rPr>
            <m:sty m:val="i"/>
          </m:rPr>
          <m:t>t</m:t>
        </m:r>
        <m:r>
          <m:rPr>
            <m:sty m:val="i"/>
          </m:rPr>
          <m:t>e</m:t>
        </m:r>
        <m:r>
          <m:rPr>
            <m:sty m:val="i"/>
          </m:rPr>
          <m:t>g</m:t>
        </m:r>
        <m:r>
          <m:rPr>
            <m:sty m:val="i"/>
          </m:rPr>
          <m:t>o</m:t>
        </m:r>
        <m:r>
          <m:rPr>
            <m:sty m:val="i"/>
          </m:rPr>
          <m:t>r</m:t>
        </m:r>
        <m:r>
          <m:rPr>
            <m:sty m:val="i"/>
          </m:rPr>
          <m:t>i</m:t>
        </m:r>
        <m:r>
          <m:rPr>
            <m:sty m:val="i"/>
          </m:rPr>
          <m:t>e</m:t>
        </m:r>
        <m:r>
          <m:rPr>
            <m:sty m:val="i"/>
          </m:rPr>
          <m:t>s</m:t>
        </m:r>
      </m:oMath>
      <w:r>
        <w:t xml:space="preserve"> </w:t>
      </w:r>
      <w:r>
        <w:t xml:space="preserve">before processing. A malicious proxy cannot bypass this check because the category is embedded in the record metadata hash, and any modification would invalidate the ciphertext integrity.</w:t>
      </w:r>
    </w:p>
    <w:bookmarkEnd w:id="55"/>
    <w:bookmarkStart w:id="56" w:name="homomorphic-encryption-security"/>
    <w:p>
      <w:pPr>
        <w:pStyle w:val="Heading2"/>
      </w:pPr>
      <w:r>
        <w:t xml:space="preserve">Homomorphic Encryption Security</w:t>
      </w:r>
    </w:p>
    <w:p>
      <w:pPr>
        <w:pStyle w:val="FirstParagraph"/>
      </w:pPr>
      <w:r>
        <w:t xml:space="preserve">The Paillier-like homomorphic encryption scheme is semantically secure (IND-CPA) under the Decisional Composite Residuosity (DCR) assumption.</w:t>
      </w:r>
    </w:p>
    <w:p>
      <w:pPr>
        <w:pStyle w:val="BodyText"/>
      </w:pPr>
      <w:r>
        <w:rPr>
          <w:i/>
          <w:iCs/>
        </w:rPr>
        <w:t xml:space="preserve">Proof sketch.</w:t>
      </w:r>
      <w:r>
        <w:t xml:space="preserve"> </w:t>
      </w:r>
      <w:r>
        <w:t xml:space="preserve">Given ciphertext</w:t>
      </w:r>
      <w:r>
        <w:t xml:space="preserve"> </w:t>
      </w:r>
      <m:oMath>
        <m:r>
          <m:t>c</m:t>
        </m:r>
        <m:r>
          <m:rPr>
            <m:sty m:val="p"/>
          </m:rPr>
          <m:t>=</m:t>
        </m:r>
        <m:sSup>
          <m:e>
            <m:r>
              <m:t>g</m:t>
            </m:r>
          </m:e>
          <m:sup>
            <m:r>
              <m:t>m</m:t>
            </m:r>
          </m:sup>
        </m:sSup>
        <m:r>
          <m:rPr>
            <m:sty m:val="p"/>
          </m:rPr>
          <m:t>⋅</m:t>
        </m:r>
        <m:sSup>
          <m:e>
            <m:r>
              <m:t>r</m:t>
            </m:r>
          </m:e>
          <m:sup>
            <m:r>
              <m:t>n</m:t>
            </m:r>
          </m:sup>
        </m:sSup>
        <m:r>
          <m:t> </m:t>
        </m:r>
        <m:r>
          <m:rPr>
            <m:sty m:val="p"/>
          </m:rPr>
          <m:t>mod</m:t>
        </m:r>
        <m:r>
          <m:t> </m:t>
        </m:r>
        <m:sSup>
          <m:e>
            <m:r>
              <m:t>n</m:t>
            </m:r>
          </m:e>
          <m:sup>
            <m:r>
              <m:t>2</m:t>
            </m:r>
          </m:sup>
        </m:sSup>
      </m:oMath>
      <w:r>
        <w:t xml:space="preserve">, distinguishing</w:t>
      </w:r>
      <w:r>
        <w:t xml:space="preserve"> </w:t>
      </w:r>
      <m:oMath>
        <m:r>
          <m:rPr>
            <m:scr m:val="sans-serif"/>
            <m:sty m:val="p"/>
          </m:rPr>
          <m:t>E</m:t>
        </m:r>
        <m:r>
          <m:rPr>
            <m:scr m:val="sans-serif"/>
            <m:sty m:val="p"/>
          </m:rPr>
          <m:t>n</m:t>
        </m:r>
        <m:r>
          <m:rPr>
            <m:scr m:val="sans-serif"/>
            <m:sty m:val="p"/>
          </m:rPr>
          <m:t>c</m:t>
        </m:r>
        <m:r>
          <m:rPr>
            <m:sty m:val="p"/>
          </m:rPr>
          <m:t>(</m:t>
        </m:r>
        <m:sSub>
          <m:e>
            <m:r>
              <m:t>m</m:t>
            </m:r>
          </m:e>
          <m:sub>
            <m:r>
              <m:t>0</m:t>
            </m:r>
          </m:sub>
        </m:sSub>
        <m:r>
          <m:rPr>
            <m:sty m:val="p"/>
          </m:rPr>
          <m:t>)</m:t>
        </m:r>
      </m:oMath>
      <w:r>
        <w:t xml:space="preserve"> </w:t>
      </w:r>
      <w:r>
        <w:t xml:space="preserve">from</w:t>
      </w:r>
      <w:r>
        <w:t xml:space="preserve"> </w:t>
      </w:r>
      <m:oMath>
        <m:r>
          <m:rPr>
            <m:scr m:val="sans-serif"/>
            <m:sty m:val="p"/>
          </m:rPr>
          <m:t>E</m:t>
        </m:r>
        <m:r>
          <m:rPr>
            <m:scr m:val="sans-serif"/>
            <m:sty m:val="p"/>
          </m:rPr>
          <m:t>n</m:t>
        </m:r>
        <m:r>
          <m:rPr>
            <m:scr m:val="sans-serif"/>
            <m:sty m:val="p"/>
          </m:rPr>
          <m:t>c</m:t>
        </m:r>
        <m:r>
          <m:rPr>
            <m:sty m:val="p"/>
          </m:rPr>
          <m:t>(</m:t>
        </m:r>
        <m:sSub>
          <m:e>
            <m:r>
              <m:t>m</m:t>
            </m:r>
          </m:e>
          <m:sub>
            <m:r>
              <m:t>1</m:t>
            </m:r>
          </m:sub>
        </m:sSub>
        <m:r>
          <m:rPr>
            <m:sty m:val="p"/>
          </m:rPr>
          <m:t>)</m:t>
        </m:r>
      </m:oMath>
      <w:r>
        <w:t xml:space="preserve"> </w:t>
      </w:r>
      <w:r>
        <w:t xml:space="preserve">requires solving the DCR problem: given</w:t>
      </w:r>
      <w:r>
        <w:t xml:space="preserve"> </w:t>
      </w:r>
      <m:oMath>
        <m:r>
          <m:t>z</m:t>
        </m:r>
        <m:r>
          <m:rPr>
            <m:sty m:val="p"/>
          </m:rPr>
          <m:t>∈</m:t>
        </m:r>
        <m:sSubSup>
          <m:e>
            <m:r>
              <m:rPr>
                <m:scr m:val="double-struck"/>
                <m:sty m:val="p"/>
              </m:rPr>
              <m:t>Z</m:t>
            </m:r>
          </m:e>
          <m:sub>
            <m:sSup>
              <m:e>
                <m:r>
                  <m:t>n</m:t>
                </m:r>
              </m:e>
              <m:sup>
                <m:r>
                  <m:t>2</m:t>
                </m:r>
              </m:sup>
            </m:sSup>
          </m:sub>
          <m:sup>
            <m:r>
              <m:rPr>
                <m:sty m:val="p"/>
              </m:rPr>
              <m:t>*</m:t>
            </m:r>
          </m:sup>
        </m:sSubSup>
      </m:oMath>
      <w:r>
        <w:t xml:space="preserve">, determine whether</w:t>
      </w:r>
      <w:r>
        <w:t xml:space="preserve"> </w:t>
      </w:r>
      <m:oMath>
        <m:r>
          <m:t>z</m:t>
        </m:r>
      </m:oMath>
      <w:r>
        <w:t xml:space="preserve"> </w:t>
      </w:r>
      <w:r>
        <w:t xml:space="preserve">is an</w:t>
      </w:r>
      <w:r>
        <w:t xml:space="preserve"> </w:t>
      </w:r>
      <m:oMath>
        <m:r>
          <m:t>n</m:t>
        </m:r>
      </m:oMath>
      <w:r>
        <w:t xml:space="preserve">-th residue modulo</w:t>
      </w:r>
      <w:r>
        <w:t xml:space="preserve"> </w:t>
      </w:r>
      <m:oMath>
        <m:sSup>
          <m:e>
            <m:r>
              <m:t>n</m:t>
            </m:r>
          </m:e>
          <m:sup>
            <m:r>
              <m:t>2</m:t>
            </m:r>
          </m:sup>
        </m:sSup>
      </m:oMath>
      <w:r>
        <w:t xml:space="preserve">. Under the DCR assumption, this is computationally hard. ◻</w:t>
      </w:r>
    </w:p>
    <w:p>
      <w:pPr>
        <w:pStyle w:val="BodyText"/>
      </w:pPr>
      <w:r>
        <w:rPr>
          <w:b/>
          <w:bCs/>
        </w:rPr>
        <w:t xml:space="preserve">Differential privacy guarantee.</w:t>
      </w:r>
      <w:r>
        <w:t xml:space="preserve"> </w:t>
      </w:r>
      <w:r>
        <w:t xml:space="preserve">By the composition theorem </w:t>
      </w:r>
      <w:r>
        <w:t xml:space="preserve">(Dwork and Roth 2014)</w:t>
      </w:r>
      <w:r>
        <w:t xml:space="preserve">, each aggregation query with Laplace noise of scale</w:t>
      </w:r>
      <w:r>
        <w:t xml:space="preserve"> </w:t>
      </w:r>
      <m:oMath>
        <m:r>
          <m:rPr>
            <m:sty m:val="p"/>
          </m:rPr>
          <m:t>Δ</m:t>
        </m:r>
        <m:r>
          <m:t>f</m:t>
        </m:r>
        <m:r>
          <m:rPr>
            <m:sty m:val="p"/>
          </m:rPr>
          <m:t>/</m:t>
        </m:r>
        <m:r>
          <m:t>ε</m:t>
        </m:r>
      </m:oMath>
      <w:r>
        <w:t xml:space="preserve"> </w:t>
      </w:r>
      <w:r>
        <w:t xml:space="preserve">satisfies</w:t>
      </w:r>
      <w:r>
        <w:t xml:space="preserve"> </w:t>
      </w:r>
      <m:oMath>
        <m:r>
          <m:t>ε</m:t>
        </m:r>
      </m:oMath>
      <w:r>
        <w:t xml:space="preserve">-differential privacy. For</w:t>
      </w:r>
      <w:r>
        <w:t xml:space="preserve"> </w:t>
      </w:r>
      <m:oMath>
        <m:r>
          <m:t>k</m:t>
        </m:r>
      </m:oMath>
      <w:r>
        <w:t xml:space="preserve"> </w:t>
      </w:r>
      <w:r>
        <w:t xml:space="preserve">queries, the total privacy loss is at most</w:t>
      </w:r>
      <w:r>
        <w:t xml:space="preserve"> </w:t>
      </w:r>
      <m:oMath>
        <m:r>
          <m:t>k</m:t>
        </m:r>
        <m:r>
          <m:t>ε</m:t>
        </m:r>
      </m:oMath>
      <w:r>
        <w:t xml:space="preserve">, which can be managed through a privacy budget accounting mechanism.</w:t>
      </w:r>
    </w:p>
    <w:p>
      <w:pPr>
        <w:pStyle w:val="BodyText"/>
      </w:pPr>
      <w:r>
        <w:rPr>
          <w:b/>
          <w:bCs/>
        </w:rPr>
        <w:t xml:space="preserve">Individual value protection.</w:t>
      </w:r>
      <w:r>
        <w:t xml:space="preserve"> </w:t>
      </w:r>
      <w:r>
        <w:t xml:space="preserve">The analytics server operates exclusively on ciphertexts. Even if the server observes the encrypted aggregate, it cannot determine any individual</w:t>
      </w:r>
      <w:r>
        <w:t xml:space="preserve"> </w:t>
      </w:r>
      <m:oMath>
        <m:sSub>
          <m:e>
            <m:r>
              <m:t>v</m:t>
            </m:r>
          </m:e>
          <m:sub>
            <m:r>
              <m:t>i</m:t>
            </m:r>
          </m:sub>
        </m:sSub>
      </m:oMath>
      <w:r>
        <w:t xml:space="preserve"> </w:t>
      </w:r>
      <w:r>
        <w:t xml:space="preserve">without the private key</w:t>
      </w:r>
      <w:r>
        <w:t xml:space="preserve"> </w:t>
      </w:r>
      <m:oMath>
        <m:r>
          <m:rPr>
            <m:sty m:val="p"/>
          </m:rPr>
          <m:t>(</m:t>
        </m:r>
        <m:r>
          <m:t>λ</m:t>
        </m:r>
        <m:r>
          <m:rPr>
            <m:sty m:val="p"/>
          </m:rPr>
          <m:t>,</m:t>
        </m:r>
        <m:r>
          <m:t>μ</m:t>
        </m:r>
        <m:r>
          <m:rPr>
            <m:sty m:val="p"/>
          </m:rPr>
          <m:t>)</m:t>
        </m:r>
      </m:oMath>
      <w:r>
        <w:t xml:space="preserve">, which is held only by the authorized clinician.</w:t>
      </w:r>
    </w:p>
    <w:bookmarkEnd w:id="56"/>
    <w:bookmarkStart w:id="57" w:name="verifiable-credential-security"/>
    <w:p>
      <w:pPr>
        <w:pStyle w:val="Heading2"/>
      </w:pPr>
      <w:r>
        <w:t xml:space="preserve">Verifiable Credential Security</w:t>
      </w:r>
    </w:p>
    <w:p>
      <w:pPr>
        <w:pStyle w:val="FirstParagraph"/>
      </w:pPr>
      <w:r>
        <w:t xml:space="preserve">The verifiable credential scheme satisfies EUF-CMA (existential unforgeability under chosen message attack) under the MLWE assumption, as inherited from the</w:t>
      </w:r>
      <w:r>
        <w:t xml:space="preserve"> </w:t>
      </w:r>
      <w:r>
        <w:t xml:space="preserve">ML-DSA</w:t>
      </w:r>
      <w:r>
        <w:t xml:space="preserve">-65 signature scheme (FIPS 204).</w:t>
      </w:r>
    </w:p>
    <w:p>
      <w:pPr>
        <w:pStyle w:val="BodyText"/>
      </w:pPr>
      <w:r>
        <w:rPr>
          <w:b/>
          <w:bCs/>
        </w:rPr>
        <w:t xml:space="preserve">Selective disclosure privacy.</w:t>
      </w:r>
      <w:r>
        <w:t xml:space="preserve"> </w:t>
      </w:r>
      <w:r>
        <w:t xml:space="preserve">Undisclosed claims are represented in the presentation only by the Merkle root, which is a 32-byte hash. Recovering a claim value from its hash requires a preimage attack on</w:t>
      </w:r>
      <w:r>
        <w:t xml:space="preserve"> </w:t>
      </w:r>
      <w:r>
        <w:t xml:space="preserve">SHA3-256</w:t>
      </w:r>
      <w:r>
        <w:t xml:space="preserve">, which has</w:t>
      </w:r>
      <w:r>
        <w:t xml:space="preserve"> </w:t>
      </w:r>
      <m:oMath>
        <m:sSup>
          <m:e>
            <m:r>
              <m:t>2</m:t>
            </m:r>
          </m:e>
          <m:sup>
            <m:r>
              <m:t>128</m:t>
            </m:r>
          </m:sup>
        </m:sSup>
      </m:oMath>
      <w:r>
        <w:t xml:space="preserve"> </w:t>
      </w:r>
      <w:r>
        <w:t xml:space="preserve">security against quantum adversaries (Grover’s algorithm reduces the preimage resistance from</w:t>
      </w:r>
      <w:r>
        <w:t xml:space="preserve"> </w:t>
      </w:r>
      <m:oMath>
        <m:sSup>
          <m:e>
            <m:r>
              <m:t>2</m:t>
            </m:r>
          </m:e>
          <m:sup>
            <m:r>
              <m:t>256</m:t>
            </m:r>
          </m:sup>
        </m:sSup>
      </m:oMath>
      <w:r>
        <w:t xml:space="preserve"> </w:t>
      </w:r>
      <w:r>
        <w:t xml:space="preserve">to</w:t>
      </w:r>
      <w:r>
        <w:t xml:space="preserve"> </w:t>
      </w:r>
      <m:oMath>
        <m:sSup>
          <m:e>
            <m:r>
              <m:t>2</m:t>
            </m:r>
          </m:e>
          <m:sup>
            <m:r>
              <m:t>128</m:t>
            </m:r>
          </m:sup>
        </m:sSup>
      </m:oMath>
      <w:r>
        <w:t xml:space="preserve">). The per-claim salt prevents dictionary attacks.</w:t>
      </w:r>
    </w:p>
    <w:p>
      <w:pPr>
        <w:pStyle w:val="BodyText"/>
      </w:pPr>
      <w:r>
        <w:rPr>
          <w:b/>
          <w:bCs/>
        </w:rPr>
        <w:t xml:space="preserve">Predicate proof soundness.</w:t>
      </w:r>
      <w:r>
        <w:t xml:space="preserve"> </w:t>
      </w:r>
      <w:r>
        <w:t xml:space="preserve">In the production lattice-based ZKP variant, soundness ensures that a prover cannot convince a verifier of a false predicate except with negligible probability. The commitment-based prototype provides computational hiding; the full ZKP construction </w:t>
      </w:r>
      <w:r>
        <w:t xml:space="preserve">(Yang et al. 2022)</w:t>
      </w:r>
      <w:r>
        <w:t xml:space="preserve"> </w:t>
      </w:r>
      <w:r>
        <w:t xml:space="preserve">achieves negligible soundness error.</w:t>
      </w:r>
    </w:p>
    <w:p>
      <w:pPr>
        <w:pStyle w:val="BodyText"/>
      </w:pPr>
      <w:r>
        <w:rPr>
          <w:b/>
          <w:bCs/>
        </w:rPr>
        <w:t xml:space="preserve">Revocation soundness.</w:t>
      </w:r>
      <w:r>
        <w:t xml:space="preserve"> </w:t>
      </w:r>
      <w:r>
        <w:t xml:space="preserve">The accumulator-based revocation scheme ensures that a revoked credential cannot produce a valid non-membership witness, as the accumulator state is a one-way hash chain and modifying it requires knowledge of the issuer’s private state.</w:t>
      </w:r>
    </w:p>
    <w:bookmarkEnd w:id="57"/>
    <w:bookmarkStart w:id="59" w:name="compliance-analysis"/>
    <w:p>
      <w:pPr>
        <w:pStyle w:val="Heading2"/>
      </w:pPr>
      <w:r>
        <w:t xml:space="preserve">Compliance Analysis</w:t>
      </w:r>
    </w:p>
    <w:bookmarkStart w:id="58" w:name="tab:compliance"/>
    <w:p>
      <w:pPr>
        <w:pStyle w:val="TableCaption"/>
      </w:pPr>
      <w:r>
        <w:t xml:space="preserve">Regulatory Compliance Mapping</w:t>
      </w:r>
    </w:p>
    <w:tbl>
      <w:tblPr>
        <w:tblStyle w:val="Table"/>
        <w:tblW w:type="auto" w:w="0"/>
        <w:tblLook w:firstRow="1" w:lastRow="0" w:firstColumn="0" w:lastColumn="0" w:noHBand="0" w:noVBand="0" w:val="0020"/>
        <w:tblCaption w:val="Regulatory Compliance Mapping"/>
      </w:tblPr>
      <w:tblGrid>
        <w:gridCol w:w="3960"/>
        <w:gridCol w:w="3960"/>
      </w:tblGrid>
      <w:tr>
        <w:trPr>
          <w:tblHeader w:val="on"/>
        </w:trPr>
        <w:tc>
          <w:tcPr/>
          <w:p>
            <w:pPr>
              <w:pStyle w:val="Compact"/>
              <w:jc w:val="left"/>
            </w:pPr>
            <w:r>
              <w:rPr>
                <w:b/>
                <w:bCs/>
              </w:rPr>
              <w:t xml:space="preserve">Regulation</w:t>
            </w:r>
          </w:p>
        </w:tc>
        <w:tc>
          <w:tcPr/>
          <w:p>
            <w:pPr>
              <w:pStyle w:val="Compact"/>
              <w:jc w:val="left"/>
            </w:pPr>
            <w:r>
              <w:rPr>
                <w:b/>
                <w:bCs/>
              </w:rPr>
              <w:t xml:space="preserve">Mechanism</w:t>
            </w:r>
          </w:p>
        </w:tc>
      </w:tr>
      <w:tr>
        <w:tc>
          <w:tcPr/>
          <w:p>
            <w:pPr>
              <w:pStyle w:val="Compact"/>
              <w:jc w:val="left"/>
            </w:pPr>
            <w:r>
              <w:t xml:space="preserve">HIPAA Privacy</w:t>
            </w:r>
          </w:p>
        </w:tc>
        <w:tc>
          <w:tcPr/>
          <w:p>
            <w:pPr>
              <w:pStyle w:val="Compact"/>
              <w:jc w:val="left"/>
            </w:pPr>
            <w:r>
              <w:t xml:space="preserve">PRE: proxy never sees plaintext; HE: analytics on ciphertext; VC: selective disclosure</w:t>
            </w:r>
          </w:p>
        </w:tc>
      </w:tr>
      <w:tr>
        <w:tc>
          <w:tcPr/>
          <w:p>
            <w:pPr>
              <w:pStyle w:val="Compact"/>
              <w:jc w:val="left"/>
            </w:pPr>
            <w:r>
              <w:t xml:space="preserve">HIPAA Security</w:t>
            </w:r>
          </w:p>
        </w:tc>
        <w:tc>
          <w:tcPr/>
          <w:p>
            <w:pPr>
              <w:pStyle w:val="Compact"/>
              <w:jc w:val="left"/>
            </w:pPr>
            <w:r>
              <w:t xml:space="preserve">ML-KEM</w:t>
            </w:r>
            <w:r>
              <w:t xml:space="preserve">-768 (FIPS 203),</w:t>
            </w:r>
            <w:r>
              <w:t xml:space="preserve"> </w:t>
            </w:r>
            <w:r>
              <w:t xml:space="preserve">ML-DSA</w:t>
            </w:r>
            <w:r>
              <w:t xml:space="preserve">-65 (FIPS 204),</w:t>
            </w:r>
            <w:r>
              <w:t xml:space="preserve"> </w:t>
            </w:r>
            <w:r>
              <w:t xml:space="preserve">AES-256-GCM</w:t>
            </w:r>
          </w:p>
        </w:tc>
      </w:tr>
      <w:tr>
        <w:tc>
          <w:tcPr/>
          <w:p>
            <w:pPr>
              <w:pStyle w:val="Compact"/>
              <w:jc w:val="left"/>
            </w:pPr>
            <w:r>
              <w:t xml:space="preserve">HITECH Audit</w:t>
            </w:r>
          </w:p>
        </w:tc>
        <w:tc>
          <w:tcPr/>
          <w:p>
            <w:pPr>
              <w:pStyle w:val="Compact"/>
              <w:jc w:val="left"/>
            </w:pPr>
            <w:r>
              <w:t xml:space="preserve">Immutable audit trail with</w:t>
            </w:r>
            <w:r>
              <w:t xml:space="preserve"> </w:t>
            </w:r>
            <m:oMath>
              <m:r>
                <m:rPr>
                  <m:nor/>
                  <m:scr m:val="sans-serif"/>
                  <m:sty m:val="p"/>
                </m:rPr>
                <m:t>SHA3-256</m:t>
              </m:r>
              <m:r>
                <m:t>​</m:t>
              </m:r>
            </m:oMath>
            <w:r>
              <w:t xml:space="preserve">-based entry IDs</w:t>
            </w:r>
          </w:p>
        </w:tc>
      </w:tr>
      <w:tr>
        <w:tc>
          <w:tcPr/>
          <w:p>
            <w:pPr>
              <w:pStyle w:val="Compact"/>
              <w:jc w:val="left"/>
            </w:pPr>
            <w:r>
              <w:t xml:space="preserve">42 CFR Part 2</w:t>
            </w:r>
          </w:p>
        </w:tc>
        <w:tc>
          <w:tcPr/>
          <w:p>
            <w:pPr>
              <w:pStyle w:val="Compact"/>
              <w:jc w:val="left"/>
            </w:pPr>
            <w:r>
              <w:t xml:space="preserve">Consent enforcement: restricted categories require FULL_ACCESS/EMERGENCY</w:t>
            </w:r>
          </w:p>
        </w:tc>
      </w:tr>
      <w:tr>
        <w:tc>
          <w:tcPr/>
          <w:p>
            <w:pPr>
              <w:pStyle w:val="Compact"/>
              <w:jc w:val="left"/>
            </w:pPr>
            <w:r>
              <w:t xml:space="preserve">GINA</w:t>
            </w:r>
          </w:p>
        </w:tc>
        <w:tc>
          <w:tcPr/>
          <w:p>
            <w:pPr>
              <w:pStyle w:val="Compact"/>
              <w:jc w:val="left"/>
            </w:pPr>
            <w:r>
              <w:t xml:space="preserve">Genetic data tracked as restricted category with enhanced audit</w:t>
            </w:r>
          </w:p>
        </w:tc>
      </w:tr>
      <w:tr>
        <w:tc>
          <w:tcPr/>
          <w:p>
            <w:pPr>
              <w:pStyle w:val="Compact"/>
              <w:jc w:val="left"/>
            </w:pPr>
            <w:r>
              <w:t xml:space="preserve">GDPR Art. 20</w:t>
            </w:r>
          </w:p>
        </w:tc>
        <w:tc>
          <w:tcPr/>
          <w:p>
            <w:pPr>
              <w:pStyle w:val="Compact"/>
              <w:jc w:val="left"/>
            </w:pPr>
            <w:r>
              <w:t xml:space="preserve">PRE enables data portability without decryption</w:t>
            </w:r>
          </w:p>
        </w:tc>
      </w:tr>
      <w:tr>
        <w:tc>
          <w:tcPr/>
          <w:p>
            <w:pPr>
              <w:pStyle w:val="Compact"/>
              <w:jc w:val="left"/>
            </w:pPr>
            <w:r>
              <w:t xml:space="preserve">GDPR Art. 25</w:t>
            </w:r>
          </w:p>
        </w:tc>
        <w:tc>
          <w:tcPr/>
          <w:p>
            <w:pPr>
              <w:pStyle w:val="Compact"/>
              <w:jc w:val="left"/>
            </w:pPr>
            <w:r>
              <w:t xml:space="preserve">Privacy by design: minimum necessary via selective disclosure</w:t>
            </w:r>
          </w:p>
        </w:tc>
      </w:tr>
    </w:tbl>
    <w:bookmarkEnd w:id="58"/>
    <w:bookmarkEnd w:id="59"/>
    <w:bookmarkEnd w:id="60"/>
    <w:bookmarkStart w:id="72" w:name="sec:performance"/>
    <w:p>
      <w:pPr>
        <w:pStyle w:val="Heading1"/>
      </w:pPr>
      <w:r>
        <w:t xml:space="preserve">Performance Evaluation</w:t>
      </w:r>
    </w:p>
    <w:bookmarkStart w:id="61" w:name="experimental-setup"/>
    <w:p>
      <w:pPr>
        <w:pStyle w:val="Heading2"/>
      </w:pPr>
      <w:r>
        <w:t xml:space="preserve">Experimental Setup</w:t>
      </w:r>
    </w:p>
    <w:p>
      <w:pPr>
        <w:pStyle w:val="FirstParagraph"/>
      </w:pPr>
      <w:r>
        <w:t xml:space="preserve">Benchmarks were conducted on two platforms: (1) a server-class system with an Intel Xeon E5-2680 v4 (2.4 GHz) and 128 GB RAM for PRE, HE, and VC operations; and (2) simulated constrained environments modeling the pacemaker (16 MHz MSP430), insulin pump (48 MHz Cortex-M4), and ICD (24 MHz Cortex-M4) profiles. All cryptographic operations use the QBITEL Bridge AI Engine implementation built on the</w:t>
      </w:r>
      <w:r>
        <w:t xml:space="preserve"> </w:t>
      </w:r>
      <w:r>
        <w:rPr>
          <w:rStyle w:val="VerbatimChar"/>
        </w:rPr>
        <w:t xml:space="preserve">cryptography</w:t>
      </w:r>
      <w:r>
        <w:t xml:space="preserve"> </w:t>
      </w:r>
      <w:r>
        <w:t xml:space="preserve">Python library with reference</w:t>
      </w:r>
      <w:r>
        <w:t xml:space="preserve"> </w:t>
      </w:r>
      <w:r>
        <w:t xml:space="preserve">ML-KEM</w:t>
      </w:r>
      <w:r>
        <w:t xml:space="preserve"> </w:t>
      </w:r>
      <w:r>
        <w:t xml:space="preserve">and</w:t>
      </w:r>
      <w:r>
        <w:t xml:space="preserve"> </w:t>
      </w:r>
      <w:r>
        <w:t xml:space="preserve">ML-DSA</w:t>
      </w:r>
      <w:r>
        <w:t xml:space="preserve"> </w:t>
      </w:r>
      <w:r>
        <w:t xml:space="preserve">implementations.</w:t>
      </w:r>
    </w:p>
    <w:bookmarkEnd w:id="61"/>
    <w:bookmarkStart w:id="63" w:name="pre-latency"/>
    <w:p>
      <w:pPr>
        <w:pStyle w:val="Heading2"/>
      </w:pPr>
      <w:r>
        <w:t xml:space="preserve">PRE Latency</w:t>
      </w:r>
    </w:p>
    <w:bookmarkStart w:id="62" w:name="tab:pre_perf"/>
    <w:p>
      <w:pPr>
        <w:pStyle w:val="TableCaption"/>
      </w:pPr>
      <w:r>
        <w:t xml:space="preserve">Proxy Re-Encryption Latency (Server Platform)</w:t>
      </w:r>
    </w:p>
    <w:tbl>
      <w:tblPr>
        <w:tblStyle w:val="Table"/>
        <w:tblW w:type="auto" w:w="0"/>
        <w:tblLook w:firstRow="1" w:lastRow="0" w:firstColumn="0" w:lastColumn="0" w:noHBand="0" w:noVBand="0" w:val="0020"/>
        <w:tblCaption w:val="Proxy Re-Encryption Latency (Server Platform)"/>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Mean (ms)</w:t>
            </w:r>
          </w:p>
        </w:tc>
        <w:tc>
          <w:tcPr/>
          <w:p>
            <w:pPr>
              <w:pStyle w:val="Compact"/>
              <w:jc w:val="center"/>
            </w:pPr>
            <w:r>
              <w:rPr>
                <w:b/>
                <w:bCs/>
              </w:rPr>
              <w:t xml:space="preserve">p99 (ms)</w:t>
            </w:r>
          </w:p>
        </w:tc>
      </w:tr>
      <w:tr>
        <w:tc>
          <w:tcPr/>
          <w:p>
            <w:pPr>
              <w:pStyle w:val="Compact"/>
              <w:jc w:val="left"/>
            </w:pPr>
            <w:r>
              <w:t xml:space="preserve">Key pair generation (</w:t>
            </w:r>
            <w:r>
              <w:t xml:space="preserve">ML-KEM</w:t>
            </w:r>
            <w:r>
              <w:t xml:space="preserve">-768)</w:t>
            </w:r>
          </w:p>
        </w:tc>
        <w:tc>
          <w:tcPr/>
          <w:p>
            <w:pPr>
              <w:pStyle w:val="Compact"/>
              <w:jc w:val="center"/>
            </w:pPr>
            <w:r>
              <w:t xml:space="preserve">0.8</w:t>
            </w:r>
          </w:p>
        </w:tc>
        <w:tc>
          <w:tcPr/>
          <w:p>
            <w:pPr>
              <w:pStyle w:val="Compact"/>
              <w:jc w:val="center"/>
            </w:pPr>
            <w:r>
              <w:t xml:space="preserve">2.1</w:t>
            </w:r>
          </w:p>
        </w:tc>
      </w:tr>
      <w:tr>
        <w:tc>
          <w:tcPr/>
          <w:p>
            <w:pPr>
              <w:pStyle w:val="Compact"/>
              <w:jc w:val="left"/>
            </w:pPr>
            <w:r>
              <w:t xml:space="preserve">Record encryption (1 KB payload)</w:t>
            </w:r>
          </w:p>
        </w:tc>
        <w:tc>
          <w:tcPr/>
          <w:p>
            <w:pPr>
              <w:pStyle w:val="Compact"/>
              <w:jc w:val="center"/>
            </w:pPr>
            <w:r>
              <w:t xml:space="preserve">3.2</w:t>
            </w:r>
          </w:p>
        </w:tc>
        <w:tc>
          <w:tcPr/>
          <w:p>
            <w:pPr>
              <w:pStyle w:val="Compact"/>
              <w:jc w:val="center"/>
            </w:pPr>
            <w:r>
              <w:t xml:space="preserve">8.5</w:t>
            </w:r>
          </w:p>
        </w:tc>
      </w:tr>
      <w:tr>
        <w:tc>
          <w:tcPr/>
          <w:p>
            <w:pPr>
              <w:pStyle w:val="Compact"/>
              <w:jc w:val="left"/>
            </w:pPr>
            <w:r>
              <w:t xml:space="preserve">Re-encryption key generation</w:t>
            </w:r>
          </w:p>
        </w:tc>
        <w:tc>
          <w:tcPr/>
          <w:p>
            <w:pPr>
              <w:pStyle w:val="Compact"/>
              <w:jc w:val="center"/>
            </w:pPr>
            <w:r>
              <w:t xml:space="preserve">1.1</w:t>
            </w:r>
          </w:p>
        </w:tc>
        <w:tc>
          <w:tcPr/>
          <w:p>
            <w:pPr>
              <w:pStyle w:val="Compact"/>
              <w:jc w:val="center"/>
            </w:pPr>
            <w:r>
              <w:t xml:space="preserve">3.4</w:t>
            </w:r>
          </w:p>
        </w:tc>
      </w:tr>
      <w:tr>
        <w:tc>
          <w:tcPr/>
          <w:p>
            <w:pPr>
              <w:pStyle w:val="Compact"/>
              <w:jc w:val="left"/>
            </w:pPr>
            <w:r>
              <w:t xml:space="preserve">Ciphertext re-encryption</w:t>
            </w:r>
          </w:p>
        </w:tc>
        <w:tc>
          <w:tcPr/>
          <w:p>
            <w:pPr>
              <w:pStyle w:val="Compact"/>
              <w:jc w:val="center"/>
            </w:pPr>
            <w:r>
              <w:t xml:space="preserve">2.7</w:t>
            </w:r>
          </w:p>
        </w:tc>
        <w:tc>
          <w:tcPr/>
          <w:p>
            <w:pPr>
              <w:pStyle w:val="Compact"/>
              <w:jc w:val="center"/>
            </w:pPr>
            <w:r>
              <w:t xml:space="preserve">7.2</w:t>
            </w:r>
          </w:p>
        </w:tc>
      </w:tr>
      <w:tr>
        <w:tc>
          <w:tcPr/>
          <w:p>
            <w:pPr>
              <w:pStyle w:val="Compact"/>
              <w:jc w:val="left"/>
            </w:pPr>
            <w:r>
              <w:t xml:space="preserve">Record decryption</w:t>
            </w:r>
          </w:p>
        </w:tc>
        <w:tc>
          <w:tcPr/>
          <w:p>
            <w:pPr>
              <w:pStyle w:val="Compact"/>
              <w:jc w:val="center"/>
            </w:pPr>
            <w:r>
              <w:t xml:space="preserve">2.9</w:t>
            </w:r>
          </w:p>
        </w:tc>
        <w:tc>
          <w:tcPr/>
          <w:p>
            <w:pPr>
              <w:pStyle w:val="Compact"/>
              <w:jc w:val="center"/>
            </w:pPr>
            <w:r>
              <w:t xml:space="preserve">7.8</w:t>
            </w:r>
          </w:p>
        </w:tc>
      </w:tr>
      <w:tr>
        <w:tc>
          <w:tcPr/>
          <w:p>
            <w:pPr>
              <w:pStyle w:val="Compact"/>
              <w:jc w:val="left"/>
            </w:pPr>
            <w:r>
              <w:t xml:space="preserve">Delegation revocation</w:t>
            </w:r>
          </w:p>
        </w:tc>
        <w:tc>
          <w:tcPr/>
          <w:p>
            <w:pPr>
              <w:pStyle w:val="Compact"/>
              <w:jc w:val="center"/>
            </w:pPr>
            <w:r>
              <w:t xml:space="preserve">0.1</w:t>
            </w:r>
          </w:p>
        </w:tc>
        <w:tc>
          <w:tcPr/>
          <w:p>
            <w:pPr>
              <w:pStyle w:val="Compact"/>
              <w:jc w:val="center"/>
            </w:pPr>
            <w:r>
              <w:t xml:space="preserve">0.3</w:t>
            </w:r>
          </w:p>
        </w:tc>
      </w:tr>
      <w:tr>
        <w:tc>
          <w:tcPr/>
          <w:p>
            <w:pPr>
              <w:pStyle w:val="Compact"/>
              <w:jc w:val="left"/>
            </w:pPr>
            <w:r>
              <w:t xml:space="preserve">Audit log query (1</w:t>
            </w:r>
            <w:r>
              <w:t xml:space="preserve">,</w:t>
            </w:r>
            <w:r>
              <w:t xml:space="preserve">000 entries)</w:t>
            </w:r>
          </w:p>
        </w:tc>
        <w:tc>
          <w:tcPr/>
          <w:p>
            <w:pPr>
              <w:pStyle w:val="Compact"/>
              <w:jc w:val="center"/>
            </w:pPr>
            <w:r>
              <w:t xml:space="preserve">4.5</w:t>
            </w:r>
          </w:p>
        </w:tc>
        <w:tc>
          <w:tcPr/>
          <w:p>
            <w:pPr>
              <w:pStyle w:val="Compact"/>
              <w:jc w:val="center"/>
            </w:pPr>
            <w:r>
              <w:t xml:space="preserve">12.1</w:t>
            </w:r>
          </w:p>
        </w:tc>
      </w:tr>
    </w:tbl>
    <w:bookmarkEnd w:id="62"/>
    <w:p>
      <w:pPr>
        <w:pStyle w:val="BodyText"/>
      </w:pPr>
      <w:r>
        <w:t xml:space="preserve">The PRE scheme achieves sub-10 ms latency for all core operations, well within the requirements of real-time EHR exchange. The audit log query scales linearly with log size but remains efficient for typical operational volumes.</w:t>
      </w:r>
    </w:p>
    <w:bookmarkEnd w:id="63"/>
    <w:bookmarkStart w:id="65" w:name="homomorphic-encryption-performance"/>
    <w:p>
      <w:pPr>
        <w:pStyle w:val="Heading2"/>
      </w:pPr>
      <w:r>
        <w:t xml:space="preserve">Homomorphic Encryption Performance</w:t>
      </w:r>
    </w:p>
    <w:bookmarkStart w:id="64" w:name="tab:he_perf"/>
    <w:p>
      <w:pPr>
        <w:pStyle w:val="TableCaption"/>
      </w:pPr>
      <w:r>
        <w:t xml:space="preserve">Homomorphic Vital Signs Performance</w:t>
      </w:r>
    </w:p>
    <w:tbl>
      <w:tblPr>
        <w:tblStyle w:val="Table"/>
        <w:tblW w:type="auto" w:w="0"/>
        <w:tblLook w:firstRow="1" w:lastRow="0" w:firstColumn="0" w:lastColumn="0" w:noHBand="0" w:noVBand="0" w:val="0020"/>
        <w:tblCaption w:val="Homomorphic Vital Signs Performance"/>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center"/>
            </w:pPr>
            <w:r>
              <w:rPr>
                <w:b/>
                <w:bCs/>
              </w:rPr>
              <w:t xml:space="preserve">Latency</w:t>
            </w:r>
          </w:p>
        </w:tc>
        <w:tc>
          <w:tcPr/>
          <w:p>
            <w:pPr>
              <w:pStyle w:val="Compact"/>
              <w:jc w:val="center"/>
            </w:pPr>
            <w:r>
              <w:rPr>
                <w:b/>
                <w:bCs/>
              </w:rPr>
              <w:t xml:space="preserve">CT Size</w:t>
            </w:r>
          </w:p>
        </w:tc>
        <w:tc>
          <w:tcPr/>
          <w:p>
            <w:pPr>
              <w:pStyle w:val="Compact"/>
              <w:jc w:val="center"/>
            </w:pPr>
            <w:r>
              <w:rPr>
                <w:b/>
                <w:bCs/>
              </w:rPr>
              <w:t xml:space="preserve">Notes</w:t>
            </w:r>
          </w:p>
        </w:tc>
      </w:tr>
      <w:tr>
        <w:tc>
          <w:tcPr/>
          <w:p>
            <w:pPr>
              <w:pStyle w:val="Compact"/>
              <w:jc w:val="left"/>
            </w:pPr>
            <w:r>
              <w:t xml:space="preserve">Key generation (2048-bit)</w:t>
            </w:r>
          </w:p>
        </w:tc>
        <w:tc>
          <w:tcPr/>
          <w:p>
            <w:pPr>
              <w:pStyle w:val="Compact"/>
              <w:jc w:val="center"/>
            </w:pPr>
            <w:r>
              <w:t xml:space="preserve">1.2 s</w:t>
            </w:r>
          </w:p>
        </w:tc>
        <w:tc>
          <w:tcPr/>
          <w:p>
            <w:pPr>
              <w:pStyle w:val="Compact"/>
              <w:jc w:val="center"/>
            </w:pPr>
            <w:r>
              <w:t xml:space="preserve">—</w:t>
            </w:r>
          </w:p>
        </w:tc>
        <w:tc>
          <w:tcPr/>
          <w:p>
            <w:pPr>
              <w:pStyle w:val="Compact"/>
              <w:jc w:val="center"/>
            </w:pPr>
            <w:r>
              <w:t xml:space="preserve">One-time</w:t>
            </w:r>
          </w:p>
        </w:tc>
      </w:tr>
      <w:tr>
        <w:tc>
          <w:tcPr/>
          <w:p>
            <w:pPr>
              <w:pStyle w:val="Compact"/>
              <w:jc w:val="left"/>
            </w:pPr>
            <w:r>
              <w:t xml:space="preserve">Vital encryption</w:t>
            </w:r>
          </w:p>
        </w:tc>
        <w:tc>
          <w:tcPr/>
          <w:p>
            <w:pPr>
              <w:pStyle w:val="Compact"/>
              <w:jc w:val="center"/>
            </w:pPr>
            <w:r>
              <w:t xml:space="preserve">1–10 ms</w:t>
            </w:r>
          </w:p>
        </w:tc>
        <w:tc>
          <w:tcPr/>
          <w:p>
            <w:pPr>
              <w:pStyle w:val="Compact"/>
              <w:jc w:val="center"/>
            </w:pPr>
            <w:r>
              <w:t xml:space="preserve">512 B</w:t>
            </w:r>
          </w:p>
        </w:tc>
        <w:tc>
          <w:tcPr/>
          <w:p>
            <w:pPr>
              <w:pStyle w:val="Compact"/>
              <w:jc w:val="center"/>
            </w:pPr>
            <w:r>
              <w:t xml:space="preserve">Per vital</w:t>
            </w:r>
          </w:p>
        </w:tc>
      </w:tr>
      <w:tr>
        <w:tc>
          <w:tcPr/>
          <w:p>
            <w:pPr>
              <w:pStyle w:val="Compact"/>
              <w:jc w:val="left"/>
            </w:pPr>
            <w:r>
              <w:t xml:space="preserve">Homomorphic add</w:t>
            </w:r>
          </w:p>
        </w:tc>
        <w:tc>
          <w:tcPr/>
          <w:p>
            <w:pPr>
              <w:pStyle w:val="Compact"/>
              <w:jc w:val="center"/>
            </w:pPr>
            <w:r>
              <w:t xml:space="preserve">0.5 ms</w:t>
            </w:r>
          </w:p>
        </w:tc>
        <w:tc>
          <w:tcPr/>
          <w:p>
            <w:pPr>
              <w:pStyle w:val="Compact"/>
              <w:jc w:val="center"/>
            </w:pPr>
            <w:r>
              <w:t xml:space="preserve">512 B</w:t>
            </w:r>
          </w:p>
        </w:tc>
        <w:tc>
          <w:tcPr/>
          <w:p>
            <w:pPr>
              <w:pStyle w:val="Compact"/>
              <w:jc w:val="center"/>
            </w:pPr>
            <w:r>
              <w:t xml:space="preserve">Per pair</w:t>
            </w:r>
          </w:p>
        </w:tc>
      </w:tr>
      <w:tr>
        <w:tc>
          <w:tcPr/>
          <w:p>
            <w:pPr>
              <w:pStyle w:val="Compact"/>
              <w:jc w:val="left"/>
            </w:pPr>
            <w:r>
              <w:t xml:space="preserve">Scalar multiply</w:t>
            </w:r>
          </w:p>
        </w:tc>
        <w:tc>
          <w:tcPr/>
          <w:p>
            <w:pPr>
              <w:pStyle w:val="Compact"/>
              <w:jc w:val="center"/>
            </w:pPr>
            <w:r>
              <w:t xml:space="preserve">1.2 ms</w:t>
            </w:r>
          </w:p>
        </w:tc>
        <w:tc>
          <w:tcPr/>
          <w:p>
            <w:pPr>
              <w:pStyle w:val="Compact"/>
              <w:jc w:val="center"/>
            </w:pPr>
            <w:r>
              <w:t xml:space="preserve">512 B</w:t>
            </w:r>
          </w:p>
        </w:tc>
        <w:tc>
          <w:tcPr/>
          <w:p>
            <w:pPr>
              <w:pStyle w:val="Compact"/>
              <w:jc w:val="center"/>
            </w:pPr>
            <w:r>
              <w:t xml:space="preserve">Per operation</w:t>
            </w:r>
          </w:p>
        </w:tc>
      </w:tr>
      <w:tr>
        <w:tc>
          <w:tcPr/>
          <w:p>
            <w:pPr>
              <w:pStyle w:val="Compact"/>
              <w:jc w:val="left"/>
            </w:pPr>
            <w:r>
              <w:t xml:space="preserve">Aggregate (</w:t>
            </w:r>
            <m:oMath>
              <m:r>
                <m:t>N</m:t>
              </m:r>
              <m:r>
                <m:rPr>
                  <m:sty m:val="p"/>
                </m:rPr>
                <m:t>=</m:t>
              </m:r>
              <m:r>
                <m:t>100</m:t>
              </m:r>
            </m:oMath>
            <w:r>
              <w:t xml:space="preserve">)</w:t>
            </w:r>
          </w:p>
        </w:tc>
        <w:tc>
          <w:tcPr/>
          <w:p>
            <w:pPr>
              <w:pStyle w:val="Compact"/>
              <w:jc w:val="center"/>
            </w:pPr>
            <w:r>
              <w:t xml:space="preserve">48 ms</w:t>
            </w:r>
          </w:p>
        </w:tc>
        <w:tc>
          <w:tcPr/>
          <w:p>
            <w:pPr>
              <w:pStyle w:val="Compact"/>
              <w:jc w:val="center"/>
            </w:pPr>
            <w:r>
              <w:t xml:space="preserve">512 B</w:t>
            </w:r>
          </w:p>
        </w:tc>
        <w:tc>
          <w:tcPr/>
          <w:p>
            <w:pPr>
              <w:pStyle w:val="Compact"/>
              <w:jc w:val="center"/>
            </w:pPr>
            <m:oMath>
              <m:r>
                <m:t>O</m:t>
              </m:r>
              <m:r>
                <m:rPr>
                  <m:sty m:val="p"/>
                </m:rPr>
                <m:t>(</m:t>
              </m:r>
              <m:r>
                <m:t>N</m:t>
              </m:r>
              <m:r>
                <m:rPr>
                  <m:sty m:val="p"/>
                </m:rPr>
                <m:t>)</m:t>
              </m:r>
            </m:oMath>
          </w:p>
        </w:tc>
      </w:tr>
      <w:tr>
        <w:tc>
          <w:tcPr/>
          <w:p>
            <w:pPr>
              <w:pStyle w:val="Compact"/>
              <w:jc w:val="left"/>
            </w:pPr>
            <w:r>
              <w:t xml:space="preserve">Aggregate (</w:t>
            </w:r>
            <m:oMath>
              <m:r>
                <m:t>N</m:t>
              </m:r>
              <m:r>
                <m:rPr>
                  <m:sty m:val="p"/>
                </m:rPr>
                <m:t>=</m:t>
              </m:r>
              <m:r>
                <m:t>1</m:t>
              </m:r>
              <m:r>
                <m:rPr>
                  <m:sty m:val="p"/>
                </m:rPr>
                <m:t>,</m:t>
              </m:r>
              <m:r>
                <m:t>000</m:t>
              </m:r>
            </m:oMath>
            <w:r>
              <w:t xml:space="preserve">)</w:t>
            </w:r>
          </w:p>
        </w:tc>
        <w:tc>
          <w:tcPr/>
          <w:p>
            <w:pPr>
              <w:pStyle w:val="Compact"/>
              <w:jc w:val="center"/>
            </w:pPr>
            <w:r>
              <w:t xml:space="preserve">470 ms</w:t>
            </w:r>
          </w:p>
        </w:tc>
        <w:tc>
          <w:tcPr/>
          <w:p>
            <w:pPr>
              <w:pStyle w:val="Compact"/>
              <w:jc w:val="center"/>
            </w:pPr>
            <w:r>
              <w:t xml:space="preserve">512 B</w:t>
            </w:r>
          </w:p>
        </w:tc>
        <w:tc>
          <w:tcPr/>
          <w:p>
            <w:pPr>
              <w:pStyle w:val="Compact"/>
              <w:jc w:val="center"/>
            </w:pPr>
            <m:oMath>
              <m:r>
                <m:t>O</m:t>
              </m:r>
              <m:r>
                <m:rPr>
                  <m:sty m:val="p"/>
                </m:rPr>
                <m:t>(</m:t>
              </m:r>
              <m:r>
                <m:t>N</m:t>
              </m:r>
              <m:r>
                <m:rPr>
                  <m:sty m:val="p"/>
                </m:rPr>
                <m:t>)</m:t>
              </m:r>
            </m:oMath>
          </w:p>
        </w:tc>
      </w:tr>
      <w:tr>
        <w:tc>
          <w:tcPr/>
          <w:p>
            <w:pPr>
              <w:pStyle w:val="Compact"/>
              <w:jc w:val="left"/>
            </w:pPr>
            <w:r>
              <w:t xml:space="preserve">Decryption + DP noise</w:t>
            </w:r>
          </w:p>
        </w:tc>
        <w:tc>
          <w:tcPr/>
          <w:p>
            <w:pPr>
              <w:pStyle w:val="Compact"/>
              <w:jc w:val="center"/>
            </w:pPr>
            <w:r>
              <w:t xml:space="preserve">1–10 ms</w:t>
            </w:r>
          </w:p>
        </w:tc>
        <w:tc>
          <w:tcPr/>
          <w:p>
            <w:pPr>
              <w:pStyle w:val="Compact"/>
              <w:jc w:val="center"/>
            </w:pPr>
            <w:r>
              <w:t xml:space="preserve">—</w:t>
            </w:r>
          </w:p>
        </w:tc>
        <w:tc>
          <w:tcPr/>
          <w:p>
            <w:pPr>
              <w:pStyle w:val="Compact"/>
              <w:jc w:val="center"/>
            </w:pPr>
            <w:r>
              <w:t xml:space="preserve">Per aggregate</w:t>
            </w:r>
          </w:p>
        </w:tc>
      </w:tr>
    </w:tbl>
    <w:bookmarkEnd w:id="64"/>
    <w:p>
      <w:pPr>
        <w:pStyle w:val="BodyText"/>
      </w:pPr>
      <w:r>
        <w:t xml:space="preserve">The fixed-point encoding with scale factor</w:t>
      </w:r>
      <w:r>
        <w:t xml:space="preserve"> </w:t>
      </w:r>
      <m:oMath>
        <m:r>
          <m:t>s</m:t>
        </m:r>
        <m:r>
          <m:rPr>
            <m:sty m:val="p"/>
          </m:rPr>
          <m:t>=</m:t>
        </m:r>
        <m:r>
          <m:t>100</m:t>
        </m:r>
      </m:oMath>
      <w:r>
        <w:t xml:space="preserve"> </w:t>
      </w:r>
      <w:r>
        <w:t xml:space="preserve">introduces at most</w:t>
      </w:r>
      <w:r>
        <w:t xml:space="preserve"> </w:t>
      </w:r>
      <m:oMath>
        <m:r>
          <m:rPr>
            <m:sty m:val="p"/>
          </m:rPr>
          <m:t>±</m:t>
        </m:r>
        <m:r>
          <m:t>0.005</m:t>
        </m:r>
      </m:oMath>
      <w:r>
        <w:t xml:space="preserve"> </w:t>
      </w:r>
      <w:r>
        <w:t xml:space="preserve">rounding error per value, which is clinically negligible for all supported vital types.</w:t>
      </w:r>
    </w:p>
    <w:bookmarkEnd w:id="65"/>
    <w:bookmarkStart w:id="67" w:name="verifiable-credential-performance"/>
    <w:p>
      <w:pPr>
        <w:pStyle w:val="Heading2"/>
      </w:pPr>
      <w:r>
        <w:t xml:space="preserve">Verifiable Credential Performance</w:t>
      </w:r>
    </w:p>
    <w:bookmarkStart w:id="66" w:name="tab:vc_perf"/>
    <w:p>
      <w:pPr>
        <w:pStyle w:val="TableCaption"/>
      </w:pPr>
      <w:r>
        <w:t xml:space="preserve">Verifiable Credential Performance</w:t>
      </w:r>
    </w:p>
    <w:tbl>
      <w:tblPr>
        <w:tblStyle w:val="Table"/>
        <w:tblW w:type="auto" w:w="0"/>
        <w:tblLook w:firstRow="1" w:lastRow="0" w:firstColumn="0" w:lastColumn="0" w:noHBand="0" w:noVBand="0" w:val="0020"/>
        <w:tblCaption w:val="Verifiable Credential Performance"/>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Latency (ms)</w:t>
            </w:r>
          </w:p>
        </w:tc>
        <w:tc>
          <w:tcPr/>
          <w:p>
            <w:pPr>
              <w:pStyle w:val="Compact"/>
              <w:jc w:val="center"/>
            </w:pPr>
            <w:r>
              <w:rPr>
                <w:b/>
                <w:bCs/>
              </w:rPr>
              <w:t xml:space="preserve">Size (B)</w:t>
            </w:r>
          </w:p>
        </w:tc>
      </w:tr>
      <w:tr>
        <w:tc>
          <w:tcPr/>
          <w:p>
            <w:pPr>
              <w:pStyle w:val="Compact"/>
              <w:jc w:val="left"/>
            </w:pPr>
            <w:r>
              <w:t xml:space="preserve">Issuer key generation (</w:t>
            </w:r>
            <w:r>
              <w:t xml:space="preserve">ML-DSA</w:t>
            </w:r>
            <w:r>
              <w:t xml:space="preserve">-65)</w:t>
            </w:r>
          </w:p>
        </w:tc>
        <w:tc>
          <w:tcPr/>
          <w:p>
            <w:pPr>
              <w:pStyle w:val="Compact"/>
              <w:jc w:val="center"/>
            </w:pPr>
            <w:r>
              <w:t xml:space="preserve">1.5</w:t>
            </w:r>
          </w:p>
        </w:tc>
        <w:tc>
          <w:tcPr/>
          <w:p>
            <w:pPr>
              <w:pStyle w:val="Compact"/>
              <w:jc w:val="center"/>
            </w:pPr>
            <w:r>
              <w:t xml:space="preserve">—</w:t>
            </w:r>
          </w:p>
        </w:tc>
      </w:tr>
      <w:tr>
        <w:tc>
          <w:tcPr/>
          <w:p>
            <w:pPr>
              <w:pStyle w:val="Compact"/>
              <w:jc w:val="left"/>
            </w:pPr>
            <w:r>
              <w:t xml:space="preserve">Credential issuance (6 claims)</w:t>
            </w:r>
          </w:p>
        </w:tc>
        <w:tc>
          <w:tcPr/>
          <w:p>
            <w:pPr>
              <w:pStyle w:val="Compact"/>
              <w:jc w:val="center"/>
            </w:pPr>
            <w:r>
              <w:t xml:space="preserve">8.3</w:t>
            </w:r>
          </w:p>
        </w:tc>
        <w:tc>
          <w:tcPr/>
          <w:p>
            <w:pPr>
              <w:pStyle w:val="Compact"/>
              <w:jc w:val="center"/>
            </w:pPr>
            <w:r>
              <w:t xml:space="preserve">—</w:t>
            </w:r>
          </w:p>
        </w:tc>
      </w:tr>
      <w:tr>
        <w:tc>
          <w:tcPr/>
          <w:p>
            <w:pPr>
              <w:pStyle w:val="Compact"/>
              <w:jc w:val="left"/>
            </w:pPr>
            <w:r>
              <w:t xml:space="preserve">Issuer signature</w:t>
            </w:r>
          </w:p>
        </w:tc>
        <w:tc>
          <w:tcPr/>
          <w:p>
            <w:pPr>
              <w:pStyle w:val="Compact"/>
              <w:jc w:val="center"/>
            </w:pPr>
            <w:r>
              <w:t xml:space="preserve">6.2</w:t>
            </w:r>
          </w:p>
        </w:tc>
        <w:tc>
          <w:tcPr/>
          <w:p>
            <w:pPr>
              <w:pStyle w:val="Compact"/>
              <w:jc w:val="center"/>
            </w:pPr>
            <w:r>
              <w:t xml:space="preserve">3</w:t>
            </w:r>
            <w:r>
              <w:t xml:space="preserve">,</w:t>
            </w:r>
            <w:r>
              <w:t xml:space="preserve">293</w:t>
            </w:r>
          </w:p>
        </w:tc>
      </w:tr>
      <w:tr>
        <w:tc>
          <w:tcPr/>
          <w:p>
            <w:pPr>
              <w:pStyle w:val="Compact"/>
              <w:jc w:val="left"/>
            </w:pPr>
            <w:r>
              <w:t xml:space="preserve">Merkle tree construction (6 leaves)</w:t>
            </w:r>
          </w:p>
        </w:tc>
        <w:tc>
          <w:tcPr/>
          <w:p>
            <w:pPr>
              <w:pStyle w:val="Compact"/>
              <w:jc w:val="center"/>
            </w:pPr>
            <w:r>
              <w:t xml:space="preserve">0.02</w:t>
            </w:r>
          </w:p>
        </w:tc>
        <w:tc>
          <w:tcPr/>
          <w:p>
            <w:pPr>
              <w:pStyle w:val="Compact"/>
              <w:jc w:val="center"/>
            </w:pPr>
            <w:r>
              <w:t xml:space="preserve">—</w:t>
            </w:r>
          </w:p>
        </w:tc>
      </w:tr>
      <w:tr>
        <w:tc>
          <w:tcPr/>
          <w:p>
            <w:pPr>
              <w:pStyle w:val="Compact"/>
              <w:jc w:val="left"/>
            </w:pPr>
            <w:r>
              <w:t xml:space="preserve">Merkle root</w:t>
            </w:r>
          </w:p>
        </w:tc>
        <w:tc>
          <w:tcPr/>
          <w:p>
            <w:pPr>
              <w:pStyle w:val="Compact"/>
              <w:jc w:val="center"/>
            </w:pPr>
            <w:r>
              <w:t xml:space="preserve">—</w:t>
            </w:r>
          </w:p>
        </w:tc>
        <w:tc>
          <w:tcPr/>
          <w:p>
            <w:pPr>
              <w:pStyle w:val="Compact"/>
              <w:jc w:val="center"/>
            </w:pPr>
            <w:r>
              <w:t xml:space="preserve">32</w:t>
            </w:r>
          </w:p>
        </w:tc>
      </w:tr>
      <w:tr>
        <w:tc>
          <w:tcPr/>
          <w:p>
            <w:pPr>
              <w:pStyle w:val="Compact"/>
              <w:jc w:val="left"/>
            </w:pPr>
            <w:r>
              <w:t xml:space="preserve">Merkle proof per claim</w:t>
            </w:r>
          </w:p>
        </w:tc>
        <w:tc>
          <w:tcPr/>
          <w:p>
            <w:pPr>
              <w:pStyle w:val="Compact"/>
              <w:jc w:val="center"/>
            </w:pPr>
            <w:r>
              <w:t xml:space="preserve">0.01</w:t>
            </w:r>
          </w:p>
        </w:tc>
        <w:tc>
          <w:tcPr/>
          <w:p>
            <w:pPr>
              <w:pStyle w:val="Compact"/>
              <w:jc w:val="center"/>
            </w:pPr>
            <w:r>
              <w:t xml:space="preserve">32–96</w:t>
            </w:r>
          </w:p>
        </w:tc>
      </w:tr>
      <w:tr>
        <w:tc>
          <w:tcPr/>
          <w:p>
            <w:pPr>
              <w:pStyle w:val="Compact"/>
              <w:jc w:val="left"/>
            </w:pPr>
            <w:r>
              <w:t xml:space="preserve">Presentation creation (3 disclosed)</w:t>
            </w:r>
          </w:p>
        </w:tc>
        <w:tc>
          <w:tcPr/>
          <w:p>
            <w:pPr>
              <w:pStyle w:val="Compact"/>
              <w:jc w:val="center"/>
            </w:pPr>
            <w:r>
              <w:t xml:space="preserve">9.1</w:t>
            </w:r>
          </w:p>
        </w:tc>
        <w:tc>
          <w:tcPr/>
          <w:p>
            <w:pPr>
              <w:pStyle w:val="Compact"/>
              <w:jc w:val="center"/>
            </w:pPr>
            <w:r>
              <w:t xml:space="preserve">—</w:t>
            </w:r>
          </w:p>
        </w:tc>
      </w:tr>
      <w:tr>
        <w:tc>
          <w:tcPr/>
          <w:p>
            <w:pPr>
              <w:pStyle w:val="Compact"/>
              <w:jc w:val="left"/>
            </w:pPr>
            <w:r>
              <w:t xml:space="preserve">Holder signature</w:t>
            </w:r>
          </w:p>
        </w:tc>
        <w:tc>
          <w:tcPr/>
          <w:p>
            <w:pPr>
              <w:pStyle w:val="Compact"/>
              <w:jc w:val="center"/>
            </w:pPr>
            <w:r>
              <w:t xml:space="preserve">6.0</w:t>
            </w:r>
          </w:p>
        </w:tc>
        <w:tc>
          <w:tcPr/>
          <w:p>
            <w:pPr>
              <w:pStyle w:val="Compact"/>
              <w:jc w:val="center"/>
            </w:pPr>
            <w:r>
              <w:t xml:space="preserve">3</w:t>
            </w:r>
            <w:r>
              <w:t xml:space="preserve">,</w:t>
            </w:r>
            <w:r>
              <w:t xml:space="preserve">293</w:t>
            </w:r>
          </w:p>
        </w:tc>
      </w:tr>
      <w:tr>
        <w:tc>
          <w:tcPr/>
          <w:p>
            <w:pPr>
              <w:pStyle w:val="Compact"/>
              <w:jc w:val="left"/>
            </w:pPr>
            <w:r>
              <w:t xml:space="preserve">Presentation verification</w:t>
            </w:r>
          </w:p>
        </w:tc>
        <w:tc>
          <w:tcPr/>
          <w:p>
            <w:pPr>
              <w:pStyle w:val="Compact"/>
              <w:jc w:val="center"/>
            </w:pPr>
            <w:r>
              <w:t xml:space="preserve">4.2</w:t>
            </w:r>
          </w:p>
        </w:tc>
        <w:tc>
          <w:tcPr/>
          <w:p>
            <w:pPr>
              <w:pStyle w:val="Compact"/>
              <w:jc w:val="center"/>
            </w:pPr>
            <w:r>
              <w:t xml:space="preserve">—</w:t>
            </w:r>
          </w:p>
        </w:tc>
      </w:tr>
      <w:tr>
        <w:tc>
          <w:tcPr/>
          <w:p>
            <w:pPr>
              <w:pStyle w:val="Compact"/>
              <w:jc w:val="left"/>
            </w:pPr>
            <w:r>
              <w:t xml:space="preserve">Revocation check</w:t>
            </w:r>
          </w:p>
        </w:tc>
        <w:tc>
          <w:tcPr/>
          <w:p>
            <w:pPr>
              <w:pStyle w:val="Compact"/>
              <w:jc w:val="center"/>
            </w:pPr>
            <w:r>
              <w:t xml:space="preserve">0.5</w:t>
            </w:r>
          </w:p>
        </w:tc>
        <w:tc>
          <w:tcPr/>
          <w:p>
            <w:pPr>
              <w:pStyle w:val="Compact"/>
              <w:jc w:val="center"/>
            </w:pPr>
            <w:r>
              <w:t xml:space="preserve">—</w:t>
            </w:r>
          </w:p>
        </w:tc>
      </w:tr>
    </w:tbl>
    <w:bookmarkEnd w:id="66"/>
    <w:p>
      <w:pPr>
        <w:pStyle w:val="BodyText"/>
      </w:pPr>
      <w:r>
        <w:t xml:space="preserve">The dominant cost is</w:t>
      </w:r>
      <w:r>
        <w:t xml:space="preserve"> </w:t>
      </w:r>
      <w:r>
        <w:t xml:space="preserve">ML-DSA</w:t>
      </w:r>
      <w:r>
        <w:t xml:space="preserve">-65 signing (6.0–6.2 ms), which determines the end-to-end credential issuance and presentation latency. Merkle tree operations are negligible. The total presentation size for 3 disclosed claims is approximately 6</w:t>
      </w:r>
      <w:r>
        <w:t xml:space="preserve">,</w:t>
      </w:r>
      <w:r>
        <w:t xml:space="preserve">800 bytes (two</w:t>
      </w:r>
      <w:r>
        <w:t xml:space="preserve"> </w:t>
      </w:r>
      <w:r>
        <w:t xml:space="preserve">ML-DSA</w:t>
      </w:r>
      <w:r>
        <w:t xml:space="preserve">-65 signatures, disclosed claims, Merkle proofs, and metadata).</w:t>
      </w:r>
    </w:p>
    <w:bookmarkEnd w:id="67"/>
    <w:bookmarkStart w:id="69" w:name="constrained-device-performance"/>
    <w:p>
      <w:pPr>
        <w:pStyle w:val="Heading2"/>
      </w:pPr>
      <w:r>
        <w:t xml:space="preserve">Constrained Device Performance</w:t>
      </w:r>
    </w:p>
    <w:bookmarkStart w:id="68" w:name="tab:device_perf"/>
    <w:p>
      <w:pPr>
        <w:pStyle w:val="TableCaption"/>
      </w:pPr>
      <w:r>
        <w:t xml:space="preserve">Constrained Device Performance Estimates</w:t>
      </w:r>
    </w:p>
    <w:tbl>
      <w:tblPr>
        <w:tblStyle w:val="Table"/>
        <w:tblW w:type="auto" w:w="0"/>
        <w:tblLook w:firstRow="0" w:lastRow="0" w:firstColumn="0" w:lastColumn="0" w:noHBand="0" w:noVBand="0" w:val="0000"/>
        <w:tblCaption w:val="Constrained Device Performance Estimates"/>
      </w:tblPr>
      <w:tblGrid>
        <w:gridCol w:w="1584"/>
        <w:gridCol w:w="1584"/>
        <w:gridCol w:w="1584"/>
        <w:gridCol w:w="1584"/>
        <w:gridCol w:w="1584"/>
      </w:tblGrid>
      <w:tr>
        <w:tc>
          <w:tcPr/>
          <w:p>
            <w:pPr>
              <w:pStyle w:val="Compact"/>
              <w:jc w:val="left"/>
            </w:pPr>
            <w:r>
              <w:rPr>
                <w:b/>
                <w:bCs/>
              </w:rPr>
              <w:t xml:space="preserve">Operation</w:t>
            </w:r>
          </w:p>
        </w:tc>
        <w:tc>
          <w:tcPr/>
          <w:p>
            <w:pPr>
              <w:pStyle w:val="Compact"/>
              <w:jc w:val="center"/>
            </w:pPr>
            <w:r>
              <w:rPr>
                <w:b/>
                <w:bCs/>
              </w:rPr>
              <w:t xml:space="preserve">Pacemaker</w:t>
            </w:r>
          </w:p>
        </w:tc>
        <w:tc>
          <w:tcPr/>
          <w:p>
            <w:pPr>
              <w:pStyle w:val="Compact"/>
              <w:jc w:val="center"/>
            </w:pPr>
            <w:r>
              <w:rPr>
                <w:b/>
                <w:bCs/>
              </w:rPr>
              <w:t xml:space="preserve">Insulin</w:t>
            </w:r>
          </w:p>
        </w:tc>
        <w:tc>
          <w:tcPr/>
          <w:p>
            <w:pPr>
              <w:pStyle w:val="Compact"/>
              <w:jc w:val="center"/>
            </w:pPr>
            <w:r>
              <w:rPr>
                <w:b/>
                <w:bCs/>
              </w:rPr>
              <w:t xml:space="preserve">ICD</w:t>
            </w:r>
          </w:p>
        </w:tc>
        <w:tc>
          <w:tcPr/>
          <w:p>
            <w:pPr>
              <w:pStyle w:val="Compact"/>
              <w:jc w:val="center"/>
            </w:pPr>
            <w:r>
              <w:rPr>
                <w:b/>
                <w:bCs/>
              </w:rPr>
              <w:t xml:space="preserve">Server</w:t>
            </w:r>
          </w:p>
        </w:tc>
      </w:tr>
      <w:tr>
        <w:tc>
          <w:tcPr/>
          <w:p>
            <w:pPr>
              <w:pStyle w:val="Compact"/>
            </w:pPr>
          </w:p>
        </w:tc>
        <w:tc>
          <w:tcPr/>
          <w:p>
            <w:pPr>
              <w:pStyle w:val="Compact"/>
              <w:jc w:val="center"/>
            </w:pPr>
            <w:r>
              <w:rPr>
                <w:b/>
                <w:bCs/>
              </w:rPr>
              <w:t xml:space="preserve">(16 MHz)</w:t>
            </w:r>
          </w:p>
        </w:tc>
        <w:tc>
          <w:tcPr/>
          <w:p>
            <w:pPr>
              <w:pStyle w:val="Compact"/>
              <w:jc w:val="center"/>
            </w:pPr>
            <w:r>
              <w:rPr>
                <w:b/>
                <w:bCs/>
              </w:rPr>
              <w:t xml:space="preserve">(48 MHz)</w:t>
            </w:r>
          </w:p>
        </w:tc>
        <w:tc>
          <w:tcPr/>
          <w:p>
            <w:pPr>
              <w:pStyle w:val="Compact"/>
              <w:jc w:val="center"/>
            </w:pPr>
            <w:r>
              <w:rPr>
                <w:b/>
                <w:bCs/>
              </w:rPr>
              <w:t xml:space="preserve">(24 MHz)</w:t>
            </w:r>
          </w:p>
        </w:tc>
        <w:tc>
          <w:tcPr/>
          <w:p>
            <w:pPr>
              <w:pStyle w:val="Compact"/>
              <w:jc w:val="center"/>
            </w:pPr>
            <w:r>
              <w:rPr>
                <w:b/>
                <w:bCs/>
              </w:rPr>
              <w:t xml:space="preserve">(2.4 GHz)</w:t>
            </w:r>
          </w:p>
        </w:tc>
      </w:tr>
      <w:tr>
        <w:tc>
          <w:tcPr/>
          <w:p>
            <w:pPr>
              <w:pStyle w:val="Compact"/>
              <w:jc w:val="left"/>
            </w:pPr>
            <w:r>
              <w:t xml:space="preserve">ML-KEM</w:t>
            </w:r>
            <w:r>
              <w:t xml:space="preserve"> </w:t>
            </w:r>
            <w:r>
              <w:t xml:space="preserve">encap</w:t>
            </w:r>
          </w:p>
        </w:tc>
        <w:tc>
          <w:tcPr/>
          <w:p>
            <w:pPr>
              <w:pStyle w:val="Compact"/>
              <w:jc w:val="center"/>
            </w:pPr>
            <w:r>
              <w:t xml:space="preserve">52 ms</w:t>
            </w:r>
          </w:p>
        </w:tc>
        <w:tc>
          <w:tcPr/>
          <w:p>
            <w:pPr>
              <w:pStyle w:val="Compact"/>
              <w:jc w:val="center"/>
            </w:pPr>
            <w:r>
              <w:t xml:space="preserve">12 ms</w:t>
            </w:r>
          </w:p>
        </w:tc>
        <w:tc>
          <w:tcPr/>
          <w:p>
            <w:pPr>
              <w:pStyle w:val="Compact"/>
              <w:jc w:val="center"/>
            </w:pPr>
            <w:r>
              <w:t xml:space="preserve">28 ms</w:t>
            </w:r>
          </w:p>
        </w:tc>
        <w:tc>
          <w:tcPr/>
          <w:p>
            <w:pPr>
              <w:pStyle w:val="Compact"/>
              <w:jc w:val="center"/>
            </w:pPr>
            <w:r>
              <w:t xml:space="preserve">0.8 ms</w:t>
            </w:r>
          </w:p>
        </w:tc>
      </w:tr>
      <w:tr>
        <w:tc>
          <w:tcPr/>
          <w:p>
            <w:pPr>
              <w:pStyle w:val="Compact"/>
              <w:jc w:val="left"/>
            </w:pPr>
            <w:r>
              <w:t xml:space="preserve">Session (cached)</w:t>
            </w:r>
          </w:p>
        </w:tc>
        <w:tc>
          <w:tcPr/>
          <w:p>
            <w:pPr>
              <w:pStyle w:val="Compact"/>
              <w:jc w:val="center"/>
            </w:pPr>
            <w:r>
              <w:t xml:space="preserve">0.01 ms</w:t>
            </w:r>
          </w:p>
        </w:tc>
        <w:tc>
          <w:tcPr/>
          <w:p>
            <w:pPr>
              <w:pStyle w:val="Compact"/>
              <w:jc w:val="center"/>
            </w:pPr>
            <w:r>
              <w:t xml:space="preserve">0.01 ms</w:t>
            </w:r>
          </w:p>
        </w:tc>
        <w:tc>
          <w:tcPr/>
          <w:p>
            <w:pPr>
              <w:pStyle w:val="Compact"/>
              <w:jc w:val="center"/>
            </w:pPr>
            <w:r>
              <w:t xml:space="preserve">0.01 ms</w:t>
            </w:r>
          </w:p>
        </w:tc>
        <w:tc>
          <w:tcPr/>
          <w:p>
            <w:pPr>
              <w:pStyle w:val="Compact"/>
              <w:jc w:val="center"/>
            </w:pPr>
            <w:r>
              <w:t xml:space="preserve">0.01 ms</w:t>
            </w:r>
          </w:p>
        </w:tc>
      </w:tr>
      <w:tr>
        <w:tc>
          <w:tcPr/>
          <w:p>
            <w:pPr>
              <w:pStyle w:val="Compact"/>
              <w:jc w:val="left"/>
            </w:pPr>
            <w:r>
              <w:t xml:space="preserve">Session (pool)</w:t>
            </w:r>
          </w:p>
        </w:tc>
        <w:tc>
          <w:tcPr/>
          <w:p>
            <w:pPr>
              <w:pStyle w:val="Compact"/>
              <w:jc w:val="center"/>
            </w:pPr>
            <w:r>
              <w:t xml:space="preserve">0.02 ms</w:t>
            </w:r>
          </w:p>
        </w:tc>
        <w:tc>
          <w:tcPr/>
          <w:p>
            <w:pPr>
              <w:pStyle w:val="Compact"/>
              <w:jc w:val="center"/>
            </w:pPr>
            <w:r>
              <w:t xml:space="preserve">0.02 ms</w:t>
            </w:r>
          </w:p>
        </w:tc>
        <w:tc>
          <w:tcPr/>
          <w:p>
            <w:pPr>
              <w:pStyle w:val="Compact"/>
              <w:jc w:val="center"/>
            </w:pPr>
            <w:r>
              <w:t xml:space="preserve">0.02 ms</w:t>
            </w:r>
          </w:p>
        </w:tc>
        <w:tc>
          <w:tcPr/>
          <w:p>
            <w:pPr>
              <w:pStyle w:val="Compact"/>
              <w:jc w:val="center"/>
            </w:pPr>
            <w:r>
              <w:t xml:space="preserve">0.02 ms</w:t>
            </w:r>
          </w:p>
        </w:tc>
      </w:tr>
      <w:tr>
        <w:tc>
          <w:tcPr/>
          <w:p>
            <w:pPr>
              <w:pStyle w:val="Compact"/>
              <w:jc w:val="left"/>
            </w:pPr>
            <w:r>
              <w:t xml:space="preserve">AES-GCM (256 B)</w:t>
            </w:r>
          </w:p>
        </w:tc>
        <w:tc>
          <w:tcPr/>
          <w:p>
            <w:pPr>
              <w:pStyle w:val="Compact"/>
              <w:jc w:val="center"/>
            </w:pPr>
            <w:r>
              <w:t xml:space="preserve">0.8 ms</w:t>
            </w:r>
          </w:p>
        </w:tc>
        <w:tc>
          <w:tcPr/>
          <w:p>
            <w:pPr>
              <w:pStyle w:val="Compact"/>
              <w:jc w:val="center"/>
            </w:pPr>
            <w:r>
              <w:t xml:space="preserve">0.2 ms</w:t>
            </w:r>
          </w:p>
        </w:tc>
        <w:tc>
          <w:tcPr/>
          <w:p>
            <w:pPr>
              <w:pStyle w:val="Compact"/>
              <w:jc w:val="center"/>
            </w:pPr>
            <w:r>
              <w:t xml:space="preserve">0.4 ms</w:t>
            </w:r>
          </w:p>
        </w:tc>
        <w:tc>
          <w:tcPr/>
          <w:p>
            <w:pPr>
              <w:pStyle w:val="Compact"/>
              <w:jc w:val="center"/>
            </w:pPr>
            <w:r>
              <w:t xml:space="preserve">0.01 ms</w:t>
            </w:r>
          </w:p>
        </w:tc>
      </w:tr>
      <w:tr>
        <w:tc>
          <w:tcPr/>
          <w:p>
            <w:pPr>
              <w:pStyle w:val="Compact"/>
              <w:jc w:val="left"/>
            </w:pPr>
            <w:r>
              <w:t xml:space="preserve">Falcon-512 sign</w:t>
            </w:r>
          </w:p>
        </w:tc>
        <w:tc>
          <w:tcPr/>
          <w:p>
            <w:pPr>
              <w:pStyle w:val="Compact"/>
              <w:jc w:val="center"/>
            </w:pPr>
            <w:r>
              <w:t xml:space="preserve">N/A</w:t>
            </w:r>
          </w:p>
        </w:tc>
        <w:tc>
          <w:tcPr/>
          <w:p>
            <w:pPr>
              <w:pStyle w:val="Compact"/>
              <w:jc w:val="center"/>
            </w:pPr>
            <w:r>
              <w:t xml:space="preserve">8 ms</w:t>
            </w:r>
          </w:p>
        </w:tc>
        <w:tc>
          <w:tcPr/>
          <w:p>
            <w:pPr>
              <w:pStyle w:val="Compact"/>
              <w:jc w:val="center"/>
            </w:pPr>
            <w:r>
              <w:t xml:space="preserve">N/A</w:t>
            </w:r>
          </w:p>
        </w:tc>
        <w:tc>
          <w:tcPr/>
          <w:p>
            <w:pPr>
              <w:pStyle w:val="Compact"/>
              <w:jc w:val="center"/>
            </w:pPr>
            <w:r>
              <w:t xml:space="preserve">0.5 ms</w:t>
            </w:r>
          </w:p>
        </w:tc>
      </w:tr>
    </w:tbl>
    <w:bookmarkEnd w:id="68"/>
    <w:p>
      <w:pPr>
        <w:pStyle w:val="BodyText"/>
      </w:pPr>
      <w:r>
        <w:t xml:space="preserve">Session key caching provides a</w:t>
      </w:r>
      <w:r>
        <w:t xml:space="preserve"> </w:t>
      </w:r>
      <m:oMath>
        <m:r>
          <m:t>5</m:t>
        </m:r>
        <m:r>
          <m:rPr>
            <m:sty m:val="p"/>
          </m:rPr>
          <m:t>,</m:t>
        </m:r>
        <m:r>
          <m:t>000</m:t>
        </m:r>
        <m:r>
          <m:rPr>
            <m:sty m:val="p"/>
          </m:rPr>
          <m:t>×</m:t>
        </m:r>
      </m:oMath>
      <w:r>
        <w:t xml:space="preserve"> </w:t>
      </w:r>
      <w:r>
        <w:t xml:space="preserve">speedup over runtime</w:t>
      </w:r>
      <w:r>
        <w:t xml:space="preserve"> </w:t>
      </w:r>
      <w:r>
        <w:t xml:space="preserve">ML-KEM</w:t>
      </w:r>
      <w:r>
        <w:t xml:space="preserve"> </w:t>
      </w:r>
      <w:r>
        <w:t xml:space="preserve">encapsulation on the pacemaker profile. The pre-computed key pool eliminates the need for runtime KEM operations entirely during normal operation, with pool exhaustion triggering a replenishment request to the clinical gateway.</w:t>
      </w:r>
    </w:p>
    <w:bookmarkEnd w:id="69"/>
    <w:bookmarkStart w:id="71" w:name="comparison-with-pre-quantum-approaches"/>
    <w:p>
      <w:pPr>
        <w:pStyle w:val="Heading2"/>
      </w:pPr>
      <w:r>
        <w:t xml:space="preserve">Comparison with Pre-Quantum Approaches</w:t>
      </w:r>
    </w:p>
    <w:bookmarkStart w:id="70" w:name="tab:comparison"/>
    <w:p>
      <w:pPr>
        <w:pStyle w:val="TableCaption"/>
      </w:pPr>
      <w:r>
        <w:t xml:space="preserve">PQC vs. Pre-Quantum Comparison</w:t>
      </w:r>
    </w:p>
    <w:tbl>
      <w:tblPr>
        <w:tblStyle w:val="Table"/>
        <w:tblW w:type="auto" w:w="0"/>
        <w:tblLook w:firstRow="1" w:lastRow="0" w:firstColumn="0" w:lastColumn="0" w:noHBand="0" w:noVBand="0" w:val="0020"/>
        <w:tblCaption w:val="PQC vs. Pre-Quantum Comparison"/>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RSA-2048</w:t>
            </w:r>
          </w:p>
        </w:tc>
        <w:tc>
          <w:tcPr/>
          <w:p>
            <w:pPr>
              <w:pStyle w:val="Compact"/>
              <w:jc w:val="center"/>
            </w:pPr>
            <w:r>
              <w:rPr>
                <w:b/>
                <w:bCs/>
              </w:rPr>
              <w:t xml:space="preserve">ECC-256</w:t>
            </w:r>
          </w:p>
        </w:tc>
        <w:tc>
          <w:tcPr/>
          <w:p>
            <w:pPr>
              <w:pStyle w:val="Compact"/>
              <w:jc w:val="center"/>
            </w:pPr>
            <w:r>
              <w:rPr>
                <w:b/>
                <w:bCs/>
              </w:rPr>
              <w:t xml:space="preserve">QBITEL PQC</w:t>
            </w:r>
          </w:p>
        </w:tc>
      </w:tr>
      <w:tr>
        <w:tc>
          <w:tcPr/>
          <w:p>
            <w:pPr>
              <w:pStyle w:val="Compact"/>
              <w:jc w:val="left"/>
            </w:pPr>
            <w:r>
              <w:t xml:space="preserve">Quantum-safe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PRE key size (B)</w:t>
            </w:r>
          </w:p>
        </w:tc>
        <w:tc>
          <w:tcPr/>
          <w:p>
            <w:pPr>
              <w:pStyle w:val="Compact"/>
              <w:jc w:val="center"/>
            </w:pPr>
            <w:r>
              <w:t xml:space="preserve">256</w:t>
            </w:r>
          </w:p>
        </w:tc>
        <w:tc>
          <w:tcPr/>
          <w:p>
            <w:pPr>
              <w:pStyle w:val="Compact"/>
              <w:jc w:val="center"/>
            </w:pPr>
            <w:r>
              <w:t xml:space="preserve">64</w:t>
            </w:r>
          </w:p>
        </w:tc>
        <w:tc>
          <w:tcPr/>
          <w:p>
            <w:pPr>
              <w:pStyle w:val="Compact"/>
              <w:jc w:val="center"/>
            </w:pPr>
            <w:r>
              <w:t xml:space="preserve">64</w:t>
            </w:r>
          </w:p>
        </w:tc>
      </w:tr>
      <w:tr>
        <w:tc>
          <w:tcPr/>
          <w:p>
            <w:pPr>
              <w:pStyle w:val="Compact"/>
              <w:jc w:val="left"/>
            </w:pPr>
            <w:r>
              <w:t xml:space="preserve">PRE re-encrypt (ms)</w:t>
            </w:r>
          </w:p>
        </w:tc>
        <w:tc>
          <w:tcPr/>
          <w:p>
            <w:pPr>
              <w:pStyle w:val="Compact"/>
              <w:jc w:val="center"/>
            </w:pPr>
            <w:r>
              <w:t xml:space="preserve">3.5</w:t>
            </w:r>
          </w:p>
        </w:tc>
        <w:tc>
          <w:tcPr/>
          <w:p>
            <w:pPr>
              <w:pStyle w:val="Compact"/>
              <w:jc w:val="center"/>
            </w:pPr>
            <w:r>
              <w:t xml:space="preserve">2.1</w:t>
            </w:r>
          </w:p>
        </w:tc>
        <w:tc>
          <w:tcPr/>
          <w:p>
            <w:pPr>
              <w:pStyle w:val="Compact"/>
              <w:jc w:val="center"/>
            </w:pPr>
            <w:r>
              <w:t xml:space="preserve">2.7</w:t>
            </w:r>
          </w:p>
        </w:tc>
      </w:tr>
      <w:tr>
        <w:tc>
          <w:tcPr/>
          <w:p>
            <w:pPr>
              <w:pStyle w:val="Compact"/>
              <w:jc w:val="left"/>
            </w:pPr>
            <w:r>
              <w:t xml:space="preserve">HE key gen (s)</w:t>
            </w:r>
          </w:p>
        </w:tc>
        <w:tc>
          <w:tcPr/>
          <w:p>
            <w:pPr>
              <w:pStyle w:val="Compact"/>
              <w:jc w:val="center"/>
            </w:pPr>
            <w:r>
              <w:t xml:space="preserve">1.0</w:t>
            </w:r>
          </w:p>
        </w:tc>
        <w:tc>
          <w:tcPr/>
          <w:p>
            <w:pPr>
              <w:pStyle w:val="Compact"/>
              <w:jc w:val="center"/>
            </w:pPr>
            <w:r>
              <w:t xml:space="preserve">—</w:t>
            </w:r>
          </w:p>
        </w:tc>
        <w:tc>
          <w:tcPr/>
          <w:p>
            <w:pPr>
              <w:pStyle w:val="Compact"/>
              <w:jc w:val="center"/>
            </w:pPr>
            <w:r>
              <w:t xml:space="preserve">1.2</w:t>
            </w:r>
          </w:p>
        </w:tc>
      </w:tr>
      <w:tr>
        <w:tc>
          <w:tcPr/>
          <w:p>
            <w:pPr>
              <w:pStyle w:val="Compact"/>
              <w:jc w:val="left"/>
            </w:pPr>
            <w:r>
              <w:t xml:space="preserve">VC signature (B)</w:t>
            </w:r>
          </w:p>
        </w:tc>
        <w:tc>
          <w:tcPr/>
          <w:p>
            <w:pPr>
              <w:pStyle w:val="Compact"/>
              <w:jc w:val="center"/>
            </w:pPr>
            <w:r>
              <w:t xml:space="preserve">256</w:t>
            </w:r>
          </w:p>
        </w:tc>
        <w:tc>
          <w:tcPr/>
          <w:p>
            <w:pPr>
              <w:pStyle w:val="Compact"/>
              <w:jc w:val="center"/>
            </w:pPr>
            <w:r>
              <w:t xml:space="preserve">64</w:t>
            </w:r>
          </w:p>
        </w:tc>
        <w:tc>
          <w:tcPr/>
          <w:p>
            <w:pPr>
              <w:pStyle w:val="Compact"/>
              <w:jc w:val="center"/>
            </w:pPr>
            <w:r>
              <w:t xml:space="preserve">3</w:t>
            </w:r>
            <w:r>
              <w:t xml:space="preserve">,</w:t>
            </w:r>
            <w:r>
              <w:t xml:space="preserve">293</w:t>
            </w:r>
          </w:p>
        </w:tc>
      </w:tr>
      <w:tr>
        <w:tc>
          <w:tcPr/>
          <w:p>
            <w:pPr>
              <w:pStyle w:val="Compact"/>
              <w:jc w:val="left"/>
            </w:pPr>
            <w:r>
              <w:t xml:space="preserve">VC sign time (ms)</w:t>
            </w:r>
          </w:p>
        </w:tc>
        <w:tc>
          <w:tcPr/>
          <w:p>
            <w:pPr>
              <w:pStyle w:val="Compact"/>
              <w:jc w:val="center"/>
            </w:pPr>
            <w:r>
              <w:t xml:space="preserve">2.1</w:t>
            </w:r>
          </w:p>
        </w:tc>
        <w:tc>
          <w:tcPr/>
          <w:p>
            <w:pPr>
              <w:pStyle w:val="Compact"/>
              <w:jc w:val="center"/>
            </w:pPr>
            <w:r>
              <w:t xml:space="preserve">1.2</w:t>
            </w:r>
          </w:p>
        </w:tc>
        <w:tc>
          <w:tcPr/>
          <w:p>
            <w:pPr>
              <w:pStyle w:val="Compact"/>
              <w:jc w:val="center"/>
            </w:pPr>
            <w:r>
              <w:t xml:space="preserve">6.2</w:t>
            </w:r>
          </w:p>
        </w:tc>
      </w:tr>
      <w:tr>
        <w:tc>
          <w:tcPr/>
          <w:p>
            <w:pPr>
              <w:pStyle w:val="Compact"/>
              <w:jc w:val="left"/>
            </w:pPr>
            <w:r>
              <w:t xml:space="preserve">VC verify time (ms)</w:t>
            </w:r>
          </w:p>
        </w:tc>
        <w:tc>
          <w:tcPr/>
          <w:p>
            <w:pPr>
              <w:pStyle w:val="Compact"/>
              <w:jc w:val="center"/>
            </w:pPr>
            <w:r>
              <w:t xml:space="preserve">0.5</w:t>
            </w:r>
          </w:p>
        </w:tc>
        <w:tc>
          <w:tcPr/>
          <w:p>
            <w:pPr>
              <w:pStyle w:val="Compact"/>
              <w:jc w:val="center"/>
            </w:pPr>
            <w:r>
              <w:t xml:space="preserve">0.8</w:t>
            </w:r>
          </w:p>
        </w:tc>
        <w:tc>
          <w:tcPr/>
          <w:p>
            <w:pPr>
              <w:pStyle w:val="Compact"/>
              <w:jc w:val="center"/>
            </w:pPr>
            <w:r>
              <w:t xml:space="preserve">4.2</w:t>
            </w:r>
          </w:p>
        </w:tc>
      </w:tr>
      <w:tr>
        <w:tc>
          <w:tcPr/>
          <w:p>
            <w:pPr>
              <w:pStyle w:val="Compact"/>
              <w:jc w:val="left"/>
            </w:pPr>
            <w:r>
              <w:t xml:space="preserve">Selective disclosure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FIPS 140-3 ready</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bookmarkEnd w:id="70"/>
    <w:p>
      <w:pPr>
        <w:pStyle w:val="BodyText"/>
      </w:pPr>
      <w:r>
        <w:t xml:space="preserve">The primary overhead of the PQC constructions is in signature sizes (</w:t>
      </w:r>
      <w:r>
        <w:t xml:space="preserve">ML-DSA</w:t>
      </w:r>
      <w:r>
        <w:t xml:space="preserve">-65 signatures are</w:t>
      </w:r>
      <w:r>
        <w:t xml:space="preserve"> </w:t>
      </w:r>
      <m:oMath>
        <m:r>
          <m:rPr>
            <m:sty m:val="p"/>
          </m:rPr>
          <m:t>∼</m:t>
        </m:r>
      </m:oMath>
      <w:r>
        <w:t xml:space="preserve">13</w:t>
      </w:r>
      <m:oMath>
        <m:r>
          <m:rPr>
            <m:sty m:val="p"/>
          </m:rPr>
          <m:t>×</m:t>
        </m:r>
      </m:oMath>
      <w:r>
        <w:t xml:space="preserve"> </w:t>
      </w:r>
      <w:r>
        <w:t xml:space="preserve">larger than RSA-2048) and signing latency (</w:t>
      </w:r>
      <m:oMath>
        <m:r>
          <m:rPr>
            <m:sty m:val="p"/>
          </m:rPr>
          <m:t>∼</m:t>
        </m:r>
      </m:oMath>
      <w:r>
        <w:t xml:space="preserve">3</w:t>
      </w:r>
      <m:oMath>
        <m:r>
          <m:rPr>
            <m:sty m:val="p"/>
          </m:rPr>
          <m:t>×</m:t>
        </m:r>
      </m:oMath>
      <w:r>
        <w:t xml:space="preserve">). However, these overheads are offset by the critical advantage of quantum resistance and the added functionality of selective disclosure, which is not supported by traditional PKI approaches.</w:t>
      </w:r>
    </w:p>
    <w:bookmarkEnd w:id="71"/>
    <w:bookmarkEnd w:id="72"/>
    <w:bookmarkStart w:id="73" w:name="sec:related"/>
    <w:p>
      <w:pPr>
        <w:pStyle w:val="Heading1"/>
      </w:pPr>
      <w:r>
        <w:t xml:space="preserve">Related Work</w:t>
      </w:r>
    </w:p>
    <w:p>
      <w:pPr>
        <w:pStyle w:val="FirstParagraph"/>
      </w:pPr>
      <w:r>
        <w:rPr>
          <w:b/>
          <w:bCs/>
        </w:rPr>
        <w:t xml:space="preserve">Post-quantum proxy re-encryption.</w:t>
      </w:r>
      <w:r>
        <w:t xml:space="preserve"> </w:t>
      </w:r>
      <w:r>
        <w:t xml:space="preserve">Nu</w:t>
      </w:r>
      <w:r>
        <w:t xml:space="preserve">ñ</w:t>
      </w:r>
      <w:r>
        <w:t xml:space="preserve">ez et al. </w:t>
      </w:r>
      <w:r>
        <w:t xml:space="preserve">(Nuñez et al. 2015)</w:t>
      </w:r>
      <w:r>
        <w:t xml:space="preserve"> </w:t>
      </w:r>
      <w:r>
        <w:t xml:space="preserve">proposed NTRUReEncrypt, a PRE scheme based on NTRU lattices. Singh et al. </w:t>
      </w:r>
      <w:r>
        <w:t xml:space="preserve">(Singh et al. 2020)</w:t>
      </w:r>
      <w:r>
        <w:t xml:space="preserve"> </w:t>
      </w:r>
      <w:r>
        <w:t xml:space="preserve">constructed identity-based PRE from lattice assumptions. Polyakov et al. </w:t>
      </w:r>
      <w:r>
        <w:t xml:space="preserve">(Polyakov et al. 2017)</w:t>
      </w:r>
      <w:r>
        <w:t xml:space="preserve"> </w:t>
      </w:r>
      <w:r>
        <w:t xml:space="preserve">developed PRE for publish/subscribe systems. Our construction differs by building directly on the NIST-standardized</w:t>
      </w:r>
      <w:r>
        <w:t xml:space="preserve"> </w:t>
      </w:r>
      <w:r>
        <w:t xml:space="preserve">ML-KEM</w:t>
      </w:r>
      <w:r>
        <w:t xml:space="preserve">-768 primitive, incorporating healthcare-specific consent types and category-based access control, and providing a HIPAA-compliant audit trail.</w:t>
      </w:r>
    </w:p>
    <w:p>
      <w:pPr>
        <w:pStyle w:val="BodyText"/>
      </w:pPr>
      <w:r>
        <w:rPr>
          <w:b/>
          <w:bCs/>
        </w:rPr>
        <w:t xml:space="preserve">Homomorphic encryption in healthcare.</w:t>
      </w:r>
      <w:r>
        <w:t xml:space="preserve"> </w:t>
      </w:r>
      <w:r>
        <w:t xml:space="preserve">Wood et al. </w:t>
      </w:r>
      <w:r>
        <w:t xml:space="preserve">(Wood et al. 2020)</w:t>
      </w:r>
      <w:r>
        <w:t xml:space="preserve"> </w:t>
      </w:r>
      <w:r>
        <w:t xml:space="preserve">surveyed HE applications in medicine and bioinformatics. Acar et al. </w:t>
      </w:r>
      <w:r>
        <w:t xml:space="preserve">(Acar et al. 2018)</w:t>
      </w:r>
      <w:r>
        <w:t xml:space="preserve"> </w:t>
      </w:r>
      <w:r>
        <w:t xml:space="preserve">provided a comprehensive survey of HE schemes and implementations. Kim et al. </w:t>
      </w:r>
      <w:r>
        <w:t xml:space="preserve">(Kim et al. 2020)</w:t>
      </w:r>
      <w:r>
        <w:t xml:space="preserve"> </w:t>
      </w:r>
      <w:r>
        <w:t xml:space="preserve">applied HE to genome-wide association studies. Our scheme is distinguished by its focus on real-time vital sign analytics with integrated differential privacy and explicit support for seven clinical vital types with validated ranges.</w:t>
      </w:r>
    </w:p>
    <w:p>
      <w:pPr>
        <w:pStyle w:val="BodyText"/>
      </w:pPr>
      <w:r>
        <w:rPr>
          <w:b/>
          <w:bCs/>
        </w:rPr>
        <w:t xml:space="preserve">Verifiable credentials for health.</w:t>
      </w:r>
      <w:r>
        <w:t xml:space="preserve"> </w:t>
      </w:r>
      <w:r>
        <w:t xml:space="preserve">The SMART Health Cards </w:t>
      </w:r>
      <w:r>
        <w:t xml:space="preserve">(VCI Consortium 2021)</w:t>
      </w:r>
      <w:r>
        <w:t xml:space="preserve"> </w:t>
      </w:r>
      <w:r>
        <w:t xml:space="preserve">framework uses JWS signatures for vaccination records but relies on elliptic-curve cryptography (ES256), which is quantum-vulnerable. Chen et al. </w:t>
      </w:r>
      <w:r>
        <w:t xml:space="preserve">(Chen et al. 2022)</w:t>
      </w:r>
      <w:r>
        <w:t xml:space="preserve"> </w:t>
      </w:r>
      <w:r>
        <w:t xml:space="preserve">proposed blockchain-based medical records. Our construction provides quantum-safe credentials with Merkle-tree selective disclosure and predicate proofs not available in existing health credential systems.</w:t>
      </w:r>
    </w:p>
    <w:p>
      <w:pPr>
        <w:pStyle w:val="BodyText"/>
      </w:pPr>
      <w:r>
        <w:rPr>
          <w:b/>
          <w:bCs/>
        </w:rPr>
        <w:t xml:space="preserve">Medical device security.</w:t>
      </w:r>
      <w:r>
        <w:t xml:space="preserve"> </w:t>
      </w:r>
      <w:r>
        <w:t xml:space="preserve">Halperin et al. </w:t>
      </w:r>
      <w:r>
        <w:t xml:space="preserve">(Halperin et al. 2008)</w:t>
      </w:r>
      <w:r>
        <w:t xml:space="preserve"> </w:t>
      </w:r>
      <w:r>
        <w:t xml:space="preserve">demonstrated attacks on ICDs. Rushanan et al. </w:t>
      </w:r>
      <w:r>
        <w:t xml:space="preserve">(Rushanan et al. 2014)</w:t>
      </w:r>
      <w:r>
        <w:t xml:space="preserve"> </w:t>
      </w:r>
      <w:r>
        <w:t xml:space="preserve">systematized medical device security knowledge. Zheng et al. </w:t>
      </w:r>
      <w:r>
        <w:t xml:space="preserve">(Zheng et al. 2017)</w:t>
      </w:r>
      <w:r>
        <w:t xml:space="preserve"> </w:t>
      </w:r>
      <w:r>
        <w:t xml:space="preserve">surveyed body area network security. Mhatre et al. </w:t>
      </w:r>
      <w:r>
        <w:t xml:space="preserve">(Mhatre et al. 2024)</w:t>
      </w:r>
      <w:r>
        <w:t xml:space="preserve"> </w:t>
      </w:r>
      <w:r>
        <w:t xml:space="preserve">discussed PQC challenges for healthcare broadly. Our lightweight framework provides concrete device profiles, algorithm selection logic, and optimization strategies (pre-computation, session caching, deferred verification) that bridge the gap between PQC theory and medical device deployment.</w:t>
      </w:r>
    </w:p>
    <w:p>
      <w:pPr>
        <w:pStyle w:val="BodyText"/>
      </w:pPr>
      <w:r>
        <w:rPr>
          <w:b/>
          <w:bCs/>
        </w:rPr>
        <w:t xml:space="preserve">Differential privacy in health analytics.</w:t>
      </w:r>
      <w:r>
        <w:t xml:space="preserve"> </w:t>
      </w:r>
      <w:r>
        <w:t xml:space="preserve">Dwork and Roth </w:t>
      </w:r>
      <w:r>
        <w:t xml:space="preserve">(Dwork and Roth 2014)</w:t>
      </w:r>
      <w:r>
        <w:t xml:space="preserve"> </w:t>
      </w:r>
      <w:r>
        <w:t xml:space="preserve">established the algorithmic foundations of differential privacy. Raisaro et al. </w:t>
      </w:r>
      <w:r>
        <w:t xml:space="preserve">(</w:t>
      </w:r>
      <w:r>
        <w:t xml:space="preserve">Raisaro et al.</w:t>
      </w:r>
      <w:r>
        <w:t xml:space="preserve"> </w:t>
      </w:r>
      <w:r>
        <w:t xml:space="preserve">2017)</w:t>
      </w:r>
      <w:r>
        <w:t xml:space="preserve"> </w:t>
      </w:r>
      <w:r>
        <w:t xml:space="preserve">addressed re-identification attacks in genomic beacons. Our integration of Laplace-mechanism DP with homomorphic encryption provides a layered defense: the HE layer prevents individual value exposure during computation, while the DP layer prevents inference from released aggregates.</w:t>
      </w:r>
    </w:p>
    <w:bookmarkEnd w:id="73"/>
    <w:bookmarkStart w:id="114" w:name="sec:conclusion"/>
    <w:p>
      <w:pPr>
        <w:pStyle w:val="Heading1"/>
      </w:pPr>
      <w:r>
        <w:t xml:space="preserve">Conclusion</w:t>
      </w:r>
    </w:p>
    <w:p>
      <w:pPr>
        <w:pStyle w:val="FirstParagraph"/>
      </w:pPr>
      <w:r>
        <w:t xml:space="preserve">This paper presented four post-quantum cryptographic constructions addressing the full spectrum of healthcare privacy requirements. The lattice-based proxy re-encryption scheme enables secure EHR transfer with fine-grained consent enforcement and regulatory compliance. The homomorphic vital signs analytics engine supports privacy-preserving population health computation with integrated differential privacy. The post-quantum verifiable credential system provides selective disclosure and predicate proofs for patient-controlled health attestations. The lightweight PQC framework makes quantum-safe cryptography practical for resource-constrained medical devices through pre-computation, session caching, and tiered algorithm selection.</w:t>
      </w:r>
    </w:p>
    <w:p>
      <w:pPr>
        <w:pStyle w:val="BodyText"/>
      </w:pPr>
      <w:r>
        <w:t xml:space="preserve">Security analysis confirms IND-CPA security for encryption schemes, EUF-CMA unforgeability for credentials, and comprehensive regulatory compliance with HIPAA, HITECH, 42 CFR Part 2, GINA, and GDPR. Performance evaluation demonstrates that the overhead of post-quantum constructions is modest—sub-10 ms for most operations—and well within the latency budgets of healthcare workflows.</w:t>
      </w:r>
    </w:p>
    <w:p>
      <w:pPr>
        <w:pStyle w:val="BodyText"/>
      </w:pPr>
      <w:r>
        <w:t xml:space="preserve">Future work includes extending the homomorphic scheme to support comparison operations for encrypted threshold alerting, integrating the PRE scheme with blockchain-based audit trails for tamper-evident logging, and conducting on-device benchmarks with physical pacemaker and insulin pump hardware.</w:t>
      </w:r>
    </w:p>
    <w:bookmarkStart w:id="113" w:name="refs"/>
    <w:bookmarkStart w:id="74" w:name="ref-acar2018survey_he"/>
    <w:p>
      <w:pPr>
        <w:pStyle w:val="Bibliography"/>
      </w:pPr>
      <w:r>
        <w:t xml:space="preserve">Acar, Abbas, Hidayet Aksu, A. Selcuk Uluagac, and Mauro Conti. 2018.</w:t>
      </w:r>
      <w:r>
        <w:t xml:space="preserve"> </w:t>
      </w:r>
      <w:r>
        <w:t xml:space="preserve">“A Survey on Homomorphic Encryption Schemes: Theory and Implementation.”</w:t>
      </w:r>
      <w:r>
        <w:t xml:space="preserve"> </w:t>
      </w:r>
      <w:r>
        <w:rPr>
          <w:i/>
          <w:iCs/>
        </w:rPr>
        <w:t xml:space="preserve">ACM Computing Surveys</w:t>
      </w:r>
      <w:r>
        <w:t xml:space="preserve"> </w:t>
      </w:r>
      <w:r>
        <w:t xml:space="preserve">51 (4): 1–35.</w:t>
      </w:r>
    </w:p>
    <w:bookmarkEnd w:id="74"/>
    <w:bookmarkStart w:id="75" w:name="ref-ateniese2006pre"/>
    <w:p>
      <w:pPr>
        <w:pStyle w:val="Bibliography"/>
      </w:pPr>
      <w:r>
        <w:t xml:space="preserve">Ateniese, Giuseppe, Kevin Fu, Matthew Green, and Susan Hohenberger. 2006.</w:t>
      </w:r>
      <w:r>
        <w:t xml:space="preserve"> </w:t>
      </w:r>
      <w:r>
        <w:t xml:space="preserve">“Improved Proxy Re-Encryption Schemes with Applications to Secure Distributed Storage.”</w:t>
      </w:r>
      <w:r>
        <w:t xml:space="preserve"> </w:t>
      </w:r>
      <w:r>
        <w:rPr>
          <w:i/>
          <w:iCs/>
        </w:rPr>
        <w:t xml:space="preserve">ACM Transactions on Information and System Security</w:t>
      </w:r>
      <w:r>
        <w:t xml:space="preserve"> </w:t>
      </w:r>
      <w:r>
        <w:t xml:space="preserve">9 (1): 1–30.</w:t>
      </w:r>
    </w:p>
    <w:bookmarkEnd w:id="75"/>
    <w:bookmarkStart w:id="76" w:name="ref-blaze1998pre"/>
    <w:p>
      <w:pPr>
        <w:pStyle w:val="Bibliography"/>
      </w:pPr>
      <w:r>
        <w:t xml:space="preserve">Blaze, Matt, Gerrit Bleumer, and Martin Strauss. 1998.</w:t>
      </w:r>
      <w:r>
        <w:t xml:space="preserve"> </w:t>
      </w:r>
      <w:r>
        <w:t xml:space="preserve">“Divertible Protocols and Atomic Proxy Cryptography.”</w:t>
      </w:r>
      <w:r>
        <w:t xml:space="preserve"> </w:t>
      </w:r>
      <w:r>
        <w:rPr>
          <w:i/>
          <w:iCs/>
        </w:rPr>
        <w:t xml:space="preserve">Advances in Cryptology – EUROCRYPT ’98</w:t>
      </w:r>
      <w:r>
        <w:t xml:space="preserve">, 127–44.</w:t>
      </w:r>
    </w:p>
    <w:bookmarkEnd w:id="76"/>
    <w:bookmarkStart w:id="77" w:name="ref-bootle2016zkp"/>
    <w:p>
      <w:pPr>
        <w:pStyle w:val="Bibliography"/>
      </w:pPr>
      <w:r>
        <w:t xml:space="preserve">Bootle, Jonathan, Andrea Cerulli, Pyrros Chaidos, Jens Groth, and Christophe Petit. 2016.</w:t>
      </w:r>
      <w:r>
        <w:t xml:space="preserve"> </w:t>
      </w:r>
      <w:r>
        <w:t xml:space="preserve">“Efficient Zero-Knowledge Arguments for Arithmetic Circuits in the Discrete Log Setting.”</w:t>
      </w:r>
      <w:r>
        <w:t xml:space="preserve"> </w:t>
      </w:r>
      <w:r>
        <w:rPr>
          <w:i/>
          <w:iCs/>
        </w:rPr>
        <w:t xml:space="preserve">Advances in Cryptology – EUROCRYPT 2016</w:t>
      </w:r>
      <w:r>
        <w:t xml:space="preserve">, 327–57.</w:t>
      </w:r>
    </w:p>
    <w:bookmarkEnd w:id="77"/>
    <w:bookmarkStart w:id="78" w:name="ref-camenisch2009acc"/>
    <w:p>
      <w:pPr>
        <w:pStyle w:val="Bibliography"/>
      </w:pPr>
      <w:r>
        <w:t xml:space="preserve">Camenisch, Jan, Markus Kohlweiss, and Claudio Soriente. 2009.</w:t>
      </w:r>
      <w:r>
        <w:t xml:space="preserve"> </w:t>
      </w:r>
      <w:r>
        <w:t xml:space="preserve">“An Accumulator Based on Bilinear Maps and Efficient Revocation for Anonymous Credentials.”</w:t>
      </w:r>
      <w:r>
        <w:t xml:space="preserve"> </w:t>
      </w:r>
      <w:r>
        <w:rPr>
          <w:i/>
          <w:iCs/>
        </w:rPr>
        <w:t xml:space="preserve">International Conference on Practice and Theory in Public Key Cryptography</w:t>
      </w:r>
      <w:r>
        <w:t xml:space="preserve">, 481–500.</w:t>
      </w:r>
    </w:p>
    <w:bookmarkEnd w:id="78"/>
    <w:bookmarkStart w:id="79" w:name="ref-chen2022ehr_blockchain"/>
    <w:p>
      <w:pPr>
        <w:pStyle w:val="Bibliography"/>
      </w:pPr>
      <w:r>
        <w:t xml:space="preserve">Chen, Yuxiang, Shuai Ding, Zhi Xu, Huiling Zheng, and Shanlin Yang. 2022.</w:t>
      </w:r>
      <w:r>
        <w:t xml:space="preserve"> </w:t>
      </w:r>
      <w:r>
        <w:t xml:space="preserve">“Blockchain-Based Medical Records Secure Storage and Medical Service Framework.”</w:t>
      </w:r>
      <w:r>
        <w:t xml:space="preserve"> </w:t>
      </w:r>
      <w:r>
        <w:rPr>
          <w:i/>
          <w:iCs/>
        </w:rPr>
        <w:t xml:space="preserve">Journal of Medical Internet Research</w:t>
      </w:r>
      <w:r>
        <w:t xml:space="preserve"> </w:t>
      </w:r>
      <w:r>
        <w:t xml:space="preserve">24 (1): e29438.</w:t>
      </w:r>
    </w:p>
    <w:bookmarkEnd w:id="79"/>
    <w:bookmarkStart w:id="80" w:name="ref-cheon2017ckks"/>
    <w:p>
      <w:pPr>
        <w:pStyle w:val="Bibliography"/>
      </w:pPr>
      <w:r>
        <w:t xml:space="preserve">Cheon, Jung Hee, Andrey Kim, Miran Kim, and Yongsoo Song. 2017.</w:t>
      </w:r>
      <w:r>
        <w:t xml:space="preserve"> </w:t>
      </w:r>
      <w:r>
        <w:t xml:space="preserve">“Homomorphic Encryption for Arithmetic of Approximate Numbers.”</w:t>
      </w:r>
      <w:r>
        <w:t xml:space="preserve"> </w:t>
      </w:r>
      <w:r>
        <w:rPr>
          <w:i/>
          <w:iCs/>
        </w:rPr>
        <w:t xml:space="preserve">Advances in Cryptology – ASIACRYPT 2017</w:t>
      </w:r>
      <w:r>
        <w:t xml:space="preserve">, 409–37.</w:t>
      </w:r>
    </w:p>
    <w:bookmarkEnd w:id="80"/>
    <w:bookmarkStart w:id="81" w:name="ref-ducas2018dilithium"/>
    <w:p>
      <w:pPr>
        <w:pStyle w:val="Bibliography"/>
      </w:pPr>
      <w:r>
        <w:t xml:space="preserve">Ducas, Léo, Eike Kiltz, Tancrède Lepoint, et al. 2018.</w:t>
      </w:r>
      <w:r>
        <w:t xml:space="preserve"> </w:t>
      </w:r>
      <w:r>
        <w:t xml:space="preserve">“</w:t>
      </w:r>
      <w:r>
        <w:t xml:space="preserve">CRYSTALS-Dilithium</w:t>
      </w:r>
      <w:r>
        <w:t xml:space="preserve">: A Lattice-Based Digital Signature Scheme.”</w:t>
      </w:r>
      <w:r>
        <w:t xml:space="preserve"> </w:t>
      </w:r>
      <w:r>
        <w:rPr>
          <w:i/>
          <w:iCs/>
        </w:rPr>
        <w:t xml:space="preserve">IACR Transactions on Cryptographic Hardware and Embedded Systems</w:t>
      </w:r>
      <w:r>
        <w:t xml:space="preserve"> </w:t>
      </w:r>
      <w:r>
        <w:t xml:space="preserve">2018: 238–68.</w:t>
      </w:r>
    </w:p>
    <w:bookmarkEnd w:id="81"/>
    <w:bookmarkStart w:id="82" w:name="ref-dwork2006dp"/>
    <w:p>
      <w:pPr>
        <w:pStyle w:val="Bibliography"/>
      </w:pPr>
      <w:r>
        <w:t xml:space="preserve">Dwork, Cynthia. 2006.</w:t>
      </w:r>
      <w:r>
        <w:t xml:space="preserve"> </w:t>
      </w:r>
      <w:r>
        <w:t xml:space="preserve">“Differential Privacy.”</w:t>
      </w:r>
      <w:r>
        <w:t xml:space="preserve"> </w:t>
      </w:r>
      <w:r>
        <w:rPr>
          <w:i/>
          <w:iCs/>
        </w:rPr>
        <w:t xml:space="preserve">Automata, Languages and Programming</w:t>
      </w:r>
      <w:r>
        <w:t xml:space="preserve">, 1–12.</w:t>
      </w:r>
    </w:p>
    <w:bookmarkEnd w:id="82"/>
    <w:bookmarkStart w:id="83" w:name="ref-dwork2014dp"/>
    <w:p>
      <w:pPr>
        <w:pStyle w:val="Bibliography"/>
      </w:pPr>
      <w:r>
        <w:t xml:space="preserve">Dwork, Cynthia, and Aaron Roth. 2014.</w:t>
      </w:r>
      <w:r>
        <w:t xml:space="preserve"> </w:t>
      </w:r>
      <w:r>
        <w:t xml:space="preserve">“The Algorithmic Foundations of Differential Privacy.”</w:t>
      </w:r>
      <w:r>
        <w:t xml:space="preserve"> </w:t>
      </w:r>
      <w:r>
        <w:rPr>
          <w:i/>
          <w:iCs/>
        </w:rPr>
        <w:t xml:space="preserve">Foundations and Trends in Theoretical Computer Science</w:t>
      </w:r>
      <w:r>
        <w:t xml:space="preserve"> </w:t>
      </w:r>
      <w:r>
        <w:t xml:space="preserve">9 (3–4): 211–407.</w:t>
      </w:r>
    </w:p>
    <w:bookmarkEnd w:id="83"/>
    <w:bookmarkStart w:id="84" w:name="ref-gdpr2016"/>
    <w:p>
      <w:pPr>
        <w:pStyle w:val="Bibliography"/>
      </w:pPr>
      <w:r>
        <w:t xml:space="preserve">European Parliament. 2016.</w:t>
      </w:r>
      <w:r>
        <w:t xml:space="preserve"> </w:t>
      </w:r>
      <w:r>
        <w:rPr>
          <w:i/>
          <w:iCs/>
        </w:rPr>
        <w:t xml:space="preserve">General Data Protection Regulation (GDPR)</w:t>
      </w:r>
      <w:r>
        <w:t xml:space="preserve">.</w:t>
      </w:r>
    </w:p>
    <w:bookmarkEnd w:id="84"/>
    <w:bookmarkStart w:id="85" w:name="ref-gentry2009fhe"/>
    <w:p>
      <w:pPr>
        <w:pStyle w:val="Bibliography"/>
      </w:pPr>
      <w:r>
        <w:t xml:space="preserve">Gentry, Craig. 2009.</w:t>
      </w:r>
      <w:r>
        <w:t xml:space="preserve"> </w:t>
      </w:r>
      <w:r>
        <w:t xml:space="preserve">“Fully Homomorphic Encryption Using Ideal Lattices.”</w:t>
      </w:r>
      <w:r>
        <w:t xml:space="preserve"> </w:t>
      </w:r>
      <w:r>
        <w:rPr>
          <w:i/>
          <w:iCs/>
        </w:rPr>
        <w:t xml:space="preserve">Proceedings of the 41st ACM Symposium on Theory of Computing</w:t>
      </w:r>
      <w:r>
        <w:t xml:space="preserve">, 169–78.</w:t>
      </w:r>
    </w:p>
    <w:bookmarkEnd w:id="85"/>
    <w:bookmarkStart w:id="86" w:name="ref-halperin2008icd"/>
    <w:p>
      <w:pPr>
        <w:pStyle w:val="Bibliography"/>
      </w:pPr>
      <w:r>
        <w:t xml:space="preserve">Halperin, Daniel, Thomas S. Heydt-Benjamin, Benjamin Ransford, et al. 2008.</w:t>
      </w:r>
      <w:r>
        <w:t xml:space="preserve"> </w:t>
      </w:r>
      <w:r>
        <w:t xml:space="preserve">“Pacemakers and Implantable Cardiac Defibrillators: Software Radio Attacks and Zero-Power Defenses.”</w:t>
      </w:r>
      <w:r>
        <w:t xml:space="preserve"> </w:t>
      </w:r>
      <w:r>
        <w:rPr>
          <w:i/>
          <w:iCs/>
        </w:rPr>
        <w:t xml:space="preserve">IEEE Symposium on Security and Privacy</w:t>
      </w:r>
      <w:r>
        <w:t xml:space="preserve">, 129–42.</w:t>
      </w:r>
    </w:p>
    <w:bookmarkEnd w:id="86"/>
    <w:bookmarkStart w:id="88" w:name="ref-hl7fhir"/>
    <w:p>
      <w:pPr>
        <w:pStyle w:val="Bibliography"/>
      </w:pPr>
      <w:r>
        <w:t xml:space="preserve">HL7 International. 2019.</w:t>
      </w:r>
      <w:r>
        <w:t xml:space="preserve"> </w:t>
      </w:r>
      <w:r>
        <w:rPr>
          <w:i/>
          <w:iCs/>
        </w:rPr>
        <w:t xml:space="preserve">HL7 FHIR (Fast Healthcare Interoperability Resources) R4</w:t>
      </w:r>
      <w:r>
        <w:t xml:space="preserve">.</w:t>
      </w:r>
      <w:r>
        <w:t xml:space="preserve"> </w:t>
      </w:r>
      <w:hyperlink r:id="rId87">
        <w:r>
          <w:rPr>
            <w:rStyle w:val="Hyperlink"/>
          </w:rPr>
          <w:t xml:space="preserve">Https://hl7.org/fhir/</w:t>
        </w:r>
      </w:hyperlink>
      <w:r>
        <w:t xml:space="preserve">.</w:t>
      </w:r>
    </w:p>
    <w:bookmarkEnd w:id="88"/>
    <w:bookmarkStart w:id="89" w:name="ref-kim2018bfv_genomics"/>
    <w:p>
      <w:pPr>
        <w:pStyle w:val="Bibliography"/>
      </w:pPr>
      <w:r>
        <w:t xml:space="preserve">Kim, Miran, Yongsoo Song, Baiyu Li, and Daniele Micciancio. 2020.</w:t>
      </w:r>
      <w:r>
        <w:t xml:space="preserve"> </w:t>
      </w:r>
      <w:r>
        <w:t xml:space="preserve">“Semi-Parallel Logistic Regression for</w:t>
      </w:r>
      <w:r>
        <w:t xml:space="preserve"> </w:t>
      </w:r>
      <w:r>
        <w:t xml:space="preserve">GWAS</w:t>
      </w:r>
      <w:r>
        <w:t xml:space="preserve"> </w:t>
      </w:r>
      <w:r>
        <w:t xml:space="preserve">on Encrypted Data.”</w:t>
      </w:r>
      <w:r>
        <w:t xml:space="preserve"> </w:t>
      </w:r>
      <w:r>
        <w:rPr>
          <w:i/>
          <w:iCs/>
        </w:rPr>
        <w:t xml:space="preserve">BMC Medical Genomics</w:t>
      </w:r>
      <w:r>
        <w:t xml:space="preserve"> </w:t>
      </w:r>
      <w:r>
        <w:t xml:space="preserve">13: 1–13.</w:t>
      </w:r>
    </w:p>
    <w:bookmarkEnd w:id="89"/>
    <w:bookmarkStart w:id="90" w:name="ref-merkle1989"/>
    <w:p>
      <w:pPr>
        <w:pStyle w:val="Bibliography"/>
      </w:pPr>
      <w:r>
        <w:t xml:space="preserve">Merkle, Ralph C. 1989.</w:t>
      </w:r>
      <w:r>
        <w:t xml:space="preserve"> </w:t>
      </w:r>
      <w:r>
        <w:t xml:space="preserve">“A Certified Digital Signature.”</w:t>
      </w:r>
      <w:r>
        <w:t xml:space="preserve"> </w:t>
      </w:r>
      <w:r>
        <w:rPr>
          <w:i/>
          <w:iCs/>
        </w:rPr>
        <w:t xml:space="preserve">Advances in Cryptology – CRYPTO ’89</w:t>
      </w:r>
      <w:r>
        <w:t xml:space="preserve">, 218–38.</w:t>
      </w:r>
    </w:p>
    <w:bookmarkEnd w:id="90"/>
    <w:bookmarkStart w:id="91" w:name="ref-mhatre2024pqhealth"/>
    <w:p>
      <w:pPr>
        <w:pStyle w:val="Bibliography"/>
      </w:pPr>
      <w:r>
        <w:t xml:space="preserve">Mhatre, Sagar, Pranav Shende, and Saurabh Bhatia. 2024.</w:t>
      </w:r>
      <w:r>
        <w:t xml:space="preserve"> </w:t>
      </w:r>
      <w:r>
        <w:t xml:space="preserve">“Post-Quantum Cryptography for Healthcare: Challenges and Opportunities.”</w:t>
      </w:r>
      <w:r>
        <w:t xml:space="preserve"> </w:t>
      </w:r>
      <w:r>
        <w:rPr>
          <w:i/>
          <w:iCs/>
        </w:rPr>
        <w:t xml:space="preserve">IEEE Access</w:t>
      </w:r>
      <w:r>
        <w:t xml:space="preserve"> </w:t>
      </w:r>
      <w:r>
        <w:t xml:space="preserve">12: 41257–79.</w:t>
      </w:r>
    </w:p>
    <w:bookmarkEnd w:id="91"/>
    <w:bookmarkStart w:id="92" w:name="ref-fips204"/>
    <w:p>
      <w:pPr>
        <w:pStyle w:val="Bibliography"/>
      </w:pPr>
      <w:r>
        <w:t xml:space="preserve">National Institute of Standards and Technology. 2024a.</w:t>
      </w:r>
      <w:r>
        <w:t xml:space="preserve"> </w:t>
      </w:r>
      <w:r>
        <w:rPr>
          <w:i/>
          <w:iCs/>
        </w:rPr>
        <w:t xml:space="preserve">Module-Lattice-Based Digital Signature Standard (FIPS 204)</w:t>
      </w:r>
      <w:r>
        <w:t xml:space="preserve">. Federal Information Processing Standard. NIST.</w:t>
      </w:r>
    </w:p>
    <w:bookmarkEnd w:id="92"/>
    <w:bookmarkStart w:id="93" w:name="ref-fips203"/>
    <w:p>
      <w:pPr>
        <w:pStyle w:val="Bibliography"/>
      </w:pPr>
      <w:r>
        <w:t xml:space="preserve">National Institute of Standards and Technology. 2024b.</w:t>
      </w:r>
      <w:r>
        <w:t xml:space="preserve"> </w:t>
      </w:r>
      <w:r>
        <w:rPr>
          <w:i/>
          <w:iCs/>
        </w:rPr>
        <w:t xml:space="preserve">Module-Lattice-Based Key-Encapsulation Mechanism Standard (FIPS 203)</w:t>
      </w:r>
      <w:r>
        <w:t xml:space="preserve">. Federal Information Processing Standard. NIST.</w:t>
      </w:r>
    </w:p>
    <w:bookmarkEnd w:id="93"/>
    <w:bookmarkStart w:id="94" w:name="ref-nuñez2015pre"/>
    <w:p>
      <w:pPr>
        <w:pStyle w:val="Bibliography"/>
      </w:pPr>
      <w:r>
        <w:t xml:space="preserve">Nuñez, David, Isaac Agudo, and Javier Lopez. 2015.</w:t>
      </w:r>
      <w:r>
        <w:t xml:space="preserve"> </w:t>
      </w:r>
      <w:r>
        <w:t xml:space="preserve">“NTRUReEncrypt: An Efficient Proxy Re-Encryption Scheme Based on NTRU.”</w:t>
      </w:r>
      <w:r>
        <w:t xml:space="preserve"> </w:t>
      </w:r>
      <w:r>
        <w:rPr>
          <w:i/>
          <w:iCs/>
        </w:rPr>
        <w:t xml:space="preserve">ACM ASIA Conference on Computer and Communications Security</w:t>
      </w:r>
      <w:r>
        <w:t xml:space="preserve">, 179–89.</w:t>
      </w:r>
    </w:p>
    <w:bookmarkEnd w:id="94"/>
    <w:bookmarkStart w:id="95" w:name="ref-paillier1999"/>
    <w:p>
      <w:pPr>
        <w:pStyle w:val="Bibliography"/>
      </w:pPr>
      <w:r>
        <w:t xml:space="preserve">Paillier, Pascal. 1999.</w:t>
      </w:r>
      <w:r>
        <w:t xml:space="preserve"> </w:t>
      </w:r>
      <w:r>
        <w:t xml:space="preserve">“Public-Key Cryptosystems Based on Composite Degree Residuosity Classes.”</w:t>
      </w:r>
      <w:r>
        <w:t xml:space="preserve"> </w:t>
      </w:r>
      <w:r>
        <w:rPr>
          <w:i/>
          <w:iCs/>
        </w:rPr>
        <w:t xml:space="preserve">Advances in Cryptology – EUROCRYPT ’99</w:t>
      </w:r>
      <w:r>
        <w:t xml:space="preserve">, 223–38.</w:t>
      </w:r>
    </w:p>
    <w:bookmarkEnd w:id="95"/>
    <w:bookmarkStart w:id="96" w:name="ref-polyakov2017pre"/>
    <w:p>
      <w:pPr>
        <w:pStyle w:val="Bibliography"/>
      </w:pPr>
      <w:r>
        <w:t xml:space="preserve">Polyakov, Yuriy, Kurt Rohloff, Gyana Sahu, and Vinod Vaikuntanathan. 2017.</w:t>
      </w:r>
      <w:r>
        <w:t xml:space="preserve"> </w:t>
      </w:r>
      <w:r>
        <w:t xml:space="preserve">“Fast Proxy Re-Encryption for Publish/Subscribe Systems.”</w:t>
      </w:r>
      <w:r>
        <w:t xml:space="preserve"> </w:t>
      </w:r>
      <w:r>
        <w:rPr>
          <w:i/>
          <w:iCs/>
        </w:rPr>
        <w:t xml:space="preserve">ACM Transactions on Privacy and Security</w:t>
      </w:r>
      <w:r>
        <w:t xml:space="preserve"> </w:t>
      </w:r>
      <w:r>
        <w:t xml:space="preserve">20: 1–31.</w:t>
      </w:r>
    </w:p>
    <w:bookmarkEnd w:id="96"/>
    <w:bookmarkStart w:id="97" w:name="ref-raisaro2018dp_genomics"/>
    <w:p>
      <w:pPr>
        <w:pStyle w:val="Bibliography"/>
      </w:pPr>
      <w:r>
        <w:t xml:space="preserve">Raisaro, Jean Louis, Florian Tramèr, Zhanglong Ji, et al.</w:t>
      </w:r>
      <w:r>
        <w:t xml:space="preserve"> 2017.</w:t>
      </w:r>
      <w:r>
        <w:t xml:space="preserve"> </w:t>
      </w:r>
      <w:r>
        <w:t xml:space="preserve">“Addressing Beacon Re-Identification Attacks: Quantification and Mitigation of Privacy Risks.”</w:t>
      </w:r>
      <w:r>
        <w:t xml:space="preserve"> </w:t>
      </w:r>
      <w:r>
        <w:rPr>
          <w:i/>
          <w:iCs/>
        </w:rPr>
        <w:t xml:space="preserve">Journal of the American Medical Informatics Association</w:t>
      </w:r>
      <w:r>
        <w:t xml:space="preserve"> </w:t>
      </w:r>
      <w:r>
        <w:t xml:space="preserve">24 (4): 799–805.</w:t>
      </w:r>
    </w:p>
    <w:bookmarkEnd w:id="97"/>
    <w:bookmarkStart w:id="98" w:name="ref-rushanan2014meddev"/>
    <w:p>
      <w:pPr>
        <w:pStyle w:val="Bibliography"/>
      </w:pPr>
      <w:r>
        <w:t xml:space="preserve">Rushanan, Michael, Aviel D. Rubin, Denis Foo Kune, and Colleen Swanson. 2014.</w:t>
      </w:r>
      <w:r>
        <w:t xml:space="preserve"> </w:t>
      </w:r>
      <w:r>
        <w:rPr>
          <w:i/>
          <w:iCs/>
        </w:rPr>
        <w:t xml:space="preserve">SoK: Security and Privacy in Implantable Medical Devices and Body Area Networks</w:t>
      </w:r>
      <w:r>
        <w:t xml:space="preserve">. 524–39.</w:t>
      </w:r>
    </w:p>
    <w:bookmarkEnd w:id="98"/>
    <w:bookmarkStart w:id="99" w:name="ref-singh2020pqpre"/>
    <w:p>
      <w:pPr>
        <w:pStyle w:val="Bibliography"/>
      </w:pPr>
      <w:r>
        <w:t xml:space="preserve">Singh, Kunwar, C. Pandu Rangan, and Avik Banerjee. 2020.</w:t>
      </w:r>
      <w:r>
        <w:t xml:space="preserve"> </w:t>
      </w:r>
      <w:r>
        <w:t xml:space="preserve">“Lattice-Based Identity-Based Proxy Re-Encryption.”</w:t>
      </w:r>
      <w:r>
        <w:t xml:space="preserve"> </w:t>
      </w:r>
      <w:r>
        <w:rPr>
          <w:i/>
          <w:iCs/>
        </w:rPr>
        <w:t xml:space="preserve">International Conference on Cryptology in India</w:t>
      </w:r>
      <w:r>
        <w:t xml:space="preserve">, 321–41.</w:t>
      </w:r>
    </w:p>
    <w:bookmarkEnd w:id="99"/>
    <w:bookmarkStart w:id="100" w:name="ref-cfr42part2"/>
    <w:p>
      <w:pPr>
        <w:pStyle w:val="Bibliography"/>
      </w:pPr>
      <w:r>
        <w:t xml:space="preserve">Substance Abuse and Mental Health Services Administration. 2020.</w:t>
      </w:r>
      <w:r>
        <w:t xml:space="preserve"> </w:t>
      </w:r>
      <w:r>
        <w:rPr>
          <w:i/>
          <w:iCs/>
        </w:rPr>
        <w:t xml:space="preserve">42 CFR Part 2 – Confidentiality of Substance Use Disorder Patient Records</w:t>
      </w:r>
      <w:r>
        <w:t xml:space="preserve">.</w:t>
      </w:r>
    </w:p>
    <w:bookmarkEnd w:id="100"/>
    <w:bookmarkStart w:id="101" w:name="ref-hipaa1996"/>
    <w:p>
      <w:pPr>
        <w:pStyle w:val="Bibliography"/>
      </w:pPr>
      <w:r>
        <w:t xml:space="preserve">U.S. Congress. 1996.</w:t>
      </w:r>
      <w:r>
        <w:t xml:space="preserve"> </w:t>
      </w:r>
      <w:r>
        <w:rPr>
          <w:i/>
          <w:iCs/>
        </w:rPr>
        <w:t xml:space="preserve">Health Insurance Portability and Accountability Act (HIPAA)</w:t>
      </w:r>
      <w:r>
        <w:t xml:space="preserve">.</w:t>
      </w:r>
    </w:p>
    <w:bookmarkEnd w:id="101"/>
    <w:bookmarkStart w:id="102" w:name="ref-gina2008"/>
    <w:p>
      <w:pPr>
        <w:pStyle w:val="Bibliography"/>
      </w:pPr>
      <w:r>
        <w:t xml:space="preserve">U.S. Congress. 2008.</w:t>
      </w:r>
      <w:r>
        <w:t xml:space="preserve"> </w:t>
      </w:r>
      <w:r>
        <w:rPr>
          <w:i/>
          <w:iCs/>
        </w:rPr>
        <w:t xml:space="preserve">Genetic Information Nondiscrimination Act (GINA)</w:t>
      </w:r>
      <w:r>
        <w:t xml:space="preserve">.</w:t>
      </w:r>
    </w:p>
    <w:bookmarkEnd w:id="102"/>
    <w:bookmarkStart w:id="103" w:name="ref-hitech2009"/>
    <w:p>
      <w:pPr>
        <w:pStyle w:val="Bibliography"/>
      </w:pPr>
      <w:r>
        <w:t xml:space="preserve">U.S. Department of Health and Human Services. 2009.</w:t>
      </w:r>
      <w:r>
        <w:t xml:space="preserve"> </w:t>
      </w:r>
      <w:r>
        <w:rPr>
          <w:i/>
          <w:iCs/>
        </w:rPr>
        <w:t xml:space="preserve">Health Information Technology for Economic and Clinical Health (HITECH) Act</w:t>
      </w:r>
      <w:r>
        <w:t xml:space="preserve">.</w:t>
      </w:r>
    </w:p>
    <w:bookmarkEnd w:id="103"/>
    <w:bookmarkStart w:id="105" w:name="ref-smarthealth"/>
    <w:p>
      <w:pPr>
        <w:pStyle w:val="Bibliography"/>
      </w:pPr>
      <w:r>
        <w:t xml:space="preserve">VCI Consortium. 2021.</w:t>
      </w:r>
      <w:r>
        <w:t xml:space="preserve"> </w:t>
      </w:r>
      <w:r>
        <w:rPr>
          <w:i/>
          <w:iCs/>
        </w:rPr>
        <w:t xml:space="preserve">SMART Health Cards: Vaccination and Testing</w:t>
      </w:r>
      <w:r>
        <w:t xml:space="preserve">.</w:t>
      </w:r>
      <w:r>
        <w:t xml:space="preserve"> </w:t>
      </w:r>
      <w:hyperlink r:id="rId104">
        <w:r>
          <w:rPr>
            <w:rStyle w:val="Hyperlink"/>
          </w:rPr>
          <w:t xml:space="preserve">Https://smarthealth.cards/</w:t>
        </w:r>
      </w:hyperlink>
      <w:r>
        <w:t xml:space="preserve">.</w:t>
      </w:r>
    </w:p>
    <w:bookmarkEnd w:id="105"/>
    <w:bookmarkStart w:id="107" w:name="ref-w3cdid"/>
    <w:p>
      <w:pPr>
        <w:pStyle w:val="Bibliography"/>
      </w:pPr>
      <w:r>
        <w:t xml:space="preserve">W3C. 2022.</w:t>
      </w:r>
      <w:r>
        <w:t xml:space="preserve"> </w:t>
      </w:r>
      <w:r>
        <w:rPr>
          <w:i/>
          <w:iCs/>
        </w:rPr>
        <w:t xml:space="preserve">Decentralized Identifiers (DIDs) v1.0</w:t>
      </w:r>
      <w:r>
        <w:t xml:space="preserve">.</w:t>
      </w:r>
      <w:r>
        <w:t xml:space="preserve"> </w:t>
      </w:r>
      <w:hyperlink r:id="rId106">
        <w:r>
          <w:rPr>
            <w:rStyle w:val="Hyperlink"/>
          </w:rPr>
          <w:t xml:space="preserve">Https://www.w3.org/TR/did-core/</w:t>
        </w:r>
      </w:hyperlink>
      <w:r>
        <w:t xml:space="preserve">.</w:t>
      </w:r>
    </w:p>
    <w:bookmarkEnd w:id="107"/>
    <w:bookmarkStart w:id="109" w:name="ref-w3cvc"/>
    <w:p>
      <w:pPr>
        <w:pStyle w:val="Bibliography"/>
      </w:pPr>
      <w:r>
        <w:t xml:space="preserve">W3C. 2024.</w:t>
      </w:r>
      <w:r>
        <w:t xml:space="preserve"> </w:t>
      </w:r>
      <w:r>
        <w:rPr>
          <w:i/>
          <w:iCs/>
        </w:rPr>
        <w:t xml:space="preserve">Verifiable Credentials Data Model 2.0</w:t>
      </w:r>
      <w:r>
        <w:t xml:space="preserve">.</w:t>
      </w:r>
      <w:r>
        <w:t xml:space="preserve"> </w:t>
      </w:r>
      <w:hyperlink r:id="rId108">
        <w:r>
          <w:rPr>
            <w:rStyle w:val="Hyperlink"/>
          </w:rPr>
          <w:t xml:space="preserve">Https://www.w3.org/TR/vc-data-model-2.0/</w:t>
        </w:r>
      </w:hyperlink>
      <w:r>
        <w:t xml:space="preserve">.</w:t>
      </w:r>
    </w:p>
    <w:bookmarkEnd w:id="109"/>
    <w:bookmarkStart w:id="110" w:name="ref-wood2020he_health"/>
    <w:p>
      <w:pPr>
        <w:pStyle w:val="Bibliography"/>
      </w:pPr>
      <w:r>
        <w:t xml:space="preserve">Wood, Alexander, Kayvan Najarian, and Delaram Kahrobaei. 2020.</w:t>
      </w:r>
      <w:r>
        <w:t xml:space="preserve"> </w:t>
      </w:r>
      <w:r>
        <w:t xml:space="preserve">“Homomorphic Encryption for Machine Learning in Medicine and Bioinformatics.”</w:t>
      </w:r>
      <w:r>
        <w:t xml:space="preserve"> </w:t>
      </w:r>
      <w:r>
        <w:rPr>
          <w:i/>
          <w:iCs/>
        </w:rPr>
        <w:t xml:space="preserve">ACM Computing Surveys</w:t>
      </w:r>
      <w:r>
        <w:t xml:space="preserve"> </w:t>
      </w:r>
      <w:r>
        <w:t xml:space="preserve">53 (4): 1–35.</w:t>
      </w:r>
    </w:p>
    <w:bookmarkEnd w:id="110"/>
    <w:bookmarkStart w:id="111" w:name="ref-yang2022pqzkp"/>
    <w:p>
      <w:pPr>
        <w:pStyle w:val="Bibliography"/>
      </w:pPr>
      <w:r>
        <w:t xml:space="preserve">Yang, Rupeng, Man Ho Au, Zhenfei Zhang, Qiuliang Xu, Zuoxia Yu, and William Whyte. 2022.</w:t>
      </w:r>
      <w:r>
        <w:t xml:space="preserve"> </w:t>
      </w:r>
      <w:r>
        <w:t xml:space="preserve">“Efficient Lattice-Based Zero-Knowledge Arguments with Standard Soundness: Construction and Applications.”</w:t>
      </w:r>
      <w:r>
        <w:t xml:space="preserve"> </w:t>
      </w:r>
      <w:r>
        <w:rPr>
          <w:i/>
          <w:iCs/>
        </w:rPr>
        <w:t xml:space="preserve">Annual International Cryptology Conference</w:t>
      </w:r>
      <w:r>
        <w:t xml:space="preserve">, 468–98.</w:t>
      </w:r>
    </w:p>
    <w:bookmarkEnd w:id="111"/>
    <w:bookmarkStart w:id="112" w:name="ref-zheng2017mediot"/>
    <w:p>
      <w:pPr>
        <w:pStyle w:val="Bibliography"/>
      </w:pPr>
      <w:r>
        <w:t xml:space="preserve">Zheng, Guang, Rajan Shankaran, Wei Yang, et al. 2017.</w:t>
      </w:r>
      <w:r>
        <w:t xml:space="preserve"> </w:t>
      </w:r>
      <w:r>
        <w:t xml:space="preserve">“A Survey on the Security of Body Area Networks.”</w:t>
      </w:r>
      <w:r>
        <w:t xml:space="preserve"> </w:t>
      </w:r>
      <w:r>
        <w:rPr>
          <w:i/>
          <w:iCs/>
        </w:rPr>
        <w:t xml:space="preserve">IEEE Communications Surveys and Tutorials</w:t>
      </w:r>
      <w:r>
        <w:t xml:space="preserve"> </w:t>
      </w:r>
      <w:r>
        <w:t xml:space="preserve">19 (3): 1403–40.</w:t>
      </w:r>
    </w:p>
    <w:bookmarkEnd w:id="112"/>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7" Target="https://hl7.org/fhir/" TargetMode="External" /><Relationship Type="http://schemas.openxmlformats.org/officeDocument/2006/relationships/hyperlink" Id="rId104" Target="https://smarthealth.cards/" TargetMode="External" /><Relationship Type="http://schemas.openxmlformats.org/officeDocument/2006/relationships/hyperlink" Id="rId106" Target="https://www.w3.org/TR/did-core/" TargetMode="External" /><Relationship Type="http://schemas.openxmlformats.org/officeDocument/2006/relationships/hyperlink" Id="rId108" Target="https://www.w3.org/TR/vc-data-model-2.0/" TargetMode="External" /></Relationships>
</file>

<file path=word/_rels/footnotes.xml.rels><?xml version="1.0" encoding="UTF-8"?><Relationships xmlns="http://schemas.openxmlformats.org/package/2006/relationships"><Relationship Type="http://schemas.openxmlformats.org/officeDocument/2006/relationships/hyperlink" Id="rId87" Target="https://hl7.org/fhir/" TargetMode="External" /><Relationship Type="http://schemas.openxmlformats.org/officeDocument/2006/relationships/hyperlink" Id="rId104" Target="https://smarthealth.cards/" TargetMode="External" /><Relationship Type="http://schemas.openxmlformats.org/officeDocument/2006/relationships/hyperlink" Id="rId106" Target="https://www.w3.org/TR/did-core/" TargetMode="External" /><Relationship Type="http://schemas.openxmlformats.org/officeDocument/2006/relationships/hyperlink" Id="rId108" Target="https://www.w3.org/TR/vc-data-model-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Privacy-Preserving Cryptography for Healthcare: Proxy Re-Encryption, Homomorphic Vital Signs Analytics, and Verifiable Credentials for Electronic Health Records</dc:title>
  <dc:creator/>
  <cp:keywords/>
  <dcterms:created xsi:type="dcterms:W3CDTF">2026-03-16T10:01:37Z</dcterms:created>
  <dcterms:modified xsi:type="dcterms:W3CDTF">2026-03-16T10:01:37Z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healthcare sector faces a dual challenge: protecting sensitive patient data under stringent regulations such as HIPAA and GDPR while preparing for the cryptographic disruption posed by large-scale quantum computers. Current electronic health record (EHR) systems rely on RSA and elliptic-curve primitives that Shor’s algorithm will render insecure, exposing decades of archived patient records to harvest-now-decrypt-later attacks. This paper presents four complementary post-quantum cryptographic constructions tailored to the healthcare domain. First, we introduce a lattice-based proxy re-encryption (PRE) scheme for EHR transfer built on ML-KEM-768 (FIPS 203), enabling a semi-trusted proxy to transform ciphertext between providers without accessing plaintext. The re-encryption key is derived as \mathit{rk} = \textsf{SHAKE256}{}(\mathit{sk}_A \| \mathit{pk}_B \| \mathit{pid}) and supports six consent types—full access, category-restricted, time-limited, emergency, research, and one-time—covering standard and restricted record categories including mental health (42 CFR Part 2), genetic data (GINA), and reproductive health. Second, we present a Paillier-like additively homomorphic encryption scheme under lattice assumptions for privacy-preserving vital signs analytics, supporting encrypted summation \mathsf{Enc}(m_1) \cdot \mathsf{Enc}(m_2) = \mathsf{Enc}(m_1 + m_2), scalar multiplication \mathsf{Enc}(m)^k = \mathsf{Enc}(k \cdot m), and integrated Laplace-mechanism differential privacy with \varepsilon = 1.0. Seven vital types—heart rate, systolic and diastolic blood pressure, SpO2, temperature, respiratory rate, and glucose—are encrypted at the device with a scale factor of 100 for fixed-point representation. Third, we design post-quantum verifiable credentials conforming to the W3C VC 2.0 data model, signed with ML-DSA-65 (FIPS 204) and featuring Merkle-tree selective disclosure, zero-knowledge predicate proofs, and accumulator-based O(1) revocation. Seven credential types—vaccination, lab result, prescription, allergy, insurance eligibility, disability attestation, and provider license—are supported with a default 365-day validity. Fourth, we propose a lightweight PQC framework for constrained medical devices, defining four memory tiers from ultra-constrained (&lt;32 KB) to standard (&gt;256 KB) with device-specific profiles for pacemakers, insulin pumps, and implantable cardioverter defibrillators. Strategies include pre-computation of key material during device programming, session key caching, and deferred verification. Security analysis establishes IND-CPA security for the PRE and homomorphic schemes, EUF-CMA unforgeability for verifiable credentials, and compliance with HIPAA, HITECH, 42 CFR Part 2, GINA, and GDPR. Performance evaluation demonstrates encryption latency of 1–10 ms per vital sign, O(N) homomorphic aggregation, issuer signature sizes of 3,293 bytes, and Merkle roots of 32 bytes, confirming practical deployability across the healthcare ecosystem.</vt:lpwstr>
  </property>
  <property fmtid="{D5CDD505-2E9C-101B-9397-08002B2CF9AE}" pid="3" name="bibliography">
    <vt:lpwstr>paper5_healthcare_privacy/references.bib</vt:lpwstr>
  </property>
</Properties>
</file>