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3BF5F682"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Wikipedia y Weblogs como Wordpress.</w:t>
      </w:r>
    </w:p>
    <w:p w14:paraId="65FE9F0F" w14:textId="77777777"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router, router inalámbrico,  switch,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295E3C6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w:t>
      </w:r>
      <w:r>
        <w:rPr>
          <w:rFonts w:ascii="Cambria" w:eastAsia="Cambria" w:hAnsi="Cambria" w:cs="Cambria"/>
          <w:color w:val="000000"/>
          <w:sz w:val="28"/>
          <w:szCs w:val="28"/>
        </w:rPr>
        <w:lastRenderedPageBreak/>
        <w:t xml:space="preserve">ejemplos. </w:t>
      </w:r>
    </w:p>
    <w:p w14:paraId="1F3F669A"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5E4FE41B"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77777777"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14D0907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Comparar y contrastar los siguientes términos: RED, LAN, WAN, </w:t>
      </w:r>
      <w:r>
        <w:rPr>
          <w:rFonts w:ascii="Cambria" w:eastAsia="Cambria" w:hAnsi="Cambria" w:cs="Cambria"/>
          <w:sz w:val="28"/>
          <w:szCs w:val="28"/>
        </w:rPr>
        <w:lastRenderedPageBreak/>
        <w:t>INTERNETWORK E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2A4F88C0" w14:textId="77777777" w:rsidR="00E451FC" w:rsidRPr="00E451FC" w:rsidRDefault="00E451FC" w:rsidP="00E451FC">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483DF528" w14:textId="77777777" w:rsidR="00E451FC" w:rsidRDefault="00E451FC" w:rsidP="00E451FC">
      <w:pPr>
        <w:spacing w:before="91"/>
        <w:ind w:left="1396" w:right="1170"/>
        <w:jc w:val="both"/>
        <w:rPr>
          <w:rFonts w:ascii="Cambria" w:eastAsia="Cambria" w:hAnsi="Cambria" w:cs="Cambria"/>
          <w:sz w:val="28"/>
          <w:szCs w:val="28"/>
        </w:rPr>
      </w:pPr>
    </w:p>
    <w:p w14:paraId="0BF2DD58"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7F223C5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 xml:space="preserve">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w:t>
      </w:r>
      <w:r w:rsidRPr="009807B4">
        <w:rPr>
          <w:rFonts w:ascii="Cambria" w:eastAsia="Cambria" w:hAnsi="Cambria" w:cs="Cambria"/>
          <w:sz w:val="28"/>
          <w:szCs w:val="28"/>
        </w:rPr>
        <w:lastRenderedPageBreak/>
        <w:t>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git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1">
        <w:r w:rsidR="001E0B3D">
          <w:rPr>
            <w:color w:val="0000EE"/>
            <w:u w:val="single"/>
          </w:rPr>
          <w:t>GIT / GITHUB [ Tutorial en Español - Parte 1 ]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.txt</w:t>
      </w:r>
      <w:r>
        <w:rPr>
          <w:rFonts w:ascii="Cambria" w:eastAsia="Cambria" w:hAnsi="Cambria" w:cs="Cambria"/>
          <w:sz w:val="28"/>
          <w:szCs w:val="28"/>
        </w:rPr>
        <w:t xml:space="preserve"> para responder el cuestionario y subirlo al repositorio remoto. Cada pregunta respondida se debe enviar al repositorio remoto a través de un commit (ver video). Evidenciar el historial de commits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Añadir la url del repositorio al documento de entrega y subirlo al Classroom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96186" w14:textId="77777777" w:rsidR="00AD1F9A" w:rsidRDefault="00AD1F9A">
      <w:r>
        <w:separator/>
      </w:r>
    </w:p>
  </w:endnote>
  <w:endnote w:type="continuationSeparator" w:id="0">
    <w:p w14:paraId="594693CF" w14:textId="77777777" w:rsidR="00AD1F9A" w:rsidRDefault="00AD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28532" w14:textId="77777777" w:rsidR="00AD1F9A" w:rsidRDefault="00AD1F9A">
      <w:r>
        <w:separator/>
      </w:r>
    </w:p>
  </w:footnote>
  <w:footnote w:type="continuationSeparator" w:id="0">
    <w:p w14:paraId="573839B0" w14:textId="77777777" w:rsidR="00AD1F9A" w:rsidRDefault="00AD1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0"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6"/>
  </w:num>
  <w:num w:numId="2" w16cid:durableId="696387770">
    <w:abstractNumId w:val="12"/>
  </w:num>
  <w:num w:numId="3" w16cid:durableId="1807964823">
    <w:abstractNumId w:val="7"/>
  </w:num>
  <w:num w:numId="4" w16cid:durableId="528759849">
    <w:abstractNumId w:val="0"/>
  </w:num>
  <w:num w:numId="5" w16cid:durableId="9769388">
    <w:abstractNumId w:val="9"/>
  </w:num>
  <w:num w:numId="6" w16cid:durableId="1991864442">
    <w:abstractNumId w:val="1"/>
  </w:num>
  <w:num w:numId="7" w16cid:durableId="919022400">
    <w:abstractNumId w:val="2"/>
  </w:num>
  <w:num w:numId="8" w16cid:durableId="139152315">
    <w:abstractNumId w:val="4"/>
  </w:num>
  <w:num w:numId="9" w16cid:durableId="2043707273">
    <w:abstractNumId w:val="11"/>
  </w:num>
  <w:num w:numId="10" w16cid:durableId="1453480153">
    <w:abstractNumId w:val="3"/>
  </w:num>
  <w:num w:numId="11" w16cid:durableId="650137430">
    <w:abstractNumId w:val="5"/>
  </w:num>
  <w:num w:numId="12" w16cid:durableId="1237975623">
    <w:abstractNumId w:val="10"/>
  </w:num>
  <w:num w:numId="13" w16cid:durableId="1259560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D39B3"/>
    <w:rsid w:val="003A39AA"/>
    <w:rsid w:val="003C08AC"/>
    <w:rsid w:val="00466044"/>
    <w:rsid w:val="0077544A"/>
    <w:rsid w:val="00782893"/>
    <w:rsid w:val="009807B4"/>
    <w:rsid w:val="00AA5CDA"/>
    <w:rsid w:val="00AC6598"/>
    <w:rsid w:val="00AD1F9A"/>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1707</Words>
  <Characters>9391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11</cp:revision>
  <dcterms:created xsi:type="dcterms:W3CDTF">2021-02-09T13:35:00Z</dcterms:created>
  <dcterms:modified xsi:type="dcterms:W3CDTF">2023-03-11T00:23:00Z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