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an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w:t>
      </w:r>
      <w:r>
        <w:t xml:space="preserve"> </w:t>
      </w:r>
      <w:r>
        <w:t xml:space="preserve">small and domain-narrow.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w:t>
      </w:r>
      <w:r>
        <w:t xml:space="preserve"> </w:t>
      </w:r>
      <w:r>
        <w:t xml:space="preserve">that instructs an LLM to produce syntactically valid, structurally diverse,</w:t>
      </w:r>
      <w:r>
        <w:t xml:space="preserve"> </w:t>
      </w:r>
      <w:r>
        <w:t xml:space="preserve">and correctly labeled antipattern/refactored PlantUML diagram pairs, together</w:t>
      </w:r>
      <w:r>
        <w:t xml:space="preserve"> </w:t>
      </w:r>
      <w:r>
        <w:t xml:space="preserve">with a structured dataset of 388 annotated training samples spanning 194</w:t>
      </w:r>
      <w:r>
        <w:t xml:space="preserve"> </w:t>
      </w:r>
      <w:r>
        <w:t xml:space="preserve">distinct application domains with 1–5 antipattern instances per diagram.</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2026-06-01T05:30:58Z</dcterms:created>
  <dcterms:modified xsi:type="dcterms:W3CDTF">2026-06-01T05:30:58Z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