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center"/>
      </w:pPr>
      <w:r>
        <w:rPr>
          <w:rFonts w:ascii="Times New Roman" w:hAnsi="Times New Roman" w:cs="Times New Roman"/>
          <w:b/>
          <w:i w:val="0"/>
          <w:sz w:val="28"/>
          <w:u w:val="none"/>
        </w:rPr>
        <w:t>АКТ приёма-передачи Товара</w:t>
      </w:r>
    </w:p>
    <w:p>
      <w:pPr>
        <w:spacing w:after="120" w:before="0"/>
        <w:jc w:val="center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к Договору купли-продажи № {{Doc.saleContract.number}} от {{Doc.saleContract.date}}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u w:val="none"/>
              </w:rPr>
              <w:t>г. Хабаровск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u w:val="none"/>
              </w:rPr>
              <w:t>{{Doc.actAcceptance.date}}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ООО «Про Мебель», именуемое в дальнейшем «Продавец», в лице генерального директора Батьковского Юрия Сергеевича, действующего на основании Устава, с одной стороны, и {{Client.fullName}}, именуемый(ая) в дальнейшем «Покупатель», с другой стороны, составили настоящий Акт о нижеследующем.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1. Продавец передал, а Покупатель принял Товар (мебель по индивидуальному заказу) в количестве и ассортименте согласно Спецификации заказа (Приложение № 2 к Договору купли-продажи) и Бланку-заказу.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2. При передаче Товара Покупателем проверены комплектность, количество и внешний вид Товара, а также целостность упаковки. Видимые недостатки (дефекты) при передаче: не обнаружены / обнаружены (нужное подчеркнуть): _____________________________________________________________________________.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 Претензий по количеству, комплектности и внешнему виду Товара на момент передачи Покупатель не имеет / имеет (нужное подчеркнуть): _____________________________________________________________________________.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4. Скрытые недостатки Товара, которые не могли быть обнаружены при обычной приёмке, могут быть заявлены Покупателем в течение гарантийного срока в порядке ст. 18–19 Закона о защите прав потребителей.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5. С момента подписания настоящего Акта к Покупателю переходят право собственности на Товар и риск случайной гибели, случайного повреждения, утраты или порчи Товара (ст. 223, 459 ГК РФ). Гарантийный срок на Товар исчисляется с даты подписания настоящего Акта.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6. Дополнительные отметки (повреждения упаковки при транспортировке, доукомплектация, особые условия хранения и т.п.): _____________________________________________________________________________.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7. Настоящий Акт составлен в двух экземплярах, имеющих равную юридическую силу, по одному для каждой из Сторон.</w:t>
      </w:r>
    </w:p>
    <w:p>
      <w:pPr>
        <w:spacing w:after="40" w:befor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  <w:u w:val="none"/>
              </w:rPr>
              <w:t>Продавец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  <w:u w:val="none"/>
              </w:rPr>
              <w:t>Покупатель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ООО «Про Мебель»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Юридический адрес: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680000, Хабаровский край, г. Хабаровск, ул. Переясловская, д. 30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ИНН 2700061041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КПП 270001001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ОГРН 1252700015567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р/с 40702810000000772640 в ООО «ОЗОН Банк» (г. Москва)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БИК 044525068, к/с 30101810645374525068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Тел.: 8 962-563-19-70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>
              <w:t>Ф.И.О.: {{Client.fullName}}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Паспорт: серия {{Client.passport.series}} № {{Client.passport.number}}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Выдан: {{Client.passport.issuedBy}}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Дата выдачи: {{Client.passport.issuedAt}} Код подразделения: {{Client.passport.code}}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Адрес: {{Client.regAddress}}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Тел.: {{Client.phone}}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Генеральный директор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Покупатель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_________________ / Батьковский Ю.С. /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_________________ / _______________ /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>
              <w:t>{{Doc.actAcceptance.date}}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>
              <w:t>{{Doc.actAcceptance.date}}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