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30"/>
          <w:u w:val="none"/>
        </w:rPr>
        <w:t>ГАРАНТИЙНЫЙ ТАЛОН № ______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  <w:u w:val="none"/>
        </w:rPr>
        <w:t>Гарантия действительна только при наличии правильно и полностью заполненного гарантийного талона, заверенного подписями Сторон.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Покупатель (Ф.И.О.):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______________________________________________</w:t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Адрес доставки (установки):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______________________________________________</w:t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Товар (наименование, артикул):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______________________________________________</w:t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№ Договора купли-продажи / Бланка-заказа: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 / № ______ ПМ-26</w:t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заказа: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 2026 г.</w:t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передачи Товара (установки):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 20__ г.</w:t>
            </w:r>
          </w:p>
        </w:tc>
      </w:tr>
    </w:tbl>
    <w:p>
      <w:pPr>
        <w:spacing w:after="40" w:before="0"/>
      </w:pP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ГАРАНТИЙНЫЕ ОБЯЗАТЕЛЬСТВА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 На мебель, изготовленную по заказу ООО «Про Мебель» (корпусная мебель, фасады, фурнитура), предоставляется гарантия сроком 24 (двадцать четыре) месяца со дня передачи Товара Покупателю при условии соблюдения Правил и условий эффективного и безопасного использования мебели.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 На столешницы предоставляется гарантия сроком 24 (двадцать четыре) месяца со дня передачи Товара при условии установки столешницы с соблюдением технологии: герметизация выреза (слива мойки) и стыков столешницы, наличие только фабричных выпилов, монтаж в соответствии с инструкцией Продавца.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 На встроенную бытовую технику и иные изделия, не являющиеся продукцией Продавца, гарантийный срок устанавливается изготовителем и указывается в гарантийном талоне изготовителя. Продавец дополнительной гарантии на указанные изделия не предоставляет.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 В течение гарантийного срока Продавец обязуется за свой счёт произвести ремонт или замену Товара (его элементов) в следующих случаях: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обнаружение скрытых дефектов поверхностей производственного характера;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вздутие столешницы или стеновой панели при соблюдении условий, указанных в п. 2;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нарушение крепёжных соединений шкафов и отказ фурнитуры производственного характера.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 Гарантия не действует (в отношении соответствующих недостатков) в случае: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нарушения Покупателем инструкции по эксплуатации, Правил и условий эффективного и безопасного использования мебели и Памятки покупателю;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нанесения механических повреждений Товару после его передачи (по вине Покупателя или третьих лиц);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самостоятельной сборки (установки) Товара или его сборки (установки) третьими лицами без участия Продавца, повлёкшей повреждения;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порчи Товара вследствие неправильной установки встроенной техники, а также естественного износа и воздействия агрессивных сред.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 В случае замены по гарантии фанерованных или окрашенных элементов возможно отличие оттенков цвета заменённых элементов от тона/цвета первоначально установленных элементов. Ввиду технологических особенностей производства такое отличие недостатком Товара не является.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 Требования в связи с недостатками Товара предъявляются в порядке ст. 18–23 Закона РФ «О защите прав потребителей»; сроки рассмотрения требований определяются указанным Законом.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Продавец (подпись, печать при наличии)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Покупатель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ООО «Про Мебель»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680000, Хабаровский край, г. Хабаровск,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ул. Переясловская, д. 30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8 962-563-19-70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С условиями гарантии ознакомлен(а):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