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气压高度信息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通信帧名称</w:t>
            </w:r>
          </w:p>
        </w:tc>
        <w:tc>
          <w:tcPr>
            <w:tcW w:type="dxa" w:w="1728"/>
          </w:tcPr>
          <w:p>
            <w:r>
              <w:t>气压高度信息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  <w:tc>
          <w:tcPr>
            <w:tcW w:type="dxa" w:w="1728"/>
          </w:tcPr>
          <w:p>
            <w:r>
              <w:t>0x3E4F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信息流向</w:t>
            </w:r>
          </w:p>
        </w:tc>
        <w:tc>
          <w:tcPr>
            <w:tcW w:type="dxa" w:w="1728"/>
          </w:tcPr>
          <w:p>
            <w:r>
              <w:t>地面→机载</w:t>
            </w:r>
          </w:p>
        </w:tc>
        <w:tc>
          <w:tcPr>
            <w:tcW w:type="dxa" w:w="1728"/>
          </w:tcPr>
          <w:p>
            <w:r>
              <w:t>传送周期</w:t>
            </w:r>
          </w:p>
        </w:tc>
        <w:tc>
          <w:tcPr>
            <w:tcW w:type="dxa" w:w="1728"/>
          </w:tcPr>
          <w:p>
            <w:r>
              <w:t>50ms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参数</w:t>
            </w:r>
          </w:p>
        </w:tc>
        <w:tc>
          <w:tcPr>
            <w:tcW w:type="dxa" w:w="1728"/>
          </w:tcPr>
          <w:p>
            <w:r>
              <w:t>数据类型</w:t>
            </w:r>
          </w:p>
        </w:tc>
        <w:tc>
          <w:tcPr>
            <w:tcW w:type="dxa" w:w="1728"/>
          </w:tcPr>
          <w:p>
            <w:r>
              <w:t>字节数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气压高度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单位：m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气压值</w:t>
            </w:r>
          </w:p>
        </w:tc>
        <w:tc>
          <w:tcPr>
            <w:tcW w:type="dxa" w:w="1728"/>
          </w:tcPr>
          <w:p>
            <w:r>
              <w:t>UINT16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单位：Pa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有效标志</w:t>
            </w:r>
          </w:p>
        </w:tc>
        <w:tc>
          <w:tcPr>
            <w:tcW w:type="dxa" w:w="1728"/>
          </w:tcPr>
          <w:p>
            <w:r>
              <w:t>UINT8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0=无效,1=有效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