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表X 电源监测状态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通信帧名称</w:t>
            </w:r>
          </w:p>
        </w:tc>
        <w:tc>
          <w:tcPr>
            <w:tcW w:type="dxa" w:w="1728"/>
          </w:tcPr>
          <w:p>
            <w:r>
              <w:t>电源监测状态</w:t>
            </w:r>
          </w:p>
        </w:tc>
        <w:tc>
          <w:tcPr>
            <w:tcW w:type="dxa" w:w="1728"/>
          </w:tcPr>
          <w:p>
            <w:r>
              <w:t>信息标识</w:t>
            </w:r>
          </w:p>
        </w:tc>
        <w:tc>
          <w:tcPr>
            <w:tcW w:type="dxa" w:w="1728"/>
          </w:tcPr>
          <w:p>
            <w:r>
              <w:t>0xAB04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信息流向</w:t>
            </w:r>
          </w:p>
        </w:tc>
        <w:tc>
          <w:tcPr>
            <w:tcW w:type="dxa" w:w="1728"/>
          </w:tcPr>
          <w:p>
            <w:r>
              <w:t>地面→机载</w:t>
            </w:r>
          </w:p>
        </w:tc>
        <w:tc>
          <w:tcPr>
            <w:tcW w:type="dxa" w:w="1728"/>
          </w:tcPr>
          <w:p>
            <w:r>
              <w:t>传送周期</w:t>
            </w:r>
          </w:p>
        </w:tc>
        <w:tc>
          <w:tcPr>
            <w:tcW w:type="dxa" w:w="1728"/>
          </w:tcPr>
          <w:p>
            <w:r>
              <w:t>50ms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编号</w:t>
            </w:r>
          </w:p>
        </w:tc>
        <w:tc>
          <w:tcPr>
            <w:tcW w:type="dxa" w:w="1728"/>
          </w:tcPr>
          <w:p>
            <w:r>
              <w:t>项目</w:t>
            </w:r>
          </w:p>
        </w:tc>
        <w:tc>
          <w:tcPr>
            <w:tcW w:type="dxa" w:w="1728"/>
          </w:tcPr>
          <w:p>
            <w:r>
              <w:t>量程</w:t>
            </w:r>
          </w:p>
        </w:tc>
        <w:tc>
          <w:tcPr>
            <w:tcW w:type="dxa" w:w="1728"/>
          </w:tcPr>
          <w:p>
            <w:r>
              <w:t>精度</w:t>
            </w:r>
          </w:p>
        </w:tc>
        <w:tc>
          <w:tcPr>
            <w:tcW w:type="dxa" w:w="1728"/>
          </w:tcPr>
          <w:p>
            <w:r>
              <w:t>说明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主电压</w:t>
            </w:r>
          </w:p>
        </w:tc>
        <w:tc>
          <w:tcPr>
            <w:tcW w:type="dxa" w:w="1728"/>
          </w:tcPr>
          <w:p>
            <w:r>
              <w:t>18~32V</w:t>
            </w:r>
          </w:p>
        </w:tc>
        <w:tc>
          <w:tcPr>
            <w:tcW w:type="dxa" w:w="1728"/>
          </w:tcPr>
          <w:p>
            <w:r>
              <w:t>±0.1V</w:t>
            </w:r>
          </w:p>
        </w:tc>
        <w:tc>
          <w:tcPr>
            <w:tcW w:type="dxa" w:w="1728"/>
          </w:tcPr>
          <w:p>
            <w:r>
              <w:t>主路供电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备用电压</w:t>
            </w:r>
          </w:p>
        </w:tc>
        <w:tc>
          <w:tcPr>
            <w:tcW w:type="dxa" w:w="1728"/>
          </w:tcPr>
          <w:p>
            <w:r>
              <w:t>18~32V</w:t>
            </w:r>
          </w:p>
        </w:tc>
        <w:tc>
          <w:tcPr>
            <w:tcW w:type="dxa" w:w="1728"/>
          </w:tcPr>
          <w:p>
            <w:r>
              <w:t>±0.1V</w:t>
            </w:r>
          </w:p>
        </w:tc>
        <w:tc>
          <w:tcPr>
            <w:tcW w:type="dxa" w:w="1728"/>
          </w:tcPr>
          <w:p>
            <w:r>
              <w:t>备路供电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