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表9 状态数据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状态数据</w:t>
            </w:r>
          </w:p>
        </w:tc>
        <w:tc>
          <w:tcPr>
            <w:tcW w:type="dxa" w:w="1728"/>
          </w:tcPr>
          <w:p>
            <w:r>
              <w:t>状态数据</w:t>
            </w:r>
          </w:p>
        </w:tc>
        <w:tc>
          <w:tcPr>
            <w:tcW w:type="dxa" w:w="1728"/>
          </w:tcPr>
          <w:p>
            <w:r>
              <w:t>信息标识</w:t>
            </w:r>
          </w:p>
        </w:tc>
      </w:tr>
      <w:tr>
        <w:tc>
          <w:tcPr>
            <w:tcW w:type="dxa" w:w="1728"/>
          </w:tcPr>
          <w:p>
            <w:r>
              <w:t>信源、信宿</w:t>
            </w:r>
          </w:p>
        </w:tc>
        <w:tc>
          <w:tcPr>
            <w:tcW w:type="dxa" w:w="1728"/>
          </w:tcPr>
          <w:p>
            <w:r>
              <w:t>信源、信宿</w:t>
            </w:r>
          </w:p>
        </w:tc>
        <w:tc>
          <w:tcPr>
            <w:tcW w:type="dxa" w:w="1728"/>
          </w:tcPr>
          <w:p>
            <w:r>
              <w:t>RT2-SA1-3BC</w:t>
            </w:r>
          </w:p>
        </w:tc>
        <w:tc>
          <w:tcPr>
            <w:tcW w:type="dxa" w:w="1728"/>
          </w:tcPr>
          <w:p>
            <w:r>
              <w:t>RT2-SA1-3BC</w:t>
            </w:r>
          </w:p>
        </w:tc>
        <w:tc>
          <w:tcPr>
            <w:tcW w:type="dxa" w:w="1728"/>
          </w:tcPr>
          <w:p>
            <w:r>
              <w:t>RT2-SA1-3BC</w:t>
            </w:r>
          </w:p>
        </w:tc>
      </w:tr>
      <w:tr>
        <w:tc>
          <w:tcPr>
            <w:tcW w:type="dxa" w:w="1728"/>
          </w:tcPr>
          <w:p>
            <w:r>
              <w:t>传输周期</w:t>
            </w:r>
          </w:p>
        </w:tc>
        <w:tc>
          <w:tcPr>
            <w:tcW w:type="dxa" w:w="1728"/>
          </w:tcPr>
          <w:p>
            <w:r>
              <w:t>传输周期</w:t>
            </w:r>
          </w:p>
        </w:tc>
        <w:tc>
          <w:tcPr>
            <w:tcW w:type="dxa" w:w="1728"/>
          </w:tcPr>
          <w:p>
            <w:r>
              <w:t>50ms</w:t>
            </w:r>
          </w:p>
        </w:tc>
        <w:tc>
          <w:tcPr>
            <w:tcW w:type="dxa" w:w="1728"/>
          </w:tcPr>
          <w:p>
            <w:r>
              <w:t>50ms</w:t>
            </w:r>
          </w:p>
        </w:tc>
        <w:tc>
          <w:tcPr>
            <w:tcW w:type="dxa" w:w="1728"/>
          </w:tcPr>
          <w:p>
            <w:r>
              <w:t>50ms</w:t>
            </w:r>
          </w:p>
        </w:tc>
      </w:tr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设备状态</w:t>
            </w:r>
          </w:p>
        </w:tc>
        <w:tc>
          <w:tcPr>
            <w:tcW w:type="dxa" w:w="1728"/>
          </w:tcPr>
          <w:p>
            <w:r>
              <w:t>设备状态</w:t>
            </w:r>
          </w:p>
        </w:tc>
        <w:tc>
          <w:tcPr>
            <w:tcW w:type="dxa" w:w="1728"/>
          </w:tcPr>
          <w:p>
            <w:r>
              <w:t>USHORT</w:t>
            </w:r>
          </w:p>
        </w:tc>
        <w:tc>
          <w:tcPr>
            <w:tcW w:type="dxa" w:w="1728"/>
          </w:tcPr>
          <w:p>
            <w:r>
              <w:t>USHORT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